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5E" w:rsidRPr="000279C4" w:rsidRDefault="0081135E">
      <w:pPr>
        <w:rPr>
          <w:sz w:val="28"/>
        </w:rPr>
      </w:pPr>
      <w:r w:rsidRPr="000279C4">
        <w:rPr>
          <w:sz w:val="28"/>
        </w:rPr>
        <w:t>DNAR</w:t>
      </w:r>
      <w:r w:rsidR="000279C4" w:rsidRPr="000279C4">
        <w:rPr>
          <w:sz w:val="28"/>
        </w:rPr>
        <w:t xml:space="preserve"> Guidelines from ICMR-meeting a felt need</w:t>
      </w:r>
    </w:p>
    <w:p w:rsidR="00D93F78" w:rsidRDefault="003E4CEA">
      <w:r>
        <w:t>Re</w:t>
      </w:r>
      <w:r w:rsidR="0082666C">
        <w:t>sponse to</w:t>
      </w:r>
      <w:r>
        <w:t xml:space="preserve">: DNAR Guidelines: supporting EOL decisions. </w:t>
      </w:r>
      <w:proofErr w:type="spellStart"/>
      <w:r>
        <w:t>Olinda</w:t>
      </w:r>
      <w:proofErr w:type="spellEnd"/>
      <w:r>
        <w:t xml:space="preserve"> </w:t>
      </w:r>
      <w:proofErr w:type="spellStart"/>
      <w:r>
        <w:t>Timm</w:t>
      </w:r>
      <w:r w:rsidR="0082666C">
        <w:t>s</w:t>
      </w:r>
      <w:proofErr w:type="spellEnd"/>
    </w:p>
    <w:p w:rsidR="00523E25" w:rsidRDefault="00523E25">
      <w:r>
        <w:t xml:space="preserve">Authors: </w:t>
      </w:r>
    </w:p>
    <w:p w:rsidR="00523E25" w:rsidRDefault="00931F66">
      <w:r>
        <w:t xml:space="preserve">Dr. </w:t>
      </w:r>
      <w:r w:rsidR="00523E25">
        <w:t>Raj Kumar Mani</w:t>
      </w:r>
    </w:p>
    <w:p w:rsidR="00523E25" w:rsidRPr="00931F66" w:rsidRDefault="002D0C8C">
      <w:pPr>
        <w:rPr>
          <w:sz w:val="16"/>
          <w:szCs w:val="16"/>
        </w:rPr>
      </w:pPr>
      <w:r>
        <w:rPr>
          <w:sz w:val="16"/>
          <w:szCs w:val="16"/>
        </w:rPr>
        <w:t xml:space="preserve">Director-Strategy &amp; </w:t>
      </w:r>
      <w:r w:rsidR="00523E25" w:rsidRPr="00931F66">
        <w:rPr>
          <w:sz w:val="16"/>
          <w:szCs w:val="16"/>
        </w:rPr>
        <w:t xml:space="preserve">Department of </w:t>
      </w:r>
      <w:proofErr w:type="spellStart"/>
      <w:r w:rsidR="00523E25" w:rsidRPr="00931F66">
        <w:rPr>
          <w:sz w:val="16"/>
          <w:szCs w:val="16"/>
        </w:rPr>
        <w:t>Pulmonology</w:t>
      </w:r>
      <w:proofErr w:type="spellEnd"/>
      <w:r w:rsidR="00D77954" w:rsidRPr="00D77954">
        <w:rPr>
          <w:sz w:val="16"/>
          <w:szCs w:val="16"/>
        </w:rPr>
        <w:t xml:space="preserve"> </w:t>
      </w:r>
      <w:r w:rsidR="00D77954" w:rsidRPr="00931F66">
        <w:rPr>
          <w:sz w:val="16"/>
          <w:szCs w:val="16"/>
        </w:rPr>
        <w:t>and Critical Care</w:t>
      </w:r>
      <w:r w:rsidR="00523E25" w:rsidRPr="00931F66">
        <w:rPr>
          <w:sz w:val="16"/>
          <w:szCs w:val="16"/>
        </w:rPr>
        <w:t xml:space="preserve">, </w:t>
      </w:r>
      <w:proofErr w:type="spellStart"/>
      <w:r w:rsidR="00931F66" w:rsidRPr="00931F66">
        <w:rPr>
          <w:sz w:val="16"/>
          <w:szCs w:val="16"/>
        </w:rPr>
        <w:t>Yashoda</w:t>
      </w:r>
      <w:proofErr w:type="spellEnd"/>
      <w:r w:rsidR="00931F66" w:rsidRPr="00931F66">
        <w:rPr>
          <w:sz w:val="16"/>
          <w:szCs w:val="16"/>
        </w:rPr>
        <w:t xml:space="preserve"> Hospitals, </w:t>
      </w:r>
      <w:proofErr w:type="spellStart"/>
      <w:r w:rsidR="00931F66" w:rsidRPr="00931F66">
        <w:rPr>
          <w:sz w:val="16"/>
          <w:szCs w:val="16"/>
        </w:rPr>
        <w:t>Kaushambi</w:t>
      </w:r>
      <w:proofErr w:type="spellEnd"/>
      <w:r w:rsidR="00931F66" w:rsidRPr="00931F66">
        <w:rPr>
          <w:sz w:val="16"/>
          <w:szCs w:val="16"/>
        </w:rPr>
        <w:t>, Ghaziabad</w:t>
      </w:r>
      <w:r w:rsidR="00274130">
        <w:rPr>
          <w:sz w:val="16"/>
          <w:szCs w:val="16"/>
        </w:rPr>
        <w:t>, UP</w:t>
      </w:r>
    </w:p>
    <w:p w:rsidR="00931F66" w:rsidRPr="00931F66" w:rsidRDefault="00931F66">
      <w:pPr>
        <w:rPr>
          <w:sz w:val="16"/>
          <w:szCs w:val="16"/>
        </w:rPr>
      </w:pPr>
      <w:r w:rsidRPr="00931F66">
        <w:rPr>
          <w:sz w:val="16"/>
          <w:szCs w:val="16"/>
        </w:rPr>
        <w:t>Member, Steering Committee, End of Life in India Task Force</w:t>
      </w:r>
    </w:p>
    <w:p w:rsidR="00931F66" w:rsidRDefault="00931F66">
      <w:r>
        <w:t xml:space="preserve">Dr. </w:t>
      </w:r>
      <w:proofErr w:type="spellStart"/>
      <w:r>
        <w:t>Srinagesh</w:t>
      </w:r>
      <w:proofErr w:type="spellEnd"/>
      <w:r>
        <w:t xml:space="preserve"> </w:t>
      </w:r>
      <w:proofErr w:type="spellStart"/>
      <w:r>
        <w:t>Simha</w:t>
      </w:r>
      <w:proofErr w:type="spellEnd"/>
    </w:p>
    <w:p w:rsidR="00931F66" w:rsidRPr="00931F66" w:rsidRDefault="00931F66">
      <w:pPr>
        <w:rPr>
          <w:sz w:val="16"/>
          <w:szCs w:val="16"/>
        </w:rPr>
      </w:pPr>
      <w:r w:rsidRPr="00931F66">
        <w:rPr>
          <w:sz w:val="16"/>
          <w:szCs w:val="16"/>
        </w:rPr>
        <w:t xml:space="preserve">Medical director, </w:t>
      </w:r>
      <w:proofErr w:type="spellStart"/>
      <w:r w:rsidRPr="00931F66">
        <w:rPr>
          <w:sz w:val="16"/>
          <w:szCs w:val="16"/>
        </w:rPr>
        <w:t>Karunashraya</w:t>
      </w:r>
      <w:proofErr w:type="spellEnd"/>
      <w:r w:rsidRPr="00931F66">
        <w:rPr>
          <w:sz w:val="16"/>
          <w:szCs w:val="16"/>
        </w:rPr>
        <w:t xml:space="preserve">, </w:t>
      </w:r>
      <w:proofErr w:type="spellStart"/>
      <w:r w:rsidRPr="00931F66">
        <w:rPr>
          <w:sz w:val="16"/>
          <w:szCs w:val="16"/>
        </w:rPr>
        <w:t>Bengaluru</w:t>
      </w:r>
      <w:proofErr w:type="spellEnd"/>
    </w:p>
    <w:p w:rsidR="00931F66" w:rsidRDefault="00931F66" w:rsidP="00931F66">
      <w:pPr>
        <w:rPr>
          <w:sz w:val="16"/>
          <w:szCs w:val="16"/>
        </w:rPr>
      </w:pPr>
      <w:r w:rsidRPr="00931F66">
        <w:rPr>
          <w:sz w:val="16"/>
          <w:szCs w:val="16"/>
        </w:rPr>
        <w:t>Member, Steering Committee, End of Life in India Task Force</w:t>
      </w:r>
    </w:p>
    <w:p w:rsidR="00931F66" w:rsidRPr="00931F66" w:rsidRDefault="00931F66" w:rsidP="00931F66">
      <w:r>
        <w:t xml:space="preserve">Dr. </w:t>
      </w:r>
      <w:proofErr w:type="spellStart"/>
      <w:r w:rsidRPr="00931F66">
        <w:t>Roop</w:t>
      </w:r>
      <w:proofErr w:type="spellEnd"/>
      <w:r w:rsidRPr="00931F66">
        <w:t xml:space="preserve"> </w:t>
      </w:r>
      <w:proofErr w:type="spellStart"/>
      <w:r w:rsidRPr="00931F66">
        <w:t>Gursahani</w:t>
      </w:r>
      <w:proofErr w:type="spellEnd"/>
    </w:p>
    <w:p w:rsidR="00931F66" w:rsidRDefault="00931F66" w:rsidP="00931F66">
      <w:pPr>
        <w:rPr>
          <w:sz w:val="16"/>
          <w:szCs w:val="16"/>
        </w:rPr>
      </w:pPr>
      <w:r>
        <w:rPr>
          <w:sz w:val="16"/>
          <w:szCs w:val="16"/>
        </w:rPr>
        <w:t xml:space="preserve">Consultant Neurologist and </w:t>
      </w:r>
      <w:proofErr w:type="spellStart"/>
      <w:r>
        <w:rPr>
          <w:sz w:val="16"/>
          <w:szCs w:val="16"/>
        </w:rPr>
        <w:t>Epileptologist</w:t>
      </w:r>
      <w:proofErr w:type="spellEnd"/>
      <w:r>
        <w:rPr>
          <w:sz w:val="16"/>
          <w:szCs w:val="16"/>
        </w:rPr>
        <w:t xml:space="preserve">, PD </w:t>
      </w:r>
      <w:proofErr w:type="spellStart"/>
      <w:r>
        <w:rPr>
          <w:sz w:val="16"/>
          <w:szCs w:val="16"/>
        </w:rPr>
        <w:t>Hinduja</w:t>
      </w:r>
      <w:proofErr w:type="spellEnd"/>
      <w:r>
        <w:rPr>
          <w:sz w:val="16"/>
          <w:szCs w:val="16"/>
        </w:rPr>
        <w:t xml:space="preserve"> national Hospital, Mumbai</w:t>
      </w:r>
    </w:p>
    <w:p w:rsidR="00931F66" w:rsidRDefault="00931F66" w:rsidP="00931F66">
      <w:pPr>
        <w:rPr>
          <w:sz w:val="16"/>
          <w:szCs w:val="16"/>
        </w:rPr>
      </w:pPr>
      <w:r w:rsidRPr="00931F66">
        <w:rPr>
          <w:sz w:val="16"/>
          <w:szCs w:val="16"/>
        </w:rPr>
        <w:t>Member, Steering Committee, End of Life in India Task Force</w:t>
      </w:r>
    </w:p>
    <w:p w:rsidR="00931F66" w:rsidRPr="00931F66" w:rsidRDefault="00931F66" w:rsidP="00931F66">
      <w:r>
        <w:t xml:space="preserve">Dr. </w:t>
      </w:r>
      <w:proofErr w:type="spellStart"/>
      <w:r w:rsidRPr="00931F66">
        <w:t>Dhvani</w:t>
      </w:r>
      <w:proofErr w:type="spellEnd"/>
      <w:r w:rsidRPr="00931F66">
        <w:t xml:space="preserve"> Mehta</w:t>
      </w:r>
    </w:p>
    <w:p w:rsidR="00931F66" w:rsidRDefault="00931F66" w:rsidP="00931F66">
      <w:pPr>
        <w:rPr>
          <w:sz w:val="16"/>
          <w:szCs w:val="16"/>
        </w:rPr>
      </w:pPr>
      <w:r>
        <w:rPr>
          <w:sz w:val="16"/>
          <w:szCs w:val="16"/>
        </w:rPr>
        <w:t xml:space="preserve">Senior Resident Fellow, </w:t>
      </w:r>
      <w:proofErr w:type="spellStart"/>
      <w:r>
        <w:rPr>
          <w:sz w:val="16"/>
          <w:szCs w:val="16"/>
        </w:rPr>
        <w:t>Vidhi</w:t>
      </w:r>
      <w:proofErr w:type="spellEnd"/>
      <w:r>
        <w:rPr>
          <w:sz w:val="16"/>
          <w:szCs w:val="16"/>
        </w:rPr>
        <w:t xml:space="preserve"> Center for Legal Policy, New Delhi</w:t>
      </w:r>
    </w:p>
    <w:p w:rsidR="00931F66" w:rsidRPr="00E15A79" w:rsidRDefault="00931F66" w:rsidP="00931F66">
      <w:r w:rsidRPr="00E15A79">
        <w:t xml:space="preserve">Dr. </w:t>
      </w:r>
      <w:proofErr w:type="spellStart"/>
      <w:r w:rsidRPr="00E15A79">
        <w:t>Pramod</w:t>
      </w:r>
      <w:proofErr w:type="spellEnd"/>
      <w:r w:rsidRPr="00E15A79">
        <w:t xml:space="preserve"> </w:t>
      </w:r>
      <w:proofErr w:type="spellStart"/>
      <w:r w:rsidRPr="00E15A79">
        <w:t>Garg</w:t>
      </w:r>
      <w:proofErr w:type="spellEnd"/>
    </w:p>
    <w:p w:rsidR="00931F66" w:rsidRDefault="00931F66" w:rsidP="00931F66">
      <w:pPr>
        <w:rPr>
          <w:sz w:val="16"/>
          <w:szCs w:val="16"/>
        </w:rPr>
      </w:pPr>
      <w:r>
        <w:rPr>
          <w:sz w:val="16"/>
          <w:szCs w:val="16"/>
        </w:rPr>
        <w:t xml:space="preserve">Professor of Gastroenterology, All India Institute of Medical Sciences, New </w:t>
      </w:r>
      <w:proofErr w:type="spellStart"/>
      <w:proofErr w:type="gramStart"/>
      <w:r>
        <w:rPr>
          <w:sz w:val="16"/>
          <w:szCs w:val="16"/>
        </w:rPr>
        <w:t>delhi</w:t>
      </w:r>
      <w:proofErr w:type="spellEnd"/>
      <w:proofErr w:type="gramEnd"/>
    </w:p>
    <w:p w:rsidR="00E15A79" w:rsidRDefault="00E15A79" w:rsidP="00931F66">
      <w:r w:rsidRPr="00E15A79">
        <w:t xml:space="preserve">Dr </w:t>
      </w:r>
      <w:proofErr w:type="spellStart"/>
      <w:r w:rsidRPr="00E15A79">
        <w:t>Roli</w:t>
      </w:r>
      <w:proofErr w:type="spellEnd"/>
      <w:r w:rsidRPr="00E15A79">
        <w:t xml:space="preserve"> Mathur</w:t>
      </w:r>
    </w:p>
    <w:p w:rsidR="00E15A79" w:rsidRPr="00E15A79" w:rsidRDefault="00E15A79" w:rsidP="00931F66">
      <w:pPr>
        <w:rPr>
          <w:sz w:val="16"/>
          <w:szCs w:val="16"/>
        </w:rPr>
      </w:pPr>
      <w:r w:rsidRPr="00E15A79">
        <w:rPr>
          <w:sz w:val="16"/>
          <w:szCs w:val="16"/>
        </w:rPr>
        <w:t>Scientist ‘F’ and Head, ICMR Bioethics Unit, National Center for Bioethics and Research,</w:t>
      </w:r>
    </w:p>
    <w:p w:rsidR="00E15A79" w:rsidRDefault="00E15A79" w:rsidP="00931F66">
      <w:pPr>
        <w:rPr>
          <w:sz w:val="16"/>
          <w:szCs w:val="16"/>
        </w:rPr>
      </w:pPr>
      <w:r w:rsidRPr="00E15A79">
        <w:rPr>
          <w:sz w:val="16"/>
          <w:szCs w:val="16"/>
        </w:rPr>
        <w:t>Indian Council of Medical Research</w:t>
      </w:r>
    </w:p>
    <w:p w:rsidR="00E15A79" w:rsidRPr="00E15A79" w:rsidRDefault="00E15A79" w:rsidP="00931F66">
      <w:r>
        <w:rPr>
          <w:sz w:val="16"/>
          <w:szCs w:val="16"/>
        </w:rPr>
        <w:t>Corresponding author: Raj Kumar Mani. Raj.rkmjs@gmail.com.Mobile:9811131719</w:t>
      </w:r>
    </w:p>
    <w:p w:rsidR="00E15A79" w:rsidRDefault="00E15A79" w:rsidP="00931F66">
      <w:pPr>
        <w:rPr>
          <w:sz w:val="16"/>
          <w:szCs w:val="16"/>
        </w:rPr>
      </w:pPr>
    </w:p>
    <w:p w:rsidR="00931F66" w:rsidRDefault="00931F66" w:rsidP="00931F66">
      <w:pPr>
        <w:rPr>
          <w:sz w:val="16"/>
          <w:szCs w:val="16"/>
        </w:rPr>
      </w:pPr>
    </w:p>
    <w:p w:rsidR="00931F66" w:rsidRPr="00931F66" w:rsidRDefault="00931F66" w:rsidP="00931F66">
      <w:pPr>
        <w:rPr>
          <w:sz w:val="16"/>
          <w:szCs w:val="16"/>
        </w:rPr>
      </w:pPr>
    </w:p>
    <w:p w:rsidR="00931F66" w:rsidRDefault="00931F66"/>
    <w:p w:rsidR="00931F66" w:rsidRDefault="00931F66"/>
    <w:p w:rsidR="00523E25" w:rsidRDefault="00523E25"/>
    <w:p w:rsidR="0082666C" w:rsidRDefault="00D86667">
      <w:proofErr w:type="spellStart"/>
      <w:r>
        <w:t>Srinagesh</w:t>
      </w:r>
      <w:proofErr w:type="spellEnd"/>
      <w:r>
        <w:t xml:space="preserve"> </w:t>
      </w:r>
      <w:proofErr w:type="spellStart"/>
      <w:r>
        <w:t>Simha</w:t>
      </w:r>
      <w:proofErr w:type="spellEnd"/>
      <w:r>
        <w:t xml:space="preserve">, </w:t>
      </w:r>
      <w:proofErr w:type="spellStart"/>
      <w:r>
        <w:t>Roop</w:t>
      </w:r>
      <w:proofErr w:type="spellEnd"/>
      <w:r>
        <w:t xml:space="preserve"> Kumar </w:t>
      </w:r>
      <w:proofErr w:type="spellStart"/>
      <w:r>
        <w:t>Gursahani</w:t>
      </w:r>
      <w:proofErr w:type="spellEnd"/>
      <w:r>
        <w:t>,</w:t>
      </w:r>
      <w:r w:rsidR="0082666C">
        <w:t xml:space="preserve"> </w:t>
      </w:r>
      <w:proofErr w:type="spellStart"/>
      <w:r w:rsidR="0082666C">
        <w:t>Dhvani</w:t>
      </w:r>
      <w:proofErr w:type="spellEnd"/>
      <w:r w:rsidR="0082666C">
        <w:t xml:space="preserve"> Mehta</w:t>
      </w:r>
      <w:r w:rsidR="0056230F">
        <w:t xml:space="preserve">, </w:t>
      </w:r>
      <w:proofErr w:type="spellStart"/>
      <w:r w:rsidR="0056230F">
        <w:t>Pramod</w:t>
      </w:r>
      <w:proofErr w:type="spellEnd"/>
      <w:r w:rsidR="0056230F">
        <w:t xml:space="preserve"> </w:t>
      </w:r>
      <w:proofErr w:type="spellStart"/>
      <w:r w:rsidR="0056230F">
        <w:t>Garg</w:t>
      </w:r>
      <w:proofErr w:type="spellEnd"/>
      <w:r w:rsidR="00FC7F94">
        <w:t xml:space="preserve">, </w:t>
      </w:r>
      <w:proofErr w:type="spellStart"/>
      <w:r w:rsidR="00FC7F94">
        <w:t>Roli</w:t>
      </w:r>
      <w:proofErr w:type="spellEnd"/>
      <w:r w:rsidR="00FC7F94">
        <w:t xml:space="preserve"> Mathur</w:t>
      </w:r>
    </w:p>
    <w:p w:rsidR="00523E25" w:rsidRDefault="00523E25"/>
    <w:p w:rsidR="003E4CEA" w:rsidRDefault="003E4CEA">
      <w:r>
        <w:lastRenderedPageBreak/>
        <w:t xml:space="preserve">We note with interest Dr </w:t>
      </w:r>
      <w:proofErr w:type="spellStart"/>
      <w:r>
        <w:t>Olinda</w:t>
      </w:r>
      <w:proofErr w:type="spellEnd"/>
      <w:r>
        <w:t xml:space="preserve"> </w:t>
      </w:r>
      <w:proofErr w:type="spellStart"/>
      <w:r>
        <w:t>Timm</w:t>
      </w:r>
      <w:r w:rsidR="0082666C">
        <w:t>s</w:t>
      </w:r>
      <w:proofErr w:type="spellEnd"/>
      <w:r w:rsidR="0082666C">
        <w:t>’</w:t>
      </w:r>
      <w:r>
        <w:t xml:space="preserve"> </w:t>
      </w:r>
      <w:r w:rsidR="0036002C">
        <w:t>comments</w:t>
      </w:r>
      <w:r w:rsidR="00F90FC6">
        <w:t xml:space="preserve"> [1</w:t>
      </w:r>
      <w:r w:rsidR="00F359A7">
        <w:t>]</w:t>
      </w:r>
      <w:r>
        <w:t xml:space="preserve"> on the ICMR guidelines </w:t>
      </w:r>
      <w:r w:rsidR="003D1923">
        <w:t>for</w:t>
      </w:r>
      <w:r>
        <w:t xml:space="preserve"> </w:t>
      </w:r>
      <w:r w:rsidR="0062619A">
        <w:t>Do-not-Attempt-Resuscitation (</w:t>
      </w:r>
      <w:r>
        <w:t>DNAR</w:t>
      </w:r>
      <w:r w:rsidR="0062619A">
        <w:t>)</w:t>
      </w:r>
      <w:r>
        <w:t xml:space="preserve"> published </w:t>
      </w:r>
      <w:r w:rsidR="00FF6C7F">
        <w:t>recently [</w:t>
      </w:r>
      <w:r w:rsidR="00506AD1">
        <w:t>2]</w:t>
      </w:r>
      <w:r w:rsidR="003B313D">
        <w:t xml:space="preserve"> </w:t>
      </w:r>
      <w:r w:rsidR="00C50D45">
        <w:t>thank</w:t>
      </w:r>
      <w:r w:rsidR="00B916F1">
        <w:t>ing</w:t>
      </w:r>
      <w:r w:rsidR="00102429">
        <w:t xml:space="preserve"> </w:t>
      </w:r>
      <w:r w:rsidR="00C50D45">
        <w:t>her for raising some pertinent issues</w:t>
      </w:r>
      <w:r>
        <w:t>.</w:t>
      </w:r>
    </w:p>
    <w:p w:rsidR="004607C7" w:rsidRDefault="003E4CEA" w:rsidP="00071E12">
      <w:r>
        <w:t>One of the reservations expressed in th</w:t>
      </w:r>
      <w:r w:rsidR="00FF202C">
        <w:t>is</w:t>
      </w:r>
      <w:r>
        <w:t xml:space="preserve"> </w:t>
      </w:r>
      <w:r w:rsidR="00FF202C">
        <w:t>commentary</w:t>
      </w:r>
      <w:r>
        <w:t xml:space="preserve"> is the lack of details </w:t>
      </w:r>
      <w:r w:rsidR="0082666C">
        <w:t xml:space="preserve">regarding </w:t>
      </w:r>
      <w:r>
        <w:t xml:space="preserve">the legality of DNAR decisions in </w:t>
      </w:r>
      <w:r w:rsidR="00FF202C">
        <w:t>the ICMR document</w:t>
      </w:r>
      <w:r w:rsidR="006F7AA9">
        <w:t xml:space="preserve">. There is, to date, </w:t>
      </w:r>
      <w:r>
        <w:t xml:space="preserve">no clear pronouncement on DNAR in Indian Law. That should be no reason not to </w:t>
      </w:r>
      <w:r w:rsidR="004E62EA">
        <w:t>formulate</w:t>
      </w:r>
      <w:r>
        <w:t xml:space="preserve"> an ethical</w:t>
      </w:r>
      <w:r w:rsidR="00171587">
        <w:t xml:space="preserve"> and </w:t>
      </w:r>
      <w:r w:rsidR="0026727E">
        <w:t>professional</w:t>
      </w:r>
      <w:r>
        <w:t xml:space="preserve"> consensus </w:t>
      </w:r>
      <w:r w:rsidR="004E62EA">
        <w:t xml:space="preserve">to clarify when </w:t>
      </w:r>
      <w:r w:rsidR="00FF202C">
        <w:t>Cardio Pulmonary Resuscitation (</w:t>
      </w:r>
      <w:r w:rsidR="00F359A7">
        <w:t>CPR</w:t>
      </w:r>
      <w:r w:rsidR="00FF202C">
        <w:t>)</w:t>
      </w:r>
      <w:r w:rsidR="00F359A7">
        <w:t>,</w:t>
      </w:r>
      <w:r w:rsidR="00ED0838">
        <w:t xml:space="preserve"> a medical procedure</w:t>
      </w:r>
      <w:r w:rsidR="00B916F1">
        <w:t>, [</w:t>
      </w:r>
      <w:r w:rsidR="004F603C">
        <w:t>3</w:t>
      </w:r>
      <w:r w:rsidR="00FF4E20">
        <w:t>]</w:t>
      </w:r>
      <w:r w:rsidR="004E62EA">
        <w:t xml:space="preserve"> may not be indicated</w:t>
      </w:r>
      <w:r>
        <w:t xml:space="preserve">. </w:t>
      </w:r>
      <w:r w:rsidR="00376580" w:rsidRPr="004E3601">
        <w:t>Evidence-based</w:t>
      </w:r>
      <w:r w:rsidR="00376580">
        <w:t xml:space="preserve"> practice</w:t>
      </w:r>
      <w:r w:rsidR="000428C4">
        <w:t>,</w:t>
      </w:r>
      <w:r>
        <w:t xml:space="preserve"> grounded </w:t>
      </w:r>
      <w:r w:rsidR="0082666C">
        <w:t>in</w:t>
      </w:r>
      <w:r>
        <w:t xml:space="preserve"> ethics and pragmatism </w:t>
      </w:r>
      <w:r w:rsidR="0082666C">
        <w:t>has</w:t>
      </w:r>
      <w:r w:rsidR="007850B3">
        <w:t xml:space="preserve"> always</w:t>
      </w:r>
      <w:r>
        <w:t xml:space="preserve"> precede</w:t>
      </w:r>
      <w:r w:rsidR="007850B3">
        <w:t>d</w:t>
      </w:r>
      <w:r w:rsidR="0082666C">
        <w:t xml:space="preserve"> l</w:t>
      </w:r>
      <w:r>
        <w:t>aw and legislation. Otherwise it would be a case of the cart be</w:t>
      </w:r>
      <w:r w:rsidR="00737D8E">
        <w:t>fore the horse.</w:t>
      </w:r>
      <w:r w:rsidR="004607C7">
        <w:t xml:space="preserve"> </w:t>
      </w:r>
      <w:r w:rsidR="002E5BC3">
        <w:t xml:space="preserve">However, </w:t>
      </w:r>
      <w:r w:rsidR="002E5BC3" w:rsidRPr="004E3601">
        <w:t>in order to address legal concerns, and to ensure consistency with existing laws</w:t>
      </w:r>
      <w:r w:rsidR="002E5BC3">
        <w:t xml:space="preserve">, </w:t>
      </w:r>
      <w:r w:rsidR="004607C7">
        <w:t xml:space="preserve">the document was legally validated by 3 </w:t>
      </w:r>
      <w:r w:rsidR="00B74582">
        <w:t>lawyers</w:t>
      </w:r>
      <w:r w:rsidR="004607C7">
        <w:t xml:space="preserve"> who were part of the </w:t>
      </w:r>
      <w:r w:rsidR="00B74582">
        <w:t>Core C</w:t>
      </w:r>
      <w:r w:rsidR="004607C7">
        <w:t>ommittee</w:t>
      </w:r>
      <w:r w:rsidR="00B74582">
        <w:t xml:space="preserve"> and </w:t>
      </w:r>
      <w:r w:rsidR="008C7D8A">
        <w:t xml:space="preserve">the </w:t>
      </w:r>
      <w:r w:rsidR="00B74582">
        <w:t>Expert Group</w:t>
      </w:r>
      <w:r w:rsidR="004607C7">
        <w:t>.</w:t>
      </w:r>
    </w:p>
    <w:p w:rsidR="00071E12" w:rsidRPr="00071E12" w:rsidRDefault="00737D8E" w:rsidP="00071E12">
      <w:r>
        <w:t xml:space="preserve"> DNAR has been </w:t>
      </w:r>
      <w:r w:rsidR="00916AE4">
        <w:t>an</w:t>
      </w:r>
      <w:r>
        <w:t xml:space="preserve"> integral part of</w:t>
      </w:r>
      <w:r w:rsidR="003E4CEA">
        <w:t xml:space="preserve"> </w:t>
      </w:r>
      <w:r>
        <w:t xml:space="preserve">medical </w:t>
      </w:r>
      <w:r w:rsidR="00ED0838">
        <w:t xml:space="preserve">practice worldwide for </w:t>
      </w:r>
      <w:r>
        <w:t>more than</w:t>
      </w:r>
      <w:r w:rsidR="00ED0838">
        <w:t xml:space="preserve"> 45 years</w:t>
      </w:r>
      <w:r w:rsidR="00C90D0D">
        <w:t>. [</w:t>
      </w:r>
      <w:r w:rsidR="004F603C">
        <w:t>4</w:t>
      </w:r>
      <w:r>
        <w:t>]</w:t>
      </w:r>
      <w:r w:rsidR="00ED0838">
        <w:t xml:space="preserve"> In the US</w:t>
      </w:r>
      <w:r w:rsidR="004645B1">
        <w:t>,</w:t>
      </w:r>
      <w:r w:rsidR="00ED0838">
        <w:t xml:space="preserve"> the first </w:t>
      </w:r>
      <w:r w:rsidR="004645B1">
        <w:t xml:space="preserve">of </w:t>
      </w:r>
      <w:r w:rsidR="00ED0838">
        <w:t>such order</w:t>
      </w:r>
      <w:r w:rsidR="00916AE4">
        <w:t>s</w:t>
      </w:r>
      <w:r w:rsidR="00ED0838">
        <w:t xml:space="preserve"> was written in 1974 followed by a codified Law </w:t>
      </w:r>
      <w:r w:rsidR="00916AE4">
        <w:t>only in</w:t>
      </w:r>
      <w:r w:rsidR="00ED0838">
        <w:t xml:space="preserve"> 1988. </w:t>
      </w:r>
      <w:r>
        <w:t xml:space="preserve">The Law </w:t>
      </w:r>
      <w:r w:rsidR="00ED0838">
        <w:t xml:space="preserve">served to </w:t>
      </w:r>
      <w:r w:rsidR="00843246">
        <w:t xml:space="preserve">considerably </w:t>
      </w:r>
      <w:r w:rsidR="00ED0838">
        <w:t xml:space="preserve">reduce unnecessary CPR as well as </w:t>
      </w:r>
      <w:r w:rsidR="00D75BB4">
        <w:t>unilateral</w:t>
      </w:r>
      <w:r w:rsidR="00ED0838">
        <w:t xml:space="preserve"> DNAR</w:t>
      </w:r>
      <w:r w:rsidR="009F1854">
        <w:t>. [</w:t>
      </w:r>
      <w:r w:rsidR="004F603C">
        <w:t>5</w:t>
      </w:r>
      <w:r>
        <w:t>]</w:t>
      </w:r>
      <w:r w:rsidR="00ED0838">
        <w:t xml:space="preserve"> </w:t>
      </w:r>
      <w:r w:rsidR="00067B5B">
        <w:t xml:space="preserve">It is important to </w:t>
      </w:r>
      <w:r w:rsidR="007F220A">
        <w:t>mention</w:t>
      </w:r>
      <w:r w:rsidR="00067B5B">
        <w:t xml:space="preserve"> that o</w:t>
      </w:r>
      <w:r w:rsidR="00067B5B" w:rsidRPr="00071E12">
        <w:t>utcomes of CPR in critically ill patients are beneficial in less than 5%. [</w:t>
      </w:r>
      <w:r w:rsidR="004F603C">
        <w:t>6</w:t>
      </w:r>
      <w:r w:rsidR="00067B5B" w:rsidRPr="00071E12">
        <w:t>] The consequences</w:t>
      </w:r>
      <w:r w:rsidR="00067B5B" w:rsidRPr="00067B5B">
        <w:t>,</w:t>
      </w:r>
      <w:r w:rsidR="00067B5B" w:rsidRPr="00071E12">
        <w:t xml:space="preserve"> to the individual families and to the society at large, are highly adverse</w:t>
      </w:r>
      <w:r w:rsidR="004E3601">
        <w:t>,</w:t>
      </w:r>
      <w:r w:rsidR="00067B5B" w:rsidRPr="00071E12">
        <w:t xml:space="preserve"> for CPR </w:t>
      </w:r>
      <w:r w:rsidR="004E3601">
        <w:t>may</w:t>
      </w:r>
      <w:r w:rsidR="00067B5B" w:rsidRPr="00071E12">
        <w:t xml:space="preserve"> result in survival but with poor neurological outcome. </w:t>
      </w:r>
      <w:r w:rsidR="00ED0838">
        <w:t xml:space="preserve">In India, </w:t>
      </w:r>
      <w:r w:rsidR="00272279">
        <w:t>despite</w:t>
      </w:r>
      <w:r w:rsidR="00ED0838">
        <w:t xml:space="preserve"> </w:t>
      </w:r>
      <w:r w:rsidR="00495762">
        <w:t>much</w:t>
      </w:r>
      <w:r w:rsidR="00ED0838">
        <w:t xml:space="preserve"> avoidable suffering to patients and families and moral distress to caregivers, there is no formal acceptance of</w:t>
      </w:r>
      <w:r w:rsidR="004E3601">
        <w:t xml:space="preserve"> the grim</w:t>
      </w:r>
      <w:r w:rsidR="00ED0838">
        <w:t xml:space="preserve"> realities </w:t>
      </w:r>
      <w:r w:rsidR="00272279">
        <w:t>due to which</w:t>
      </w:r>
      <w:r w:rsidR="00ED0838">
        <w:t xml:space="preserve"> DNAR</w:t>
      </w:r>
      <w:r w:rsidR="007C55CB">
        <w:t xml:space="preserve"> </w:t>
      </w:r>
      <w:r w:rsidR="006812D2">
        <w:t>is</w:t>
      </w:r>
      <w:r w:rsidR="00272279">
        <w:t xml:space="preserve"> considered </w:t>
      </w:r>
      <w:r w:rsidR="00ED0838">
        <w:t>essential in modern Medicine.</w:t>
      </w:r>
      <w:r w:rsidR="00071E12">
        <w:t xml:space="preserve"> </w:t>
      </w:r>
    </w:p>
    <w:p w:rsidR="003E4CEA" w:rsidRDefault="002E5BC3" w:rsidP="00071E12">
      <w:r w:rsidRPr="008F22AD">
        <w:t>CPR</w:t>
      </w:r>
      <w:r w:rsidR="00071E12" w:rsidRPr="00067B5B">
        <w:t>,</w:t>
      </w:r>
      <w:r w:rsidR="00071E12" w:rsidRPr="00071E12">
        <w:t xml:space="preserve"> under the circumstances of terminal disease</w:t>
      </w:r>
      <w:r w:rsidR="00071E12" w:rsidRPr="00067B5B">
        <w:t>,</w:t>
      </w:r>
      <w:r w:rsidR="00071E12" w:rsidRPr="00071E12">
        <w:t xml:space="preserve"> is therefore usually not acceptable</w:t>
      </w:r>
      <w:proofErr w:type="gramStart"/>
      <w:r w:rsidR="00071E12" w:rsidRPr="00071E12">
        <w:t>.</w:t>
      </w:r>
      <w:r w:rsidR="00FF4E20">
        <w:t>[</w:t>
      </w:r>
      <w:proofErr w:type="gramEnd"/>
      <w:r w:rsidR="004F603C">
        <w:t>7</w:t>
      </w:r>
      <w:r w:rsidR="00071E12" w:rsidRPr="00071E12">
        <w:t>]</w:t>
      </w:r>
      <w:r w:rsidR="00A06418">
        <w:t>It is pertinent to point out that most of the litigation</w:t>
      </w:r>
      <w:r w:rsidR="00916AE4">
        <w:t>s</w:t>
      </w:r>
      <w:r w:rsidR="00A06418">
        <w:t xml:space="preserve"> around CPR in the world have been for the breach of </w:t>
      </w:r>
      <w:r w:rsidR="002B23BD">
        <w:t xml:space="preserve">patient’s rights </w:t>
      </w:r>
      <w:r w:rsidR="00A06418">
        <w:t xml:space="preserve">in </w:t>
      </w:r>
      <w:r w:rsidR="002B23BD">
        <w:t>performing</w:t>
      </w:r>
      <w:r w:rsidR="00A06418">
        <w:t xml:space="preserve"> CPR</w:t>
      </w:r>
      <w:r w:rsidR="00916AE4">
        <w:t>,</w:t>
      </w:r>
      <w:r w:rsidR="00A06418">
        <w:t xml:space="preserve"> </w:t>
      </w:r>
      <w:r w:rsidR="002110F5">
        <w:t>disregarding</w:t>
      </w:r>
      <w:r w:rsidR="00A06418">
        <w:t xml:space="preserve"> Advance Directives.[</w:t>
      </w:r>
      <w:r w:rsidR="004F603C">
        <w:t>8</w:t>
      </w:r>
      <w:r w:rsidR="00A06418">
        <w:t>]</w:t>
      </w:r>
      <w:r w:rsidR="00071E12">
        <w:rPr>
          <w:sz w:val="36"/>
          <w:szCs w:val="36"/>
        </w:rPr>
        <w:t xml:space="preserve"> </w:t>
      </w:r>
      <w:r w:rsidR="00ED0838">
        <w:t xml:space="preserve">The tenets of </w:t>
      </w:r>
      <w:r w:rsidR="00071E12">
        <w:t>respect for Autonomy</w:t>
      </w:r>
      <w:r w:rsidR="00ED0838">
        <w:t xml:space="preserve"> and of </w:t>
      </w:r>
      <w:r w:rsidR="00071E12">
        <w:t xml:space="preserve">weighing </w:t>
      </w:r>
      <w:r w:rsidR="00ED0838">
        <w:t xml:space="preserve">benefit </w:t>
      </w:r>
      <w:r w:rsidR="009175DE">
        <w:t>vs.</w:t>
      </w:r>
      <w:r w:rsidR="00071E12">
        <w:t xml:space="preserve"> </w:t>
      </w:r>
      <w:r w:rsidR="00ED0838">
        <w:t>harm</w:t>
      </w:r>
      <w:r w:rsidR="00071E12">
        <w:t xml:space="preserve"> to fulfill the obligations of Beneficence and Non Malfeasance</w:t>
      </w:r>
      <w:r w:rsidR="002E605C">
        <w:t>,</w:t>
      </w:r>
      <w:r w:rsidR="00ED0838">
        <w:t xml:space="preserve"> are ignored</w:t>
      </w:r>
      <w:r w:rsidR="005609AD">
        <w:t>,</w:t>
      </w:r>
      <w:r w:rsidR="00ED0838">
        <w:t xml:space="preserve"> when CPR is </w:t>
      </w:r>
      <w:r w:rsidR="0042007C">
        <w:t>done</w:t>
      </w:r>
      <w:r w:rsidR="00ED0838">
        <w:t xml:space="preserve"> </w:t>
      </w:r>
      <w:r w:rsidR="0021594C">
        <w:t>regardless of</w:t>
      </w:r>
      <w:r w:rsidR="00ED0838">
        <w:t xml:space="preserve"> the phase of the illness or </w:t>
      </w:r>
      <w:r w:rsidR="0042007C">
        <w:t>the patient’s</w:t>
      </w:r>
      <w:r w:rsidR="00D84BF7">
        <w:t xml:space="preserve"> </w:t>
      </w:r>
      <w:r w:rsidR="00ED0838">
        <w:t>choice. Th</w:t>
      </w:r>
      <w:r w:rsidR="00094128">
        <w:t>e ICMR</w:t>
      </w:r>
      <w:r w:rsidR="00ED0838">
        <w:t xml:space="preserve"> document aims at defining the ethical standards of care with respect to CPR</w:t>
      </w:r>
      <w:r w:rsidR="00F359A7">
        <w:t>/DNAR. In any case</w:t>
      </w:r>
      <w:r w:rsidR="00D26C77">
        <w:t>,</w:t>
      </w:r>
      <w:r w:rsidR="00F359A7">
        <w:t xml:space="preserve"> legal liability, as with any medical decision, is determined by care standards </w:t>
      </w:r>
      <w:r w:rsidR="00F41348">
        <w:t>set</w:t>
      </w:r>
      <w:r w:rsidR="00F359A7">
        <w:t xml:space="preserve"> by professional consensus. The Constitutional validity of treatment refusal and withholding of life-prolonging treatment was </w:t>
      </w:r>
      <w:r w:rsidR="00396811">
        <w:t xml:space="preserve">well </w:t>
      </w:r>
      <w:r w:rsidR="00F359A7">
        <w:t>established</w:t>
      </w:r>
      <w:r w:rsidR="00425D5A">
        <w:t xml:space="preserve"> for India</w:t>
      </w:r>
      <w:r w:rsidR="00F359A7">
        <w:t xml:space="preserve"> </w:t>
      </w:r>
      <w:r w:rsidR="00396811">
        <w:t xml:space="preserve">in the </w:t>
      </w:r>
      <w:r w:rsidR="00396811" w:rsidRPr="00396811">
        <w:rPr>
          <w:i/>
        </w:rPr>
        <w:t>Common Cause</w:t>
      </w:r>
      <w:r w:rsidR="00396811">
        <w:t xml:space="preserve"> judgment</w:t>
      </w:r>
      <w:proofErr w:type="gramStart"/>
      <w:r w:rsidR="00396811">
        <w:t>.[</w:t>
      </w:r>
      <w:proofErr w:type="gramEnd"/>
      <w:r w:rsidR="004F603C">
        <w:t>9</w:t>
      </w:r>
      <w:r w:rsidR="00396811">
        <w:t>]</w:t>
      </w:r>
    </w:p>
    <w:p w:rsidR="00396811" w:rsidRDefault="00396811">
      <w:r>
        <w:t xml:space="preserve">As noted by Dr </w:t>
      </w:r>
      <w:proofErr w:type="spellStart"/>
      <w:r>
        <w:t>Timm</w:t>
      </w:r>
      <w:r w:rsidR="00D23595">
        <w:t>s</w:t>
      </w:r>
      <w:proofErr w:type="spellEnd"/>
      <w:r>
        <w:t xml:space="preserve">, indeed it </w:t>
      </w:r>
      <w:r w:rsidR="001D3242">
        <w:t xml:space="preserve">would be </w:t>
      </w:r>
      <w:r w:rsidR="001D3242" w:rsidRPr="008F22AD">
        <w:t>desirable</w:t>
      </w:r>
      <w:r w:rsidR="001D3242">
        <w:t xml:space="preserve"> for a </w:t>
      </w:r>
      <w:r w:rsidR="00D23595">
        <w:t xml:space="preserve">professional </w:t>
      </w:r>
      <w:r>
        <w:t>regulatory authority such as the National Medical Commis</w:t>
      </w:r>
      <w:r w:rsidR="007C2896">
        <w:t>s</w:t>
      </w:r>
      <w:r>
        <w:t xml:space="preserve">ion to formulate policies on matters such as DNAR or the overarching End of Life Care. In the absence of </w:t>
      </w:r>
      <w:r w:rsidRPr="008F22AD">
        <w:t>such</w:t>
      </w:r>
      <w:r>
        <w:t xml:space="preserve"> </w:t>
      </w:r>
      <w:r w:rsidR="00513E51">
        <w:t>guidance</w:t>
      </w:r>
      <w:r>
        <w:t>, the ICMR initiative has answered the long-felt need</w:t>
      </w:r>
      <w:r w:rsidR="00331E7E">
        <w:t>s</w:t>
      </w:r>
      <w:r>
        <w:t xml:space="preserve"> of medical </w:t>
      </w:r>
      <w:r w:rsidR="00331E7E">
        <w:t>caregivers</w:t>
      </w:r>
      <w:r>
        <w:t xml:space="preserve"> confronted </w:t>
      </w:r>
      <w:r w:rsidR="00331E7E">
        <w:t xml:space="preserve">daily, </w:t>
      </w:r>
      <w:r>
        <w:t>with ethical dilemmas</w:t>
      </w:r>
      <w:r w:rsidR="00E27C25">
        <w:t xml:space="preserve"> </w:t>
      </w:r>
      <w:r w:rsidR="009770FF">
        <w:t>in</w:t>
      </w:r>
      <w:r w:rsidR="00E27C25">
        <w:t xml:space="preserve"> </w:t>
      </w:r>
      <w:r w:rsidR="009770FF">
        <w:t>managing</w:t>
      </w:r>
      <w:r w:rsidR="00E27C25">
        <w:t xml:space="preserve"> terminally ill patients</w:t>
      </w:r>
      <w:r>
        <w:t>.</w:t>
      </w:r>
      <w:r w:rsidR="008F22AD">
        <w:t xml:space="preserve"> It is appropriate that ICMR, the regulatory authority for research ethics, </w:t>
      </w:r>
      <w:r w:rsidR="0021548A">
        <w:t>formulates</w:t>
      </w:r>
      <w:r w:rsidR="008F22AD">
        <w:t xml:space="preserve"> guidelines for DNAR</w:t>
      </w:r>
      <w:r w:rsidR="0021548A">
        <w:t>,</w:t>
      </w:r>
      <w:r w:rsidR="008F22AD">
        <w:t xml:space="preserve"> which has as much to do with ethics as with clinical decision-making.</w:t>
      </w:r>
    </w:p>
    <w:p w:rsidR="00FE165A" w:rsidRDefault="00345B8B">
      <w:r>
        <w:t>D</w:t>
      </w:r>
      <w:r w:rsidR="00396811">
        <w:t>ue care</w:t>
      </w:r>
      <w:r w:rsidR="00CE2F7E">
        <w:t xml:space="preserve"> and diligence</w:t>
      </w:r>
      <w:r w:rsidR="00396811">
        <w:t xml:space="preserve"> </w:t>
      </w:r>
      <w:r>
        <w:t>went into</w:t>
      </w:r>
      <w:r w:rsidR="00396811">
        <w:t xml:space="preserve"> the formation of the </w:t>
      </w:r>
      <w:r w:rsidR="00853BF1">
        <w:t>Expert Group</w:t>
      </w:r>
      <w:r w:rsidR="00396811">
        <w:t xml:space="preserve"> to ensure it is truly representative. The core </w:t>
      </w:r>
      <w:r w:rsidR="006D16D9">
        <w:t>Committee</w:t>
      </w:r>
      <w:r w:rsidR="00396811">
        <w:t xml:space="preserve"> included</w:t>
      </w:r>
      <w:r w:rsidR="001816F2">
        <w:t>, apart from the ICMR Bioethics department,</w:t>
      </w:r>
      <w:r w:rsidR="00396811">
        <w:t xml:space="preserve"> </w:t>
      </w:r>
      <w:r w:rsidR="00AB325D">
        <w:t>several</w:t>
      </w:r>
      <w:r w:rsidR="00396811">
        <w:t xml:space="preserve"> practicing clinicians</w:t>
      </w:r>
      <w:r w:rsidR="009770FF">
        <w:t xml:space="preserve"> with subject expertise</w:t>
      </w:r>
      <w:r w:rsidR="00396811">
        <w:t xml:space="preserve">-an </w:t>
      </w:r>
      <w:proofErr w:type="spellStart"/>
      <w:proofErr w:type="gramStart"/>
      <w:r w:rsidR="00396811">
        <w:t>intensivist</w:t>
      </w:r>
      <w:proofErr w:type="spellEnd"/>
      <w:r w:rsidR="009770FF">
        <w:t xml:space="preserve"> </w:t>
      </w:r>
      <w:r w:rsidR="002B48EC">
        <w:t>,</w:t>
      </w:r>
      <w:proofErr w:type="gramEnd"/>
      <w:r w:rsidR="002B48EC">
        <w:t xml:space="preserve"> an </w:t>
      </w:r>
      <w:proofErr w:type="spellStart"/>
      <w:r w:rsidR="002B48EC">
        <w:t>anaesthesiologist</w:t>
      </w:r>
      <w:proofErr w:type="spellEnd"/>
      <w:r w:rsidR="002B48EC">
        <w:t>-</w:t>
      </w:r>
      <w:r w:rsidR="00396811">
        <w:t>cum</w:t>
      </w:r>
      <w:r w:rsidR="00FE165A">
        <w:t>-</w:t>
      </w:r>
      <w:r w:rsidR="00396811">
        <w:t xml:space="preserve">palliative care specialist, a neurologist with interest in </w:t>
      </w:r>
      <w:proofErr w:type="spellStart"/>
      <w:r w:rsidR="00396811">
        <w:t>neuro</w:t>
      </w:r>
      <w:proofErr w:type="spellEnd"/>
      <w:r w:rsidR="00396811">
        <w:t>-palliative care</w:t>
      </w:r>
      <w:r w:rsidR="009770FF">
        <w:t xml:space="preserve"> and </w:t>
      </w:r>
      <w:r w:rsidR="002A3E58" w:rsidRPr="00D530BE">
        <w:t>physicians</w:t>
      </w:r>
      <w:r w:rsidR="00FE165A" w:rsidRPr="00D530BE">
        <w:t>.</w:t>
      </w:r>
      <w:r w:rsidR="00FE165A" w:rsidRPr="002A3E58">
        <w:rPr>
          <w:color w:val="FF0000"/>
        </w:rPr>
        <w:t xml:space="preserve"> </w:t>
      </w:r>
      <w:r w:rsidR="00FE165A" w:rsidRPr="00D530BE">
        <w:t>The group was drawn from both Public and Private sectors. In recognition of the multi-professional intersections</w:t>
      </w:r>
      <w:r w:rsidR="006C1BC0" w:rsidRPr="00D530BE">
        <w:t xml:space="preserve"> </w:t>
      </w:r>
      <w:r w:rsidR="00FE165A" w:rsidRPr="00D530BE">
        <w:t>in the field, the core</w:t>
      </w:r>
      <w:r w:rsidR="006D16D9" w:rsidRPr="00D530BE">
        <w:t xml:space="preserve"> committee</w:t>
      </w:r>
      <w:r w:rsidR="00FE165A" w:rsidRPr="00D530BE">
        <w:t xml:space="preserve"> and </w:t>
      </w:r>
      <w:r w:rsidR="00FE165A" w:rsidRPr="00D530BE">
        <w:lastRenderedPageBreak/>
        <w:t xml:space="preserve">advisory team included </w:t>
      </w:r>
      <w:r w:rsidR="006D16D9" w:rsidRPr="00D530BE">
        <w:t xml:space="preserve">legal experts, </w:t>
      </w:r>
      <w:r w:rsidR="006D7157" w:rsidRPr="00D530BE">
        <w:t>ethicists and palliative care specialists among others.</w:t>
      </w:r>
      <w:r w:rsidR="002B48EC" w:rsidRPr="00D530BE">
        <w:t xml:space="preserve"> </w:t>
      </w:r>
      <w:r w:rsidR="002A3E58" w:rsidRPr="00D530BE">
        <w:t xml:space="preserve">The consultation process involved a)four </w:t>
      </w:r>
      <w:r w:rsidR="00D530BE">
        <w:t xml:space="preserve">sessions among </w:t>
      </w:r>
      <w:r w:rsidR="002A3E58" w:rsidRPr="00D530BE">
        <w:t>core group members with multidisciplinary and multi professional invitees; b)setting up of an</w:t>
      </w:r>
      <w:r w:rsidR="00E219DB" w:rsidRPr="00D530BE">
        <w:t xml:space="preserve"> open round of public consultation </w:t>
      </w:r>
      <w:r w:rsidR="006D7157" w:rsidRPr="00D530BE">
        <w:t xml:space="preserve">on </w:t>
      </w:r>
      <w:r w:rsidR="00E219DB" w:rsidRPr="00D530BE">
        <w:t>the ICMR Bio</w:t>
      </w:r>
      <w:r w:rsidR="002A3E58" w:rsidRPr="00D530BE">
        <w:t>ethics Unit webpage for 4 weeks for comments by patients and the lay public; and finally c) a</w:t>
      </w:r>
      <w:r w:rsidR="00E219DB" w:rsidRPr="00D530BE">
        <w:t xml:space="preserve"> national consultation </w:t>
      </w:r>
      <w:r w:rsidR="00563D60" w:rsidRPr="00D530BE">
        <w:t>with a multi</w:t>
      </w:r>
      <w:r w:rsidR="00FF551F" w:rsidRPr="00D530BE">
        <w:t xml:space="preserve"> </w:t>
      </w:r>
      <w:r w:rsidR="00D75FC6" w:rsidRPr="00D530BE">
        <w:t>professional</w:t>
      </w:r>
      <w:r w:rsidR="00824267" w:rsidRPr="00D530BE">
        <w:t xml:space="preserve"> representation</w:t>
      </w:r>
      <w:r w:rsidR="002A3E58" w:rsidRPr="00D530BE">
        <w:t xml:space="preserve"> and lay participation.</w:t>
      </w:r>
      <w:r w:rsidR="002A3E58">
        <w:t xml:space="preserve"> </w:t>
      </w:r>
      <w:r w:rsidR="00563D60">
        <w:t>Participation was kept open through online registration</w:t>
      </w:r>
      <w:r w:rsidR="00824267">
        <w:t xml:space="preserve"> </w:t>
      </w:r>
      <w:r w:rsidR="00563D60">
        <w:t>on</w:t>
      </w:r>
      <w:r w:rsidR="002A3E58">
        <w:t xml:space="preserve"> the </w:t>
      </w:r>
      <w:r w:rsidR="00563D60">
        <w:t>ICMR website with 20 slots reserved for patients or</w:t>
      </w:r>
      <w:r w:rsidR="00824267">
        <w:t xml:space="preserve"> any</w:t>
      </w:r>
      <w:r w:rsidR="00563D60">
        <w:t xml:space="preserve"> interested citi</w:t>
      </w:r>
      <w:r w:rsidR="00824267">
        <w:t>z</w:t>
      </w:r>
      <w:r w:rsidR="00563D60">
        <w:t>en</w:t>
      </w:r>
      <w:r w:rsidR="00824267">
        <w:t>s</w:t>
      </w:r>
      <w:r w:rsidR="00563D60">
        <w:t>.</w:t>
      </w:r>
      <w:r w:rsidR="00355295">
        <w:t xml:space="preserve"> The consultation was widely publicized resulting in 60 participants in all. The final document was</w:t>
      </w:r>
      <w:r w:rsidR="002A3E58">
        <w:t xml:space="preserve"> drafted</w:t>
      </w:r>
      <w:r w:rsidR="00355295">
        <w:t xml:space="preserve"> based on all of the above mentioned rounds.</w:t>
      </w:r>
      <w:r w:rsidR="001816F2">
        <w:t xml:space="preserve"> </w:t>
      </w:r>
      <w:r w:rsidR="00FE165A">
        <w:t>We therefore</w:t>
      </w:r>
      <w:r w:rsidR="006C1BC0">
        <w:t>,</w:t>
      </w:r>
      <w:r w:rsidR="00BC4EEE">
        <w:t xml:space="preserve"> have reasons to</w:t>
      </w:r>
      <w:r w:rsidR="00FE165A">
        <w:t xml:space="preserve"> believe that the document </w:t>
      </w:r>
      <w:r w:rsidR="006C1BC0">
        <w:t>embodies the perspectives of a broad spectrum of stakeholders.</w:t>
      </w:r>
    </w:p>
    <w:p w:rsidR="008B5F72" w:rsidRDefault="008B5F72">
      <w:r>
        <w:t xml:space="preserve">Traditionally, the term “treating physician” denotes the one under whom a patient is admitted. In a unit, it would imply the unit head or an assigned physician. In current times, </w:t>
      </w:r>
      <w:r w:rsidR="00400E79">
        <w:t>it is usual for a</w:t>
      </w:r>
      <w:r>
        <w:t xml:space="preserve"> patient </w:t>
      </w:r>
      <w:r w:rsidR="00400E79">
        <w:t xml:space="preserve">to be </w:t>
      </w:r>
      <w:r>
        <w:t xml:space="preserve">looked after by a team. Therefore, even if </w:t>
      </w:r>
      <w:r w:rsidR="00CC21C0">
        <w:t xml:space="preserve">the patient is attended </w:t>
      </w:r>
      <w:r w:rsidR="002E38ED">
        <w:t>by a</w:t>
      </w:r>
      <w:r>
        <w:t xml:space="preserve"> junior </w:t>
      </w:r>
      <w:r w:rsidR="000D70AA">
        <w:t>physician</w:t>
      </w:r>
      <w:r>
        <w:t xml:space="preserve"> </w:t>
      </w:r>
      <w:r w:rsidR="000D70AA">
        <w:t xml:space="preserve">as a first responder, </w:t>
      </w:r>
      <w:r>
        <w:t>the overall responsibility and accountability lies with the treating physician. The term “physician in-charge” likewise specifically denotes the Head of the unit.</w:t>
      </w:r>
      <w:r w:rsidRPr="008B5F72">
        <w:t xml:space="preserve"> </w:t>
      </w:r>
      <w:r>
        <w:t xml:space="preserve">The document thus </w:t>
      </w:r>
      <w:r w:rsidR="00CC21C0">
        <w:t xml:space="preserve">clearly </w:t>
      </w:r>
      <w:r>
        <w:t>recommends that the most senior member of the team should take charge of the communication leading up</w:t>
      </w:r>
      <w:r w:rsidR="00CC21C0">
        <w:t xml:space="preserve"> </w:t>
      </w:r>
      <w:r>
        <w:t xml:space="preserve">to the decision. In case of transfer of care of the patient to another department, the onus of </w:t>
      </w:r>
      <w:r w:rsidR="00D23595">
        <w:t xml:space="preserve">the </w:t>
      </w:r>
      <w:r>
        <w:t>DNAR decision</w:t>
      </w:r>
      <w:r w:rsidR="00AF524C">
        <w:t>, as with overall care,</w:t>
      </w:r>
      <w:r>
        <w:t xml:space="preserve"> would be transferred to the receiving department</w:t>
      </w:r>
      <w:r w:rsidR="00AF524C">
        <w:t>.</w:t>
      </w:r>
    </w:p>
    <w:p w:rsidR="0042273F" w:rsidRDefault="00AF524C">
      <w:r>
        <w:t xml:space="preserve">It is valid and necessary, as pointed out by Dr </w:t>
      </w:r>
      <w:proofErr w:type="spellStart"/>
      <w:r>
        <w:t>Timm</w:t>
      </w:r>
      <w:r w:rsidR="00931007">
        <w:t>s</w:t>
      </w:r>
      <w:proofErr w:type="spellEnd"/>
      <w:r>
        <w:t xml:space="preserve"> that a DNAR decision should be disseminated to the entire care</w:t>
      </w:r>
      <w:r w:rsidR="002D7F3C">
        <w:t>-</w:t>
      </w:r>
      <w:r>
        <w:t>giving team to avoid inadvertent CPR. Indeed, this is the spirit of a formal process and documentation of a DNAR decision. Errors are prone to occur in a crisi</w:t>
      </w:r>
      <w:r w:rsidR="00CC21C0">
        <w:t>s, when CPR is un</w:t>
      </w:r>
      <w:r>
        <w:t xml:space="preserve">anticipated and neither the family nor the treating team is prepared. Identification </w:t>
      </w:r>
      <w:r w:rsidR="0042273F">
        <w:t xml:space="preserve">‘tags’ have been a practice but </w:t>
      </w:r>
      <w:r w:rsidR="004B7502">
        <w:t xml:space="preserve">the treating team </w:t>
      </w:r>
      <w:r w:rsidR="0042273F">
        <w:t>run</w:t>
      </w:r>
      <w:r w:rsidR="004B7502">
        <w:t>s</w:t>
      </w:r>
      <w:r w:rsidR="0042273F">
        <w:t xml:space="preserve"> the risk of </w:t>
      </w:r>
      <w:r w:rsidR="004B7502">
        <w:t xml:space="preserve">being suspected of </w:t>
      </w:r>
      <w:r w:rsidR="0042273F">
        <w:t>negative stereotyping a</w:t>
      </w:r>
      <w:r w:rsidR="004B7502">
        <w:t>nd discrimination</w:t>
      </w:r>
      <w:r>
        <w:t>.</w:t>
      </w:r>
      <w:r w:rsidR="005B13EA">
        <w:t>[10</w:t>
      </w:r>
      <w:r w:rsidR="004B7502">
        <w:t>]</w:t>
      </w:r>
      <w:r w:rsidR="002A3E58" w:rsidRPr="00CC5C58">
        <w:t xml:space="preserve">The ICMR document has </w:t>
      </w:r>
      <w:r w:rsidR="008422F5" w:rsidRPr="00CC5C58">
        <w:t xml:space="preserve">clarified </w:t>
      </w:r>
      <w:r w:rsidR="002A3E58" w:rsidRPr="00CC5C58">
        <w:t>unambiguously</w:t>
      </w:r>
      <w:r w:rsidR="00CC5C58">
        <w:t>,</w:t>
      </w:r>
      <w:r w:rsidR="005B13EA">
        <w:t xml:space="preserve"> that DNAR does not include decisions to withdraw or withhold </w:t>
      </w:r>
      <w:r w:rsidR="00E033DE">
        <w:t xml:space="preserve">other </w:t>
      </w:r>
      <w:r w:rsidR="005B13EA">
        <w:t>life-prolonging treatments. It is possible to continue with curative treatments while precluding CPR.</w:t>
      </w:r>
      <w:r>
        <w:t xml:space="preserve"> </w:t>
      </w:r>
      <w:r w:rsidR="0042273F">
        <w:t xml:space="preserve">It is </w:t>
      </w:r>
      <w:r>
        <w:t xml:space="preserve">crucial </w:t>
      </w:r>
      <w:r w:rsidR="0042273F">
        <w:t xml:space="preserve">for hospitals </w:t>
      </w:r>
      <w:r>
        <w:t xml:space="preserve">to create a culture of ethical decision-making involving the entire team, including the nurses. </w:t>
      </w:r>
      <w:r w:rsidR="0042273F">
        <w:t xml:space="preserve">We believe DNAR decision </w:t>
      </w:r>
      <w:r w:rsidR="004B7502">
        <w:t xml:space="preserve">(“no code”) </w:t>
      </w:r>
      <w:r w:rsidR="0042273F">
        <w:t>should be part of the doctor and nursing notes and should be communicated in the hand over</w:t>
      </w:r>
      <w:r w:rsidR="005B13EA">
        <w:t xml:space="preserve"> as with other clinical details</w:t>
      </w:r>
      <w:r w:rsidR="0042273F">
        <w:t xml:space="preserve">. </w:t>
      </w:r>
      <w:r>
        <w:t xml:space="preserve">This should be complemented by promoting </w:t>
      </w:r>
      <w:r w:rsidR="0042273F">
        <w:t xml:space="preserve">end of life care literacy and </w:t>
      </w:r>
      <w:r w:rsidR="00012DF1">
        <w:t xml:space="preserve">training. </w:t>
      </w:r>
    </w:p>
    <w:p w:rsidR="008C243E" w:rsidRDefault="008C243E">
      <w:r>
        <w:t xml:space="preserve">Privacy and confidentiality in discussing prognosis and further course of management should be a given. It is </w:t>
      </w:r>
      <w:r w:rsidR="00953BE1">
        <w:t>clear</w:t>
      </w:r>
      <w:r>
        <w:t xml:space="preserve"> from the document that no patient or family can demand a </w:t>
      </w:r>
      <w:r w:rsidR="00B00CBE">
        <w:t>procedure</w:t>
      </w:r>
      <w:r w:rsidR="00174151">
        <w:t xml:space="preserve">, including </w:t>
      </w:r>
      <w:r w:rsidR="00902D39">
        <w:t>CPR that</w:t>
      </w:r>
      <w:r>
        <w:t xml:space="preserve"> is </w:t>
      </w:r>
      <w:r w:rsidR="00953BE1">
        <w:t>evidently</w:t>
      </w:r>
      <w:r>
        <w:t xml:space="preserve"> not medically indicated. However, </w:t>
      </w:r>
      <w:r w:rsidR="00464182">
        <w:t>ethical principles</w:t>
      </w:r>
      <w:r w:rsidR="005B13EA">
        <w:t xml:space="preserve"> behoove</w:t>
      </w:r>
      <w:r>
        <w:t xml:space="preserve"> the care</w:t>
      </w:r>
      <w:r w:rsidR="005B13EA">
        <w:t>-</w:t>
      </w:r>
      <w:r>
        <w:t>giving team to discuss openly and completely</w:t>
      </w:r>
      <w:r w:rsidR="00B00CBE">
        <w:t xml:space="preserve"> as outlined in the flow chart of the ICMR document. Disagreements are to be </w:t>
      </w:r>
      <w:r w:rsidR="00286E22">
        <w:t>resolved</w:t>
      </w:r>
      <w:r w:rsidR="00B00CBE">
        <w:t xml:space="preserve"> through multiple sessions</w:t>
      </w:r>
      <w:r w:rsidR="00560D82">
        <w:t xml:space="preserve"> and</w:t>
      </w:r>
      <w:r w:rsidR="00B00CBE">
        <w:t xml:space="preserve"> </w:t>
      </w:r>
      <w:r w:rsidR="00464182">
        <w:t xml:space="preserve">seeking </w:t>
      </w:r>
      <w:r w:rsidR="00B00CBE">
        <w:t>second opinions</w:t>
      </w:r>
      <w:r w:rsidR="00560D82">
        <w:t xml:space="preserve">. Another mechanism for dispute </w:t>
      </w:r>
      <w:proofErr w:type="spellStart"/>
      <w:r w:rsidR="00560D82">
        <w:t>redressal</w:t>
      </w:r>
      <w:proofErr w:type="spellEnd"/>
      <w:r w:rsidR="00560D82">
        <w:t xml:space="preserve"> could be</w:t>
      </w:r>
      <w:r w:rsidR="00D67B28">
        <w:t xml:space="preserve"> </w:t>
      </w:r>
      <w:r w:rsidR="00FB54E2">
        <w:t xml:space="preserve">referral to </w:t>
      </w:r>
      <w:r w:rsidR="00D67B28">
        <w:t>an ethics committee.</w:t>
      </w:r>
      <w:r w:rsidR="00FB54E2">
        <w:t xml:space="preserve"> </w:t>
      </w:r>
      <w:r w:rsidR="009E037E">
        <w:t xml:space="preserve">Indian </w:t>
      </w:r>
      <w:r w:rsidR="00FB54E2">
        <w:t>Critical Care and Palliative Care Societies have always recommended setting up of such a committee for the oversight of treatment limiting decisions. [</w:t>
      </w:r>
      <w:r w:rsidR="00423F2F">
        <w:t>1</w:t>
      </w:r>
      <w:r w:rsidR="004F603C">
        <w:t>1</w:t>
      </w:r>
      <w:r w:rsidR="00FB54E2">
        <w:t>]</w:t>
      </w:r>
      <w:r w:rsidR="000C4138">
        <w:t xml:space="preserve">Such a </w:t>
      </w:r>
      <w:r w:rsidR="000309E3">
        <w:t>provision</w:t>
      </w:r>
      <w:r w:rsidR="000C4138">
        <w:t xml:space="preserve"> is</w:t>
      </w:r>
      <w:r w:rsidR="0005213C">
        <w:t xml:space="preserve"> also recommended recently in the EOLC policies of the </w:t>
      </w:r>
      <w:proofErr w:type="spellStart"/>
      <w:r w:rsidR="00562FE0">
        <w:t>Kasturba</w:t>
      </w:r>
      <w:proofErr w:type="spellEnd"/>
      <w:r w:rsidR="00562FE0">
        <w:t xml:space="preserve"> Medical College &amp; </w:t>
      </w:r>
      <w:proofErr w:type="spellStart"/>
      <w:r w:rsidR="0005213C">
        <w:t>Manipal</w:t>
      </w:r>
      <w:proofErr w:type="spellEnd"/>
      <w:r w:rsidR="0005213C">
        <w:t xml:space="preserve"> group of </w:t>
      </w:r>
      <w:proofErr w:type="gramStart"/>
      <w:r w:rsidR="0005213C">
        <w:t>hospitals[</w:t>
      </w:r>
      <w:proofErr w:type="gramEnd"/>
      <w:r w:rsidR="002B48EC">
        <w:t>1</w:t>
      </w:r>
      <w:r w:rsidR="004F603C">
        <w:t>2</w:t>
      </w:r>
      <w:r w:rsidR="0005213C">
        <w:t xml:space="preserve"> ] and the All India Institute of Medical Sciences</w:t>
      </w:r>
      <w:r w:rsidR="005C3366">
        <w:t>.</w:t>
      </w:r>
      <w:r w:rsidR="0005213C">
        <w:t>[</w:t>
      </w:r>
      <w:r w:rsidR="002B48EC">
        <w:t>1</w:t>
      </w:r>
      <w:r w:rsidR="004F603C">
        <w:t>3</w:t>
      </w:r>
      <w:r w:rsidR="0005213C">
        <w:t>]</w:t>
      </w:r>
      <w:r w:rsidR="00D67B28">
        <w:t xml:space="preserve"> In practice, these decisions are made after building a relationship of trust. Therefore</w:t>
      </w:r>
      <w:r w:rsidR="00506AD1">
        <w:t>,</w:t>
      </w:r>
      <w:r w:rsidR="00D67B28">
        <w:t xml:space="preserve"> referring to another body of physicians would render the process cumbersome and </w:t>
      </w:r>
      <w:r w:rsidR="00106C97">
        <w:t>hamper the</w:t>
      </w:r>
      <w:r w:rsidR="00D67B28">
        <w:t xml:space="preserve"> primary objective of miti</w:t>
      </w:r>
      <w:r w:rsidR="005B13EA">
        <w:t>gating patient/family suffering</w:t>
      </w:r>
      <w:r w:rsidR="00D67B28">
        <w:t xml:space="preserve"> and physician moral distress. Standard guidelines in other countries with long </w:t>
      </w:r>
      <w:r w:rsidR="00D67B28">
        <w:lastRenderedPageBreak/>
        <w:t>experience of DNAR recommend that caregivers and patient/family work together as a rule and refer to an independent committee only for conflict resolution</w:t>
      </w:r>
      <w:proofErr w:type="gramStart"/>
      <w:r w:rsidR="00D67B28">
        <w:t>.</w:t>
      </w:r>
      <w:r w:rsidR="00735600">
        <w:t>[</w:t>
      </w:r>
      <w:proofErr w:type="gramEnd"/>
      <w:r w:rsidR="00735600">
        <w:t>7</w:t>
      </w:r>
      <w:r w:rsidR="002B48EC">
        <w:t>,1</w:t>
      </w:r>
      <w:r w:rsidR="003C742A">
        <w:t>4</w:t>
      </w:r>
      <w:r w:rsidR="00106C97">
        <w:t>]</w:t>
      </w:r>
    </w:p>
    <w:p w:rsidR="00D67B28" w:rsidRDefault="00D67B28">
      <w:r>
        <w:t>The word “vegetative” is used for its technical specificity as this guidance is for the professional community. The FAQ</w:t>
      </w:r>
      <w:r w:rsidR="00106C97">
        <w:t xml:space="preserve"> in the supplement</w:t>
      </w:r>
      <w:r>
        <w:t xml:space="preserve"> is meant especially for the </w:t>
      </w:r>
      <w:r w:rsidR="002840E4">
        <w:t xml:space="preserve">lay </w:t>
      </w:r>
      <w:r>
        <w:t xml:space="preserve">public. While discussing the </w:t>
      </w:r>
      <w:r w:rsidR="00106C97">
        <w:t xml:space="preserve">clinical </w:t>
      </w:r>
      <w:r>
        <w:t xml:space="preserve">state with </w:t>
      </w:r>
      <w:r w:rsidR="00D86667">
        <w:t xml:space="preserve">the family, </w:t>
      </w:r>
      <w:r w:rsidR="00D86667" w:rsidRPr="000309E3">
        <w:t xml:space="preserve">we suggest the use of euphemistic expressions such as </w:t>
      </w:r>
      <w:r w:rsidRPr="000309E3">
        <w:t>“irreversible coma</w:t>
      </w:r>
      <w:r w:rsidR="00D86667" w:rsidRPr="000309E3">
        <w:t>” while</w:t>
      </w:r>
      <w:r w:rsidRPr="000309E3">
        <w:t xml:space="preserve"> retaining accuracy</w:t>
      </w:r>
      <w:r w:rsidR="00960DCD" w:rsidRPr="000309E3">
        <w:t xml:space="preserve"> of the description</w:t>
      </w:r>
      <w:r w:rsidRPr="000309E3">
        <w:t>.</w:t>
      </w:r>
      <w:r>
        <w:t xml:space="preserve"> </w:t>
      </w:r>
    </w:p>
    <w:p w:rsidR="00D67B28" w:rsidRDefault="00D67B28">
      <w:r>
        <w:t>The value of a guideline is ultimately tested by its applicability</w:t>
      </w:r>
      <w:r w:rsidR="007307FF">
        <w:t xml:space="preserve"> in the real world. Departure from </w:t>
      </w:r>
      <w:r w:rsidR="004D5D2A">
        <w:t xml:space="preserve">a </w:t>
      </w:r>
      <w:r w:rsidR="007307FF">
        <w:t xml:space="preserve">habitual but flawed “ritualistic CPR” is expected to take time. At the same time, many </w:t>
      </w:r>
      <w:r w:rsidR="006E0553">
        <w:t>physicians will</w:t>
      </w:r>
      <w:r w:rsidR="007307FF">
        <w:t xml:space="preserve"> feel empowered to write DNAR orders with more clarity and conviction</w:t>
      </w:r>
      <w:r w:rsidR="00E06E88">
        <w:t xml:space="preserve"> than hitherto</w:t>
      </w:r>
      <w:r w:rsidR="00B1089D">
        <w:t xml:space="preserve">. The process, </w:t>
      </w:r>
      <w:r w:rsidR="006E0553">
        <w:t xml:space="preserve">as recommended by the </w:t>
      </w:r>
      <w:r w:rsidR="0005213C">
        <w:t>document would</w:t>
      </w:r>
      <w:r w:rsidR="007307FF">
        <w:t xml:space="preserve"> also ensure th</w:t>
      </w:r>
      <w:r w:rsidR="006E0553">
        <w:t>at the decisions are reflective, empathic and transparent.</w:t>
      </w:r>
    </w:p>
    <w:p w:rsidR="00F90FC6" w:rsidRPr="00F90FC6" w:rsidRDefault="00F90FC6">
      <w:pPr>
        <w:rPr>
          <w:rFonts w:cstheme="minorHAnsi"/>
        </w:rPr>
      </w:pPr>
      <w:r>
        <w:t>REFERENCES</w:t>
      </w:r>
    </w:p>
    <w:p w:rsidR="00F90FC6" w:rsidRDefault="00F90FC6" w:rsidP="00F90FC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90FC6">
        <w:rPr>
          <w:rFonts w:cstheme="minorHAnsi"/>
        </w:rPr>
        <w:t>Timm</w:t>
      </w:r>
      <w:r w:rsidR="009E037E">
        <w:rPr>
          <w:rFonts w:cstheme="minorHAnsi"/>
        </w:rPr>
        <w:t>s</w:t>
      </w:r>
      <w:proofErr w:type="spellEnd"/>
      <w:r w:rsidRPr="00F90FC6">
        <w:rPr>
          <w:rFonts w:cstheme="minorHAnsi"/>
        </w:rPr>
        <w:t xml:space="preserve"> O. DNAR Guidelines: Supporting End of Life Care. Indian Journal of Medical Ethics (2020); 3 :180-181 </w:t>
      </w:r>
    </w:p>
    <w:p w:rsidR="00FF202C" w:rsidRPr="00506AD1" w:rsidRDefault="00FF202C" w:rsidP="00FF2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202C">
        <w:rPr>
          <w:rFonts w:cstheme="minorHAnsi"/>
        </w:rPr>
        <w:t xml:space="preserve">Mathur R. ICMR Consensus Guidelines on ‘Do Not Attempt Resuscitation’. </w:t>
      </w:r>
      <w:r w:rsidRPr="00FF202C">
        <w:rPr>
          <w:rFonts w:cstheme="minorHAnsi"/>
          <w:i/>
          <w:iCs/>
        </w:rPr>
        <w:t>Indian J Med Res</w:t>
      </w:r>
      <w:r w:rsidRPr="00FF202C">
        <w:rPr>
          <w:rFonts w:cstheme="minorHAnsi"/>
        </w:rPr>
        <w:t xml:space="preserve">. 2020 Apr [cited 2020 </w:t>
      </w:r>
      <w:r w:rsidR="00506AD1">
        <w:rPr>
          <w:rFonts w:cstheme="minorHAnsi"/>
        </w:rPr>
        <w:t>Aug 6</w:t>
      </w:r>
      <w:r w:rsidRPr="00FF202C">
        <w:rPr>
          <w:rFonts w:cstheme="minorHAnsi"/>
        </w:rPr>
        <w:t>]; 151(4):303-10. Available from:</w:t>
      </w:r>
      <w:r w:rsidRPr="00FF202C">
        <w:rPr>
          <w:rFonts w:ascii="Myriad-Roman" w:hAnsi="Myriad-Roman" w:cs="Myriad-Roman"/>
          <w:sz w:val="16"/>
          <w:szCs w:val="16"/>
        </w:rPr>
        <w:t xml:space="preserve"> </w:t>
      </w:r>
      <w:hyperlink r:id="rId5" w:history="1">
        <w:r w:rsidR="00FF4E20" w:rsidRPr="00506AD1">
          <w:rPr>
            <w:rStyle w:val="Hyperlink"/>
            <w:rFonts w:cstheme="minorHAnsi"/>
          </w:rPr>
          <w:t>http://www.ijmr.org.in/text.asp?2020/151/4/303/284215</w:t>
        </w:r>
      </w:hyperlink>
    </w:p>
    <w:p w:rsidR="00FF4E20" w:rsidRPr="00FF4E20" w:rsidRDefault="00FF4E20" w:rsidP="00FF4E20">
      <w:pPr>
        <w:pStyle w:val="ColorfulList-Accent11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4E20">
        <w:rPr>
          <w:rFonts w:asciiTheme="minorHAnsi" w:hAnsiTheme="minorHAnsi" w:cstheme="minorHAnsi"/>
        </w:rPr>
        <w:t xml:space="preserve">Sprung CL, </w:t>
      </w:r>
      <w:proofErr w:type="spellStart"/>
      <w:r w:rsidRPr="00FF4E20">
        <w:rPr>
          <w:rFonts w:asciiTheme="minorHAnsi" w:hAnsiTheme="minorHAnsi" w:cstheme="minorHAnsi"/>
        </w:rPr>
        <w:t>Truog</w:t>
      </w:r>
      <w:proofErr w:type="spellEnd"/>
      <w:r w:rsidRPr="00FF4E20">
        <w:rPr>
          <w:rFonts w:asciiTheme="minorHAnsi" w:hAnsiTheme="minorHAnsi" w:cstheme="minorHAnsi"/>
        </w:rPr>
        <w:t xml:space="preserve"> RD, Curtis JR, </w:t>
      </w:r>
      <w:proofErr w:type="spellStart"/>
      <w:r w:rsidRPr="00FF4E20">
        <w:rPr>
          <w:rFonts w:asciiTheme="minorHAnsi" w:hAnsiTheme="minorHAnsi" w:cstheme="minorHAnsi"/>
        </w:rPr>
        <w:t>Joynt</w:t>
      </w:r>
      <w:proofErr w:type="spellEnd"/>
      <w:r w:rsidRPr="00FF4E20">
        <w:rPr>
          <w:rFonts w:asciiTheme="minorHAnsi" w:hAnsiTheme="minorHAnsi" w:cstheme="minorHAnsi"/>
        </w:rPr>
        <w:t xml:space="preserve"> GM, </w:t>
      </w:r>
      <w:proofErr w:type="spellStart"/>
      <w:r w:rsidRPr="00FF4E20">
        <w:rPr>
          <w:rFonts w:asciiTheme="minorHAnsi" w:hAnsiTheme="minorHAnsi" w:cstheme="minorHAnsi"/>
        </w:rPr>
        <w:t>Baras</w:t>
      </w:r>
      <w:proofErr w:type="spellEnd"/>
      <w:r w:rsidRPr="00FF4E20">
        <w:rPr>
          <w:rFonts w:asciiTheme="minorHAnsi" w:hAnsiTheme="minorHAnsi" w:cstheme="minorHAnsi"/>
        </w:rPr>
        <w:t xml:space="preserve"> M, M </w:t>
      </w:r>
      <w:proofErr w:type="spellStart"/>
      <w:r w:rsidRPr="00FF4E20">
        <w:rPr>
          <w:rFonts w:asciiTheme="minorHAnsi" w:hAnsiTheme="minorHAnsi" w:cstheme="minorHAnsi"/>
        </w:rPr>
        <w:t>ichalsenA</w:t>
      </w:r>
      <w:proofErr w:type="spellEnd"/>
      <w:r w:rsidRPr="00FF4E20">
        <w:rPr>
          <w:rFonts w:asciiTheme="minorHAnsi" w:hAnsiTheme="minorHAnsi" w:cstheme="minorHAnsi"/>
        </w:rPr>
        <w:t xml:space="preserve">, </w:t>
      </w:r>
      <w:proofErr w:type="spellStart"/>
      <w:r w:rsidRPr="00FF4E20">
        <w:rPr>
          <w:rFonts w:asciiTheme="minorHAnsi" w:hAnsiTheme="minorHAnsi" w:cstheme="minorHAnsi"/>
        </w:rPr>
        <w:t>Briegel</w:t>
      </w:r>
      <w:proofErr w:type="spellEnd"/>
      <w:r w:rsidRPr="00FF4E20">
        <w:rPr>
          <w:rFonts w:asciiTheme="minorHAnsi" w:hAnsiTheme="minorHAnsi" w:cstheme="minorHAnsi"/>
        </w:rPr>
        <w:t xml:space="preserve"> J, </w:t>
      </w:r>
      <w:proofErr w:type="spellStart"/>
      <w:r w:rsidRPr="00FF4E20">
        <w:rPr>
          <w:rFonts w:asciiTheme="minorHAnsi" w:hAnsiTheme="minorHAnsi" w:cstheme="minorHAnsi"/>
        </w:rPr>
        <w:t>Kesecioglu</w:t>
      </w:r>
      <w:proofErr w:type="spellEnd"/>
      <w:r w:rsidRPr="00FF4E20">
        <w:rPr>
          <w:rFonts w:asciiTheme="minorHAnsi" w:hAnsiTheme="minorHAnsi" w:cstheme="minorHAnsi"/>
        </w:rPr>
        <w:t xml:space="preserve"> J, </w:t>
      </w:r>
      <w:proofErr w:type="spellStart"/>
      <w:r w:rsidRPr="00FF4E20">
        <w:rPr>
          <w:rFonts w:asciiTheme="minorHAnsi" w:hAnsiTheme="minorHAnsi" w:cstheme="minorHAnsi"/>
        </w:rPr>
        <w:t>Efferen</w:t>
      </w:r>
      <w:proofErr w:type="spellEnd"/>
      <w:r w:rsidRPr="00FF4E20">
        <w:rPr>
          <w:rFonts w:asciiTheme="minorHAnsi" w:hAnsiTheme="minorHAnsi" w:cstheme="minorHAnsi"/>
        </w:rPr>
        <w:t xml:space="preserve"> L, De </w:t>
      </w:r>
      <w:proofErr w:type="spellStart"/>
      <w:r w:rsidRPr="00FF4E20">
        <w:rPr>
          <w:rFonts w:asciiTheme="minorHAnsi" w:hAnsiTheme="minorHAnsi" w:cstheme="minorHAnsi"/>
        </w:rPr>
        <w:t>Robertis</w:t>
      </w:r>
      <w:proofErr w:type="spellEnd"/>
      <w:r w:rsidRPr="00FF4E20">
        <w:rPr>
          <w:rFonts w:asciiTheme="minorHAnsi" w:hAnsiTheme="minorHAnsi" w:cstheme="minorHAnsi"/>
        </w:rPr>
        <w:t xml:space="preserve"> E, </w:t>
      </w:r>
      <w:proofErr w:type="spellStart"/>
      <w:r w:rsidRPr="00FF4E20">
        <w:rPr>
          <w:rFonts w:asciiTheme="minorHAnsi" w:hAnsiTheme="minorHAnsi" w:cstheme="minorHAnsi"/>
        </w:rPr>
        <w:t>Bulpa</w:t>
      </w:r>
      <w:proofErr w:type="spellEnd"/>
      <w:r w:rsidRPr="00FF4E20">
        <w:rPr>
          <w:rFonts w:asciiTheme="minorHAnsi" w:hAnsiTheme="minorHAnsi" w:cstheme="minorHAnsi"/>
        </w:rPr>
        <w:t xml:space="preserve"> P, </w:t>
      </w:r>
      <w:proofErr w:type="spellStart"/>
      <w:r w:rsidRPr="00FF4E20">
        <w:rPr>
          <w:rFonts w:asciiTheme="minorHAnsi" w:hAnsiTheme="minorHAnsi" w:cstheme="minorHAnsi"/>
        </w:rPr>
        <w:t>MetnitzP</w:t>
      </w:r>
      <w:proofErr w:type="spellEnd"/>
      <w:r w:rsidRPr="00FF4E20">
        <w:rPr>
          <w:rFonts w:asciiTheme="minorHAnsi" w:hAnsiTheme="minorHAnsi" w:cstheme="minorHAnsi"/>
        </w:rPr>
        <w:t xml:space="preserve">, </w:t>
      </w:r>
      <w:proofErr w:type="spellStart"/>
      <w:r w:rsidRPr="00FF4E20">
        <w:rPr>
          <w:rFonts w:asciiTheme="minorHAnsi" w:hAnsiTheme="minorHAnsi" w:cstheme="minorHAnsi"/>
        </w:rPr>
        <w:t>PatilN</w:t>
      </w:r>
      <w:proofErr w:type="gramStart"/>
      <w:r w:rsidRPr="00FF4E20">
        <w:rPr>
          <w:rFonts w:asciiTheme="minorHAnsi" w:hAnsiTheme="minorHAnsi" w:cstheme="minorHAnsi"/>
        </w:rPr>
        <w:t>,Hawryluck</w:t>
      </w:r>
      <w:proofErr w:type="spellEnd"/>
      <w:proofErr w:type="gramEnd"/>
      <w:r w:rsidRPr="00FF4E20">
        <w:rPr>
          <w:rFonts w:asciiTheme="minorHAnsi" w:hAnsiTheme="minorHAnsi" w:cstheme="minorHAnsi"/>
        </w:rPr>
        <w:t xml:space="preserve"> L, </w:t>
      </w:r>
      <w:proofErr w:type="spellStart"/>
      <w:r w:rsidRPr="00FF4E20">
        <w:rPr>
          <w:rFonts w:asciiTheme="minorHAnsi" w:hAnsiTheme="minorHAnsi" w:cstheme="minorHAnsi"/>
        </w:rPr>
        <w:t>Manthous</w:t>
      </w:r>
      <w:proofErr w:type="spellEnd"/>
      <w:r w:rsidRPr="00FF4E20">
        <w:rPr>
          <w:rFonts w:asciiTheme="minorHAnsi" w:hAnsiTheme="minorHAnsi" w:cstheme="minorHAnsi"/>
        </w:rPr>
        <w:t xml:space="preserve"> C, Moreno R, Leonard S, Hill NS, </w:t>
      </w:r>
      <w:proofErr w:type="spellStart"/>
      <w:r w:rsidRPr="00FF4E20">
        <w:rPr>
          <w:rFonts w:asciiTheme="minorHAnsi" w:hAnsiTheme="minorHAnsi" w:cstheme="minorHAnsi"/>
        </w:rPr>
        <w:t>WennbergE</w:t>
      </w:r>
      <w:proofErr w:type="spellEnd"/>
      <w:r w:rsidRPr="00FF4E20">
        <w:rPr>
          <w:rFonts w:asciiTheme="minorHAnsi" w:hAnsiTheme="minorHAnsi" w:cstheme="minorHAnsi"/>
        </w:rPr>
        <w:t xml:space="preserve">, </w:t>
      </w:r>
      <w:proofErr w:type="spellStart"/>
      <w:r w:rsidRPr="00FF4E20">
        <w:rPr>
          <w:rFonts w:asciiTheme="minorHAnsi" w:hAnsiTheme="minorHAnsi" w:cstheme="minorHAnsi"/>
        </w:rPr>
        <w:t>McDermid</w:t>
      </w:r>
      <w:proofErr w:type="spellEnd"/>
      <w:r w:rsidRPr="00FF4E20">
        <w:rPr>
          <w:rFonts w:asciiTheme="minorHAnsi" w:hAnsiTheme="minorHAnsi" w:cstheme="minorHAnsi"/>
        </w:rPr>
        <w:t xml:space="preserve"> RC, </w:t>
      </w:r>
      <w:proofErr w:type="spellStart"/>
      <w:r w:rsidRPr="00FF4E20">
        <w:rPr>
          <w:rFonts w:asciiTheme="minorHAnsi" w:hAnsiTheme="minorHAnsi" w:cstheme="minorHAnsi"/>
        </w:rPr>
        <w:t>Mikstacki</w:t>
      </w:r>
      <w:proofErr w:type="spellEnd"/>
      <w:r w:rsidRPr="00FF4E20">
        <w:rPr>
          <w:rFonts w:asciiTheme="minorHAnsi" w:hAnsiTheme="minorHAnsi" w:cstheme="minorHAnsi"/>
        </w:rPr>
        <w:t xml:space="preserve"> A, </w:t>
      </w:r>
      <w:proofErr w:type="spellStart"/>
      <w:r w:rsidRPr="00FF4E20">
        <w:rPr>
          <w:rFonts w:asciiTheme="minorHAnsi" w:hAnsiTheme="minorHAnsi" w:cstheme="minorHAnsi"/>
        </w:rPr>
        <w:t>Mularski</w:t>
      </w:r>
      <w:proofErr w:type="spellEnd"/>
      <w:r w:rsidRPr="00FF4E20">
        <w:rPr>
          <w:rFonts w:asciiTheme="minorHAnsi" w:hAnsiTheme="minorHAnsi" w:cstheme="minorHAnsi"/>
        </w:rPr>
        <w:t xml:space="preserve"> RA, </w:t>
      </w:r>
      <w:proofErr w:type="spellStart"/>
      <w:r w:rsidRPr="00FF4E20">
        <w:rPr>
          <w:rFonts w:asciiTheme="minorHAnsi" w:hAnsiTheme="minorHAnsi" w:cstheme="minorHAnsi"/>
        </w:rPr>
        <w:t>Hartog</w:t>
      </w:r>
      <w:proofErr w:type="spellEnd"/>
      <w:r w:rsidRPr="00FF4E20">
        <w:rPr>
          <w:rFonts w:asciiTheme="minorHAnsi" w:hAnsiTheme="minorHAnsi" w:cstheme="minorHAnsi"/>
        </w:rPr>
        <w:t xml:space="preserve"> CS, </w:t>
      </w:r>
      <w:proofErr w:type="spellStart"/>
      <w:r w:rsidRPr="00FF4E20">
        <w:rPr>
          <w:rFonts w:asciiTheme="minorHAnsi" w:hAnsiTheme="minorHAnsi" w:cstheme="minorHAnsi"/>
        </w:rPr>
        <w:t>Avidan</w:t>
      </w:r>
      <w:proofErr w:type="spellEnd"/>
      <w:r w:rsidRPr="00FF4E20">
        <w:rPr>
          <w:rFonts w:asciiTheme="minorHAnsi" w:hAnsiTheme="minorHAnsi" w:cstheme="minorHAnsi"/>
        </w:rPr>
        <w:t xml:space="preserve"> A. </w:t>
      </w:r>
      <w:proofErr w:type="spellStart"/>
      <w:r w:rsidRPr="00FF4E20">
        <w:rPr>
          <w:rFonts w:asciiTheme="minorHAnsi" w:hAnsiTheme="minorHAnsi" w:cstheme="minorHAnsi"/>
        </w:rPr>
        <w:t>Seekingworldwide</w:t>
      </w:r>
      <w:proofErr w:type="spellEnd"/>
      <w:r w:rsidRPr="00FF4E20">
        <w:rPr>
          <w:rFonts w:asciiTheme="minorHAnsi" w:hAnsiTheme="minorHAnsi" w:cstheme="minorHAnsi"/>
        </w:rPr>
        <w:t xml:space="preserve"> professional consensus on the principles of end-of-</w:t>
      </w:r>
      <w:proofErr w:type="spellStart"/>
      <w:r w:rsidRPr="00FF4E20">
        <w:rPr>
          <w:rFonts w:asciiTheme="minorHAnsi" w:hAnsiTheme="minorHAnsi" w:cstheme="minorHAnsi"/>
        </w:rPr>
        <w:t>lifecare</w:t>
      </w:r>
      <w:proofErr w:type="spellEnd"/>
      <w:r w:rsidRPr="00FF4E20">
        <w:rPr>
          <w:rFonts w:asciiTheme="minorHAnsi" w:hAnsiTheme="minorHAnsi" w:cstheme="minorHAnsi"/>
        </w:rPr>
        <w:t xml:space="preserve"> for the critically ill: the WELPICUS </w:t>
      </w:r>
      <w:proofErr w:type="spellStart"/>
      <w:r w:rsidRPr="00FF4E20">
        <w:rPr>
          <w:rFonts w:asciiTheme="minorHAnsi" w:hAnsiTheme="minorHAnsi" w:cstheme="minorHAnsi"/>
        </w:rPr>
        <w:t>study.</w:t>
      </w:r>
      <w:r w:rsidRPr="00FF4E20">
        <w:rPr>
          <w:rStyle w:val="sep"/>
          <w:rFonts w:asciiTheme="minorHAnsi" w:hAnsiTheme="minorHAnsi" w:cstheme="minorHAnsi"/>
          <w:i/>
          <w:iCs/>
        </w:rPr>
        <w:t>Am</w:t>
      </w:r>
      <w:proofErr w:type="spellEnd"/>
      <w:r w:rsidRPr="00FF4E20">
        <w:rPr>
          <w:rStyle w:val="sep"/>
          <w:rFonts w:asciiTheme="minorHAnsi" w:hAnsiTheme="minorHAnsi" w:cstheme="minorHAnsi"/>
          <w:i/>
          <w:iCs/>
        </w:rPr>
        <w:t xml:space="preserve"> J </w:t>
      </w:r>
      <w:proofErr w:type="spellStart"/>
      <w:r w:rsidRPr="00FF4E20">
        <w:rPr>
          <w:rStyle w:val="sep"/>
          <w:rFonts w:asciiTheme="minorHAnsi" w:hAnsiTheme="minorHAnsi" w:cstheme="minorHAnsi"/>
          <w:i/>
          <w:iCs/>
        </w:rPr>
        <w:t>RespirCrit</w:t>
      </w:r>
      <w:proofErr w:type="spellEnd"/>
      <w:r w:rsidRPr="00FF4E20">
        <w:rPr>
          <w:rStyle w:val="sep"/>
          <w:rFonts w:asciiTheme="minorHAnsi" w:hAnsiTheme="minorHAnsi" w:cstheme="minorHAnsi"/>
          <w:i/>
          <w:iCs/>
        </w:rPr>
        <w:t xml:space="preserve"> </w:t>
      </w:r>
      <w:proofErr w:type="spellStart"/>
      <w:r w:rsidRPr="00FF4E20">
        <w:rPr>
          <w:rStyle w:val="sep"/>
          <w:rFonts w:asciiTheme="minorHAnsi" w:hAnsiTheme="minorHAnsi" w:cstheme="minorHAnsi"/>
          <w:i/>
          <w:iCs/>
        </w:rPr>
        <w:t>CareMed</w:t>
      </w:r>
      <w:proofErr w:type="spellEnd"/>
      <w:r w:rsidRPr="00FF4E20">
        <w:rPr>
          <w:rStyle w:val="sep"/>
          <w:rFonts w:asciiTheme="minorHAnsi" w:hAnsiTheme="minorHAnsi" w:cstheme="minorHAnsi"/>
          <w:i/>
          <w:iCs/>
        </w:rPr>
        <w:t xml:space="preserve">. </w:t>
      </w:r>
      <w:r w:rsidRPr="00FF4E20">
        <w:rPr>
          <w:rFonts w:asciiTheme="minorHAnsi" w:hAnsiTheme="minorHAnsi" w:cstheme="minorHAnsi"/>
        </w:rPr>
        <w:t>2014</w:t>
      </w:r>
      <w:proofErr w:type="gramStart"/>
      <w:r w:rsidRPr="00FF4E20">
        <w:rPr>
          <w:rFonts w:asciiTheme="minorHAnsi" w:hAnsiTheme="minorHAnsi" w:cstheme="minorHAnsi"/>
        </w:rPr>
        <w:t>;190</w:t>
      </w:r>
      <w:proofErr w:type="gramEnd"/>
      <w:r w:rsidRPr="00FF4E20">
        <w:rPr>
          <w:rFonts w:asciiTheme="minorHAnsi" w:hAnsiTheme="minorHAnsi" w:cstheme="minorHAnsi"/>
        </w:rPr>
        <w:t>(8):855–66. doi:10.1164/rccm.201403-0593CC</w:t>
      </w:r>
    </w:p>
    <w:p w:rsidR="00EB577E" w:rsidRPr="00EB577E" w:rsidRDefault="00EB577E" w:rsidP="00EB577E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  <w:b/>
          <w:bCs/>
        </w:rPr>
      </w:pPr>
      <w:r w:rsidRPr="00EB577E">
        <w:rPr>
          <w:rFonts w:cstheme="minorHAnsi"/>
        </w:rPr>
        <w:t xml:space="preserve">Stern SG; </w:t>
      </w:r>
      <w:proofErr w:type="spellStart"/>
      <w:r w:rsidRPr="00EB577E">
        <w:rPr>
          <w:rFonts w:cstheme="minorHAnsi"/>
        </w:rPr>
        <w:t>Orlowski</w:t>
      </w:r>
      <w:proofErr w:type="spellEnd"/>
      <w:r w:rsidRPr="00EB577E">
        <w:rPr>
          <w:rFonts w:cstheme="minorHAnsi"/>
        </w:rPr>
        <w:t xml:space="preserve"> JP (1992) DNR or CPR — the choice is ours. </w:t>
      </w:r>
      <w:proofErr w:type="spellStart"/>
      <w:r w:rsidRPr="00EB577E">
        <w:rPr>
          <w:rFonts w:cstheme="minorHAnsi"/>
        </w:rPr>
        <w:t>Crit</w:t>
      </w:r>
      <w:proofErr w:type="spellEnd"/>
      <w:r w:rsidRPr="00EB577E">
        <w:rPr>
          <w:rFonts w:cstheme="minorHAnsi"/>
        </w:rPr>
        <w:t xml:space="preserve"> Care Med 20:1263–1272</w:t>
      </w:r>
    </w:p>
    <w:p w:rsidR="00EB577E" w:rsidRPr="00EB577E" w:rsidRDefault="00EB577E" w:rsidP="00EB57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noProof/>
          <w:sz w:val="22"/>
          <w:szCs w:val="22"/>
        </w:rPr>
      </w:pPr>
      <w:r w:rsidRPr="00EB577E">
        <w:rPr>
          <w:rFonts w:asciiTheme="minorHAnsi" w:hAnsiTheme="minorHAnsi" w:cstheme="minorHAnsi"/>
          <w:iCs/>
          <w:sz w:val="22"/>
          <w:szCs w:val="22"/>
          <w:lang w:val="en-IN"/>
        </w:rPr>
        <w:t>N.Y. PUB. HEALTH LAW: 2960-2978.</w:t>
      </w:r>
    </w:p>
    <w:p w:rsidR="00067B5B" w:rsidRPr="00067B5B" w:rsidRDefault="00067B5B" w:rsidP="00067B5B">
      <w:pPr>
        <w:pStyle w:val="ListParagraph"/>
        <w:numPr>
          <w:ilvl w:val="0"/>
          <w:numId w:val="2"/>
        </w:numPr>
        <w:contextualSpacing w:val="0"/>
        <w:rPr>
          <w:rFonts w:eastAsia="Times New Roman" w:cstheme="minorHAnsi"/>
        </w:rPr>
      </w:pPr>
      <w:proofErr w:type="spellStart"/>
      <w:r w:rsidRPr="00067B5B">
        <w:rPr>
          <w:rFonts w:eastAsia="Times New Roman" w:cstheme="minorHAnsi"/>
        </w:rPr>
        <w:t>Tian</w:t>
      </w:r>
      <w:proofErr w:type="spellEnd"/>
      <w:r w:rsidRPr="00067B5B">
        <w:rPr>
          <w:rFonts w:eastAsia="Times New Roman" w:cstheme="minorHAnsi"/>
        </w:rPr>
        <w:t xml:space="preserve"> J, Kaufman DA, </w:t>
      </w:r>
      <w:proofErr w:type="spellStart"/>
      <w:r w:rsidRPr="00067B5B">
        <w:rPr>
          <w:rFonts w:eastAsia="Times New Roman" w:cstheme="minorHAnsi"/>
        </w:rPr>
        <w:t>Zarich</w:t>
      </w:r>
      <w:proofErr w:type="spellEnd"/>
      <w:r w:rsidRPr="00067B5B">
        <w:rPr>
          <w:rFonts w:eastAsia="Times New Roman" w:cstheme="minorHAnsi"/>
        </w:rPr>
        <w:t xml:space="preserve"> S, et al. Outcomes of critically ill patients who received cardiopulmonary resuscitation. </w:t>
      </w:r>
      <w:r w:rsidRPr="00067B5B">
        <w:rPr>
          <w:rFonts w:eastAsia="Times New Roman" w:cstheme="minorHAnsi"/>
          <w:i/>
          <w:iCs/>
        </w:rPr>
        <w:t xml:space="preserve">Am J </w:t>
      </w:r>
      <w:proofErr w:type="spellStart"/>
      <w:r w:rsidRPr="00067B5B">
        <w:rPr>
          <w:rFonts w:eastAsia="Times New Roman" w:cstheme="minorHAnsi"/>
          <w:i/>
          <w:iCs/>
        </w:rPr>
        <w:t>Respir</w:t>
      </w:r>
      <w:proofErr w:type="spellEnd"/>
      <w:r w:rsidRPr="00067B5B">
        <w:rPr>
          <w:rFonts w:eastAsia="Times New Roman" w:cstheme="minorHAnsi"/>
          <w:i/>
          <w:iCs/>
        </w:rPr>
        <w:t xml:space="preserve"> </w:t>
      </w:r>
      <w:proofErr w:type="spellStart"/>
      <w:r w:rsidRPr="00067B5B">
        <w:rPr>
          <w:rFonts w:eastAsia="Times New Roman" w:cstheme="minorHAnsi"/>
          <w:i/>
          <w:iCs/>
        </w:rPr>
        <w:t>Crit</w:t>
      </w:r>
      <w:proofErr w:type="spellEnd"/>
      <w:r w:rsidRPr="00067B5B">
        <w:rPr>
          <w:rFonts w:eastAsia="Times New Roman" w:cstheme="minorHAnsi"/>
          <w:i/>
          <w:iCs/>
        </w:rPr>
        <w:t xml:space="preserve"> Care Med</w:t>
      </w:r>
      <w:r w:rsidRPr="00067B5B">
        <w:rPr>
          <w:rFonts w:eastAsia="Times New Roman" w:cstheme="minorHAnsi"/>
        </w:rPr>
        <w:t>. 2010</w:t>
      </w:r>
      <w:proofErr w:type="gramStart"/>
      <w:r w:rsidRPr="00067B5B">
        <w:rPr>
          <w:rFonts w:eastAsia="Times New Roman" w:cstheme="minorHAnsi"/>
        </w:rPr>
        <w:t>;182</w:t>
      </w:r>
      <w:proofErr w:type="gramEnd"/>
      <w:r w:rsidRPr="00067B5B">
        <w:rPr>
          <w:rFonts w:eastAsia="Times New Roman" w:cstheme="minorHAnsi"/>
        </w:rPr>
        <w:t>(4):501-506. doi:10.1164/rccm.200910-1639OC</w:t>
      </w:r>
    </w:p>
    <w:p w:rsidR="00067B5B" w:rsidRPr="00BA6FDD" w:rsidRDefault="00B7319F" w:rsidP="00067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hyperlink r:id="rId6" w:history="1">
        <w:r w:rsidR="00067B5B" w:rsidRPr="00067B5B">
          <w:rPr>
            <w:rStyle w:val="Hyperlink"/>
            <w:rFonts w:cstheme="minorHAnsi"/>
          </w:rPr>
          <w:t>https://www.bma.org.uk/advice-and-support/ethics/end-of-life/decisions-relating-to-cpr-cardiopulmonary-resuscitation</w:t>
        </w:r>
      </w:hyperlink>
    </w:p>
    <w:p w:rsidR="00BA6FDD" w:rsidRPr="00067B5B" w:rsidRDefault="00BA6FDD" w:rsidP="00067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t>The patients are save</w:t>
      </w:r>
      <w:r w:rsidR="00047870">
        <w:t>d</w:t>
      </w:r>
      <w:r>
        <w:t>. That is why patients are suing.</w:t>
      </w:r>
      <w:r w:rsidRPr="00BA6FDD">
        <w:t xml:space="preserve"> </w:t>
      </w:r>
      <w:r>
        <w:rPr>
          <w:rStyle w:val="HTMLCite"/>
        </w:rPr>
        <w:t>https://www.nytimes.com/2017/04/10/health/wrongful-life-lawsuit-dnr.html</w:t>
      </w:r>
    </w:p>
    <w:p w:rsidR="00D26C77" w:rsidRPr="00D26C77" w:rsidRDefault="00D26C77" w:rsidP="00D26C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D26C77">
        <w:rPr>
          <w:rStyle w:val="HTMLCite"/>
          <w:rFonts w:cstheme="minorHAnsi"/>
        </w:rPr>
        <w:t xml:space="preserve">Reportable In </w:t>
      </w:r>
      <w:proofErr w:type="gramStart"/>
      <w:r w:rsidRPr="00D26C77">
        <w:rPr>
          <w:rStyle w:val="HTMLCite"/>
          <w:rFonts w:cstheme="minorHAnsi"/>
        </w:rPr>
        <w:t>The</w:t>
      </w:r>
      <w:proofErr w:type="gramEnd"/>
      <w:r w:rsidRPr="00D26C77">
        <w:rPr>
          <w:rStyle w:val="HTMLCite"/>
          <w:rFonts w:cstheme="minorHAnsi"/>
        </w:rPr>
        <w:t xml:space="preserve"> Supreme Court of India Civil Original Jurisdiction. Common Cause Vs </w:t>
      </w:r>
      <w:proofErr w:type="gramStart"/>
      <w:r w:rsidRPr="00D26C77">
        <w:rPr>
          <w:rStyle w:val="HTMLCite"/>
          <w:rFonts w:cstheme="minorHAnsi"/>
        </w:rPr>
        <w:t>The</w:t>
      </w:r>
      <w:proofErr w:type="gramEnd"/>
      <w:r w:rsidRPr="00D26C77">
        <w:rPr>
          <w:rStyle w:val="HTMLCite"/>
          <w:rFonts w:cstheme="minorHAnsi"/>
        </w:rPr>
        <w:t xml:space="preserve"> Union of India. Writ </w:t>
      </w:r>
      <w:proofErr w:type="gramStart"/>
      <w:r w:rsidRPr="00D26C77">
        <w:rPr>
          <w:rStyle w:val="HTMLCite"/>
          <w:rFonts w:cstheme="minorHAnsi"/>
        </w:rPr>
        <w:t>Petition(</w:t>
      </w:r>
      <w:proofErr w:type="gramEnd"/>
      <w:r w:rsidRPr="00D26C77">
        <w:rPr>
          <w:rStyle w:val="HTMLCite"/>
          <w:rFonts w:cstheme="minorHAnsi"/>
        </w:rPr>
        <w:t>Civil) no. 215 of2005.</w:t>
      </w:r>
    </w:p>
    <w:p w:rsidR="00EB577E" w:rsidRPr="00BA0ADC" w:rsidRDefault="004B7502" w:rsidP="00EB577E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  <w:b/>
          <w:bCs/>
        </w:rPr>
      </w:pPr>
      <w:r w:rsidRPr="009E037E">
        <w:rPr>
          <w:rFonts w:cstheme="minorHAnsi"/>
          <w:bCs/>
        </w:rPr>
        <w:t>The Liverpool Care Pathway: What went wrong?</w:t>
      </w:r>
      <w:r w:rsidRPr="004B7502">
        <w:t xml:space="preserve"> </w:t>
      </w:r>
      <w:hyperlink r:id="rId7" w:history="1">
        <w:r w:rsidR="00464182" w:rsidRPr="00603681">
          <w:rPr>
            <w:rStyle w:val="Hyperlink"/>
          </w:rPr>
          <w:t>https://www.ncbi.nlm.nih.gov/pmc/articles/PMC3782767/</w:t>
        </w:r>
      </w:hyperlink>
    </w:p>
    <w:p w:rsidR="00EE6B34" w:rsidRPr="00EE6B34" w:rsidRDefault="00BA0ADC" w:rsidP="00EE6B34">
      <w:pPr>
        <w:pStyle w:val="ColorfulList-Accent11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u w:val="single"/>
        </w:rPr>
      </w:pPr>
      <w:proofErr w:type="spellStart"/>
      <w:r w:rsidRPr="00BA0ADC">
        <w:rPr>
          <w:rFonts w:asciiTheme="minorHAnsi" w:hAnsiTheme="minorHAnsi" w:cstheme="minorHAnsi"/>
        </w:rPr>
        <w:t>Myatra</w:t>
      </w:r>
      <w:proofErr w:type="spellEnd"/>
      <w:r w:rsidRPr="00BA0ADC">
        <w:rPr>
          <w:rFonts w:asciiTheme="minorHAnsi" w:hAnsiTheme="minorHAnsi" w:cstheme="minorHAnsi"/>
        </w:rPr>
        <w:t xml:space="preserve"> SN, </w:t>
      </w:r>
      <w:proofErr w:type="spellStart"/>
      <w:r w:rsidRPr="00BA0ADC">
        <w:rPr>
          <w:rFonts w:asciiTheme="minorHAnsi" w:hAnsiTheme="minorHAnsi" w:cstheme="minorHAnsi"/>
        </w:rPr>
        <w:t>Salins</w:t>
      </w:r>
      <w:proofErr w:type="spellEnd"/>
      <w:r w:rsidRPr="00BA0ADC">
        <w:rPr>
          <w:rFonts w:asciiTheme="minorHAnsi" w:hAnsiTheme="minorHAnsi" w:cstheme="minorHAnsi"/>
        </w:rPr>
        <w:t xml:space="preserve"> N, </w:t>
      </w:r>
      <w:proofErr w:type="spellStart"/>
      <w:r w:rsidRPr="00BA0ADC">
        <w:rPr>
          <w:rFonts w:asciiTheme="minorHAnsi" w:hAnsiTheme="minorHAnsi" w:cstheme="minorHAnsi"/>
        </w:rPr>
        <w:t>Iyer</w:t>
      </w:r>
      <w:proofErr w:type="spellEnd"/>
      <w:r w:rsidRPr="00BA0ADC">
        <w:rPr>
          <w:rFonts w:asciiTheme="minorHAnsi" w:hAnsiTheme="minorHAnsi" w:cstheme="minorHAnsi"/>
        </w:rPr>
        <w:t xml:space="preserve"> S, </w:t>
      </w:r>
      <w:proofErr w:type="spellStart"/>
      <w:r w:rsidRPr="00BA0ADC">
        <w:rPr>
          <w:rFonts w:asciiTheme="minorHAnsi" w:hAnsiTheme="minorHAnsi" w:cstheme="minorHAnsi"/>
        </w:rPr>
        <w:t>Macaden</w:t>
      </w:r>
      <w:proofErr w:type="spellEnd"/>
      <w:r w:rsidRPr="00BA0ADC">
        <w:rPr>
          <w:rFonts w:asciiTheme="minorHAnsi" w:hAnsiTheme="minorHAnsi" w:cstheme="minorHAnsi"/>
        </w:rPr>
        <w:t xml:space="preserve"> SC, </w:t>
      </w:r>
      <w:proofErr w:type="spellStart"/>
      <w:r w:rsidRPr="00BA0ADC">
        <w:rPr>
          <w:rFonts w:asciiTheme="minorHAnsi" w:hAnsiTheme="minorHAnsi" w:cstheme="minorHAnsi"/>
        </w:rPr>
        <w:t>Divatia</w:t>
      </w:r>
      <w:proofErr w:type="spellEnd"/>
      <w:r w:rsidRPr="00BA0ADC">
        <w:rPr>
          <w:rFonts w:asciiTheme="minorHAnsi" w:hAnsiTheme="minorHAnsi" w:cstheme="minorHAnsi"/>
        </w:rPr>
        <w:t xml:space="preserve"> JV, </w:t>
      </w:r>
      <w:proofErr w:type="spellStart"/>
      <w:r w:rsidRPr="00BA0ADC">
        <w:rPr>
          <w:rFonts w:asciiTheme="minorHAnsi" w:hAnsiTheme="minorHAnsi" w:cstheme="minorHAnsi"/>
        </w:rPr>
        <w:t>Muckaden</w:t>
      </w:r>
      <w:proofErr w:type="spellEnd"/>
      <w:r w:rsidRPr="00BA0ADC">
        <w:rPr>
          <w:rFonts w:asciiTheme="minorHAnsi" w:hAnsiTheme="minorHAnsi" w:cstheme="minorHAnsi"/>
        </w:rPr>
        <w:t xml:space="preserve"> M, </w:t>
      </w:r>
      <w:proofErr w:type="spellStart"/>
      <w:r w:rsidRPr="00BA0ADC">
        <w:rPr>
          <w:rFonts w:asciiTheme="minorHAnsi" w:hAnsiTheme="minorHAnsi" w:cstheme="minorHAnsi"/>
        </w:rPr>
        <w:t>Kulkarni</w:t>
      </w:r>
      <w:proofErr w:type="spellEnd"/>
      <w:r w:rsidRPr="00BA0ADC">
        <w:rPr>
          <w:rFonts w:asciiTheme="minorHAnsi" w:hAnsiTheme="minorHAnsi" w:cstheme="minorHAnsi"/>
        </w:rPr>
        <w:t xml:space="preserve"> P, </w:t>
      </w:r>
      <w:proofErr w:type="spellStart"/>
      <w:r w:rsidRPr="00BA0ADC">
        <w:rPr>
          <w:rFonts w:asciiTheme="minorHAnsi" w:hAnsiTheme="minorHAnsi" w:cstheme="minorHAnsi"/>
        </w:rPr>
        <w:t>Simha</w:t>
      </w:r>
      <w:proofErr w:type="spellEnd"/>
      <w:r w:rsidRPr="00BA0ADC">
        <w:rPr>
          <w:rFonts w:asciiTheme="minorHAnsi" w:hAnsiTheme="minorHAnsi" w:cstheme="minorHAnsi"/>
        </w:rPr>
        <w:t xml:space="preserve"> S, Mani RK. End-of-life care policy: An integrated care plan for the dying. </w:t>
      </w:r>
      <w:proofErr w:type="spellStart"/>
      <w:r w:rsidRPr="00BA0ADC">
        <w:rPr>
          <w:rFonts w:asciiTheme="minorHAnsi" w:hAnsiTheme="minorHAnsi" w:cstheme="minorHAnsi"/>
        </w:rPr>
        <w:t>Ind</w:t>
      </w:r>
      <w:proofErr w:type="spellEnd"/>
      <w:r w:rsidRPr="00BA0ADC">
        <w:rPr>
          <w:rFonts w:asciiTheme="minorHAnsi" w:hAnsiTheme="minorHAnsi" w:cstheme="minorHAnsi"/>
        </w:rPr>
        <w:t xml:space="preserve"> J </w:t>
      </w:r>
      <w:proofErr w:type="spellStart"/>
      <w:r w:rsidRPr="00BA0ADC">
        <w:rPr>
          <w:rFonts w:asciiTheme="minorHAnsi" w:hAnsiTheme="minorHAnsi" w:cstheme="minorHAnsi"/>
        </w:rPr>
        <w:t>Crit</w:t>
      </w:r>
      <w:proofErr w:type="spellEnd"/>
      <w:r w:rsidRPr="00BA0ADC">
        <w:rPr>
          <w:rFonts w:asciiTheme="minorHAnsi" w:hAnsiTheme="minorHAnsi" w:cstheme="minorHAnsi"/>
        </w:rPr>
        <w:t xml:space="preserve"> Care Med 2014;18:615-635</w:t>
      </w:r>
    </w:p>
    <w:p w:rsidR="00D7223A" w:rsidRPr="00D7223A" w:rsidRDefault="002B48EC" w:rsidP="00D7223A">
      <w:pPr>
        <w:pStyle w:val="ColorfulList-Accent11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u w:val="single"/>
        </w:rPr>
      </w:pPr>
      <w:r w:rsidRPr="00EE6B34">
        <w:rPr>
          <w:rFonts w:asciiTheme="minorHAnsi" w:hAnsiTheme="minorHAnsi" w:cstheme="minorHAnsi"/>
        </w:rPr>
        <w:lastRenderedPageBreak/>
        <w:t>The blue Maple</w:t>
      </w:r>
      <w:r w:rsidR="00EE6B34" w:rsidRPr="00EE6B34">
        <w:rPr>
          <w:rFonts w:asciiTheme="minorHAnsi" w:hAnsiTheme="minorHAnsi" w:cstheme="minorHAnsi"/>
        </w:rPr>
        <w:t xml:space="preserve"> protocol for End of Life Care.</w:t>
      </w:r>
      <w:r w:rsidR="00EE6B34" w:rsidRPr="00EE6B34">
        <w:t xml:space="preserve"> </w:t>
      </w:r>
      <w:hyperlink r:id="rId8" w:history="1">
        <w:r w:rsidR="00EE6B34">
          <w:rPr>
            <w:rStyle w:val="Hyperlink"/>
          </w:rPr>
          <w:t>http://vishnudutas.com/blue-maple-1-end-of-life-care-policy-document-of-manipal-hospitals/</w:t>
        </w:r>
      </w:hyperlink>
    </w:p>
    <w:p w:rsidR="005667B7" w:rsidRPr="005667B7" w:rsidRDefault="005667B7" w:rsidP="00D7223A">
      <w:pPr>
        <w:pStyle w:val="ColorfulList-Accent11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u w:val="single"/>
        </w:rPr>
      </w:pPr>
      <w:r>
        <w:rPr>
          <w:rStyle w:val="HTMLCite"/>
        </w:rPr>
        <w:t>https://palliumindia.org/2020/02/end-of-life-policy-declared-by-aiims-new-delhi</w:t>
      </w:r>
      <w:r w:rsidRPr="00D7223A">
        <w:rPr>
          <w:rFonts w:cstheme="minorHAnsi"/>
          <w:bCs/>
        </w:rPr>
        <w:t xml:space="preserve"> </w:t>
      </w:r>
    </w:p>
    <w:p w:rsidR="00106C97" w:rsidRPr="00D7223A" w:rsidRDefault="00106C97" w:rsidP="00D7223A">
      <w:pPr>
        <w:pStyle w:val="ColorfulList-Accent11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u w:val="single"/>
        </w:rPr>
      </w:pPr>
      <w:r w:rsidRPr="00D7223A">
        <w:rPr>
          <w:rFonts w:cstheme="minorHAnsi"/>
          <w:bCs/>
        </w:rPr>
        <w:t>Australian Resuscitation Council</w:t>
      </w:r>
      <w:r w:rsidRPr="00D7223A">
        <w:rPr>
          <w:rFonts w:cstheme="minorHAnsi"/>
          <w:b/>
          <w:bCs/>
        </w:rPr>
        <w:t xml:space="preserve">. </w:t>
      </w:r>
      <w:r>
        <w:rPr>
          <w:rStyle w:val="HTMLCite"/>
        </w:rPr>
        <w:t>https://resus.org.au/download/section_10/guideline-10-5-nov-2015.pdf</w:t>
      </w:r>
    </w:p>
    <w:p w:rsidR="00AF524C" w:rsidRDefault="00AF524C">
      <w:pPr>
        <w:rPr>
          <w:rFonts w:cstheme="minorHAnsi"/>
        </w:rPr>
      </w:pPr>
    </w:p>
    <w:p w:rsidR="00762BEF" w:rsidRPr="00762BEF" w:rsidRDefault="00762BEF" w:rsidP="007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BEF" w:rsidRPr="00FF202C" w:rsidRDefault="00762BEF">
      <w:pPr>
        <w:rPr>
          <w:rFonts w:cstheme="minorHAnsi"/>
        </w:rPr>
      </w:pPr>
    </w:p>
    <w:p w:rsidR="00F359A7" w:rsidRPr="00FF202C" w:rsidRDefault="00F359A7">
      <w:pPr>
        <w:rPr>
          <w:rFonts w:cstheme="minorHAnsi"/>
        </w:rPr>
      </w:pPr>
    </w:p>
    <w:p w:rsidR="003E4CEA" w:rsidRPr="00FF202C" w:rsidRDefault="003E4CEA">
      <w:pPr>
        <w:rPr>
          <w:rFonts w:cstheme="minorHAnsi"/>
        </w:rPr>
      </w:pPr>
    </w:p>
    <w:sectPr w:rsidR="003E4CEA" w:rsidRPr="00FF202C" w:rsidSect="00D9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22E"/>
    <w:multiLevelType w:val="hybridMultilevel"/>
    <w:tmpl w:val="50E6F42A"/>
    <w:numStyleLink w:val="ImportedStyle1"/>
  </w:abstractNum>
  <w:abstractNum w:abstractNumId="1">
    <w:nsid w:val="07E74824"/>
    <w:multiLevelType w:val="hybridMultilevel"/>
    <w:tmpl w:val="1ED2CFCA"/>
    <w:lvl w:ilvl="0" w:tplc="9F505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EC032C"/>
    <w:multiLevelType w:val="hybridMultilevel"/>
    <w:tmpl w:val="4142EDB6"/>
    <w:lvl w:ilvl="0" w:tplc="5B60D6F6">
      <w:start w:val="1"/>
      <w:numFmt w:val="decimal"/>
      <w:lvlText w:val="%1."/>
      <w:lvlJc w:val="left"/>
      <w:pPr>
        <w:ind w:left="720" w:hanging="360"/>
      </w:pPr>
      <w:rPr>
        <w:rFonts w:ascii="Myriad-Roman" w:hAnsi="Myriad-Roman" w:cs="Myriad-Roman"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978A4"/>
    <w:multiLevelType w:val="hybridMultilevel"/>
    <w:tmpl w:val="1ED2CFCA"/>
    <w:lvl w:ilvl="0" w:tplc="9F505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5B6D55"/>
    <w:multiLevelType w:val="hybridMultilevel"/>
    <w:tmpl w:val="1ED2CFCA"/>
    <w:lvl w:ilvl="0" w:tplc="9F505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604256"/>
    <w:multiLevelType w:val="hybridMultilevel"/>
    <w:tmpl w:val="50E6F42A"/>
    <w:styleLink w:val="ImportedStyle1"/>
    <w:lvl w:ilvl="0" w:tplc="772AFFBA">
      <w:start w:val="1"/>
      <w:numFmt w:val="decimal"/>
      <w:lvlText w:val="%1."/>
      <w:lvlJc w:val="left"/>
      <w:pPr>
        <w:ind w:left="81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3B242A6C">
      <w:start w:val="1"/>
      <w:numFmt w:val="decimal"/>
      <w:lvlText w:val="%2.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C55AA410">
      <w:start w:val="1"/>
      <w:numFmt w:val="decimal"/>
      <w:lvlText w:val="%3.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3825DFE">
      <w:start w:val="1"/>
      <w:numFmt w:val="decimal"/>
      <w:lvlText w:val="%4.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56E64FAA">
      <w:start w:val="1"/>
      <w:numFmt w:val="decimal"/>
      <w:lvlText w:val="%5.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894A612C">
      <w:start w:val="1"/>
      <w:numFmt w:val="decimal"/>
      <w:lvlText w:val="%6.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5A862DAC">
      <w:start w:val="1"/>
      <w:numFmt w:val="decimal"/>
      <w:lvlText w:val="%7.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8CA2C032">
      <w:start w:val="1"/>
      <w:numFmt w:val="decimal"/>
      <w:lvlText w:val="%8.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B1D00ABC">
      <w:start w:val="1"/>
      <w:numFmt w:val="decimal"/>
      <w:lvlText w:val="%9.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3E4CEA"/>
    <w:rsid w:val="00012DF1"/>
    <w:rsid w:val="000279C4"/>
    <w:rsid w:val="000309E3"/>
    <w:rsid w:val="000428C4"/>
    <w:rsid w:val="00047870"/>
    <w:rsid w:val="0005213C"/>
    <w:rsid w:val="00067B5B"/>
    <w:rsid w:val="00071E12"/>
    <w:rsid w:val="00094128"/>
    <w:rsid w:val="000C4138"/>
    <w:rsid w:val="000D70AA"/>
    <w:rsid w:val="000F2D93"/>
    <w:rsid w:val="00102429"/>
    <w:rsid w:val="00106C97"/>
    <w:rsid w:val="00134D83"/>
    <w:rsid w:val="00162F6A"/>
    <w:rsid w:val="00171587"/>
    <w:rsid w:val="00174151"/>
    <w:rsid w:val="001816F2"/>
    <w:rsid w:val="001D3242"/>
    <w:rsid w:val="002110F5"/>
    <w:rsid w:val="0021548A"/>
    <w:rsid w:val="0021594C"/>
    <w:rsid w:val="0025390C"/>
    <w:rsid w:val="0026727E"/>
    <w:rsid w:val="00270CDE"/>
    <w:rsid w:val="00272279"/>
    <w:rsid w:val="00274130"/>
    <w:rsid w:val="002840E4"/>
    <w:rsid w:val="00286E22"/>
    <w:rsid w:val="002A3E58"/>
    <w:rsid w:val="002B0C5E"/>
    <w:rsid w:val="002B23BD"/>
    <w:rsid w:val="002B48EC"/>
    <w:rsid w:val="002D0C8C"/>
    <w:rsid w:val="002D7F3C"/>
    <w:rsid w:val="002E38ED"/>
    <w:rsid w:val="002E5BC3"/>
    <w:rsid w:val="002E605C"/>
    <w:rsid w:val="00331E7E"/>
    <w:rsid w:val="00345B8B"/>
    <w:rsid w:val="00355295"/>
    <w:rsid w:val="0036002C"/>
    <w:rsid w:val="00376580"/>
    <w:rsid w:val="00396811"/>
    <w:rsid w:val="003B313D"/>
    <w:rsid w:val="003C0BA5"/>
    <w:rsid w:val="003C742A"/>
    <w:rsid w:val="003D1923"/>
    <w:rsid w:val="003E4CEA"/>
    <w:rsid w:val="00400E79"/>
    <w:rsid w:val="0042007C"/>
    <w:rsid w:val="0042273F"/>
    <w:rsid w:val="00423F2F"/>
    <w:rsid w:val="00425D5A"/>
    <w:rsid w:val="004607C7"/>
    <w:rsid w:val="00464182"/>
    <w:rsid w:val="004645B1"/>
    <w:rsid w:val="00467E3C"/>
    <w:rsid w:val="00495762"/>
    <w:rsid w:val="004B7502"/>
    <w:rsid w:val="004D5D2A"/>
    <w:rsid w:val="004E3601"/>
    <w:rsid w:val="004E62EA"/>
    <w:rsid w:val="004F603C"/>
    <w:rsid w:val="00506AD1"/>
    <w:rsid w:val="00513E51"/>
    <w:rsid w:val="00523E25"/>
    <w:rsid w:val="005609AD"/>
    <w:rsid w:val="00560D82"/>
    <w:rsid w:val="0056230F"/>
    <w:rsid w:val="00562FE0"/>
    <w:rsid w:val="00563D60"/>
    <w:rsid w:val="005667B7"/>
    <w:rsid w:val="005B13EA"/>
    <w:rsid w:val="005C3366"/>
    <w:rsid w:val="005D0A69"/>
    <w:rsid w:val="0062619A"/>
    <w:rsid w:val="00646AA1"/>
    <w:rsid w:val="00664604"/>
    <w:rsid w:val="006812D2"/>
    <w:rsid w:val="00690184"/>
    <w:rsid w:val="006C1BC0"/>
    <w:rsid w:val="006D16D9"/>
    <w:rsid w:val="006D7157"/>
    <w:rsid w:val="006E0553"/>
    <w:rsid w:val="006F7AA9"/>
    <w:rsid w:val="0071234F"/>
    <w:rsid w:val="007307FF"/>
    <w:rsid w:val="00735600"/>
    <w:rsid w:val="00737D8E"/>
    <w:rsid w:val="00762BEF"/>
    <w:rsid w:val="00762D10"/>
    <w:rsid w:val="007850B3"/>
    <w:rsid w:val="007C2896"/>
    <w:rsid w:val="007C55CB"/>
    <w:rsid w:val="007D1178"/>
    <w:rsid w:val="007E4540"/>
    <w:rsid w:val="007F220A"/>
    <w:rsid w:val="0081135E"/>
    <w:rsid w:val="0081311F"/>
    <w:rsid w:val="00824267"/>
    <w:rsid w:val="0082666C"/>
    <w:rsid w:val="008422F5"/>
    <w:rsid w:val="00843246"/>
    <w:rsid w:val="00853BF1"/>
    <w:rsid w:val="008B5F72"/>
    <w:rsid w:val="008C243E"/>
    <w:rsid w:val="008C7D8A"/>
    <w:rsid w:val="008F005F"/>
    <w:rsid w:val="008F22AD"/>
    <w:rsid w:val="00902D39"/>
    <w:rsid w:val="00916AE4"/>
    <w:rsid w:val="009175DE"/>
    <w:rsid w:val="00931007"/>
    <w:rsid w:val="00931F66"/>
    <w:rsid w:val="00953BE1"/>
    <w:rsid w:val="00960DCD"/>
    <w:rsid w:val="009770FF"/>
    <w:rsid w:val="00985200"/>
    <w:rsid w:val="009E037E"/>
    <w:rsid w:val="009F1854"/>
    <w:rsid w:val="00A06418"/>
    <w:rsid w:val="00A163CC"/>
    <w:rsid w:val="00A915A3"/>
    <w:rsid w:val="00AB325D"/>
    <w:rsid w:val="00AE5FA1"/>
    <w:rsid w:val="00AF312E"/>
    <w:rsid w:val="00AF524C"/>
    <w:rsid w:val="00B00CBE"/>
    <w:rsid w:val="00B1089D"/>
    <w:rsid w:val="00B270A5"/>
    <w:rsid w:val="00B7319F"/>
    <w:rsid w:val="00B74582"/>
    <w:rsid w:val="00B916F1"/>
    <w:rsid w:val="00B91B72"/>
    <w:rsid w:val="00BA0ADC"/>
    <w:rsid w:val="00BA6FDD"/>
    <w:rsid w:val="00BC4EEE"/>
    <w:rsid w:val="00C37812"/>
    <w:rsid w:val="00C50D45"/>
    <w:rsid w:val="00C802BC"/>
    <w:rsid w:val="00C90D0D"/>
    <w:rsid w:val="00CC21C0"/>
    <w:rsid w:val="00CC5C58"/>
    <w:rsid w:val="00CE2F7E"/>
    <w:rsid w:val="00D04BF4"/>
    <w:rsid w:val="00D23595"/>
    <w:rsid w:val="00D24AA8"/>
    <w:rsid w:val="00D26C77"/>
    <w:rsid w:val="00D530BE"/>
    <w:rsid w:val="00D67B28"/>
    <w:rsid w:val="00D7223A"/>
    <w:rsid w:val="00D75BB4"/>
    <w:rsid w:val="00D75FC6"/>
    <w:rsid w:val="00D77954"/>
    <w:rsid w:val="00D84BF7"/>
    <w:rsid w:val="00D86667"/>
    <w:rsid w:val="00D93F78"/>
    <w:rsid w:val="00DB2AC4"/>
    <w:rsid w:val="00E033DE"/>
    <w:rsid w:val="00E06E88"/>
    <w:rsid w:val="00E15A79"/>
    <w:rsid w:val="00E219DB"/>
    <w:rsid w:val="00E27C25"/>
    <w:rsid w:val="00EB577E"/>
    <w:rsid w:val="00ED0838"/>
    <w:rsid w:val="00EE6B34"/>
    <w:rsid w:val="00F1154A"/>
    <w:rsid w:val="00F1280F"/>
    <w:rsid w:val="00F359A7"/>
    <w:rsid w:val="00F41348"/>
    <w:rsid w:val="00F90FC6"/>
    <w:rsid w:val="00FA272F"/>
    <w:rsid w:val="00FB54E2"/>
    <w:rsid w:val="00FC7F94"/>
    <w:rsid w:val="00FE165A"/>
    <w:rsid w:val="00FE6546"/>
    <w:rsid w:val="00FF202C"/>
    <w:rsid w:val="00FF4E20"/>
    <w:rsid w:val="00FF551F"/>
    <w:rsid w:val="00FF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78"/>
  </w:style>
  <w:style w:type="paragraph" w:styleId="Heading4">
    <w:name w:val="heading 4"/>
    <w:basedOn w:val="Normal"/>
    <w:link w:val="Heading4Char"/>
    <w:uiPriority w:val="9"/>
    <w:qFormat/>
    <w:rsid w:val="00EE6B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C6"/>
    <w:pPr>
      <w:ind w:left="720"/>
      <w:contextualSpacing/>
    </w:pPr>
  </w:style>
  <w:style w:type="character" w:styleId="Hyperlink">
    <w:name w:val="Hyperlink"/>
    <w:rsid w:val="00FF202C"/>
    <w:rPr>
      <w:u w:val="single"/>
    </w:rPr>
  </w:style>
  <w:style w:type="numbering" w:customStyle="1" w:styleId="ImportedStyle1">
    <w:name w:val="Imported Style 1"/>
    <w:rsid w:val="00FF202C"/>
    <w:pPr>
      <w:numPr>
        <w:numId w:val="3"/>
      </w:numPr>
    </w:pPr>
  </w:style>
  <w:style w:type="character" w:customStyle="1" w:styleId="authors-list-item">
    <w:name w:val="authors-list-item"/>
    <w:basedOn w:val="DefaultParagraphFont"/>
    <w:rsid w:val="00FF202C"/>
  </w:style>
  <w:style w:type="character" w:customStyle="1" w:styleId="comma">
    <w:name w:val="comma"/>
    <w:basedOn w:val="DefaultParagraphFont"/>
    <w:rsid w:val="00FF202C"/>
  </w:style>
  <w:style w:type="character" w:customStyle="1" w:styleId="author-sup-separator">
    <w:name w:val="author-sup-separator"/>
    <w:basedOn w:val="DefaultParagraphFont"/>
    <w:rsid w:val="00FF202C"/>
  </w:style>
  <w:style w:type="paragraph" w:styleId="NormalWeb">
    <w:name w:val="Normal (Web)"/>
    <w:basedOn w:val="Normal"/>
    <w:uiPriority w:val="99"/>
    <w:unhideWhenUsed/>
    <w:rsid w:val="00EB577E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D26C77"/>
    <w:rPr>
      <w:i/>
      <w:iCs/>
    </w:rPr>
  </w:style>
  <w:style w:type="paragraph" w:customStyle="1" w:styleId="ColorfulList-Accent11">
    <w:name w:val="Colorful List - Accent 11"/>
    <w:rsid w:val="00FF4E2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sep">
    <w:name w:val="sep"/>
    <w:rsid w:val="00FF4E20"/>
    <w:rPr>
      <w:lang w:val="en-US"/>
    </w:rPr>
  </w:style>
  <w:style w:type="character" w:customStyle="1" w:styleId="Hyperlink1">
    <w:name w:val="Hyperlink.1"/>
    <w:basedOn w:val="DefaultParagraphFont"/>
    <w:rsid w:val="00BA0ADC"/>
    <w:rPr>
      <w:color w:val="000000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EE6B3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p-nav-text">
    <w:name w:val="np-nav-text"/>
    <w:basedOn w:val="Normal"/>
    <w:rsid w:val="00EE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2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2A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hnudutas.com/blue-maple-1-end-of-life-care-policy-document-of-manipal-hospit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37827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ma.org.uk/advice-and-support/ethics/end-of-life/decisions-relating-to-cpr-cardiopulmonary-resuscitation" TargetMode="External"/><Relationship Id="rId5" Type="http://schemas.openxmlformats.org/officeDocument/2006/relationships/hyperlink" Target="http://www.ijmr.org.in/text.asp?2020/151/4/303/2842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dcterms:created xsi:type="dcterms:W3CDTF">2020-08-05T15:36:00Z</dcterms:created>
  <dcterms:modified xsi:type="dcterms:W3CDTF">2020-08-06T12:38:00Z</dcterms:modified>
</cp:coreProperties>
</file>