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A962B" w14:textId="457E23F2" w:rsidR="00EC5E26" w:rsidRPr="009B749D" w:rsidRDefault="00EC5E26" w:rsidP="00F527AF">
      <w:pPr>
        <w:pStyle w:val="Body"/>
        <w:spacing w:line="360" w:lineRule="auto"/>
        <w:rPr>
          <w:rFonts w:ascii="Times New Roman" w:hAnsi="Times New Roman" w:cs="Times New Roman"/>
          <w:b/>
          <w:bCs/>
          <w:sz w:val="24"/>
          <w:szCs w:val="24"/>
        </w:rPr>
      </w:pPr>
      <w:bookmarkStart w:id="0" w:name="_GoBack"/>
      <w:bookmarkEnd w:id="0"/>
      <w:r w:rsidRPr="009B749D">
        <w:rPr>
          <w:rFonts w:ascii="Times New Roman" w:hAnsi="Times New Roman" w:cs="Times New Roman"/>
          <w:b/>
          <w:bCs/>
          <w:sz w:val="24"/>
          <w:szCs w:val="24"/>
        </w:rPr>
        <w:t xml:space="preserve">Editorial </w:t>
      </w:r>
    </w:p>
    <w:p w14:paraId="1335D9DA" w14:textId="1966FC21" w:rsidR="00F81E1F" w:rsidRPr="009B749D" w:rsidRDefault="00F81E1F" w:rsidP="00F527AF">
      <w:pPr>
        <w:pStyle w:val="Body"/>
        <w:spacing w:line="360" w:lineRule="auto"/>
        <w:rPr>
          <w:rFonts w:ascii="Times New Roman" w:hAnsi="Times New Roman" w:cs="Times New Roman"/>
          <w:b/>
          <w:bCs/>
          <w:sz w:val="24"/>
          <w:szCs w:val="24"/>
        </w:rPr>
      </w:pPr>
      <w:r w:rsidRPr="009B749D">
        <w:rPr>
          <w:rFonts w:ascii="Times New Roman" w:hAnsi="Times New Roman" w:cs="Times New Roman"/>
          <w:b/>
          <w:bCs/>
          <w:sz w:val="24"/>
          <w:szCs w:val="24"/>
        </w:rPr>
        <w:t xml:space="preserve">Name: Edward Premdas Pinto </w:t>
      </w:r>
    </w:p>
    <w:p w14:paraId="0BBE1BDB" w14:textId="34883F4D" w:rsidR="00F81E1F" w:rsidRPr="009B749D" w:rsidRDefault="00F81E1F" w:rsidP="00F527AF">
      <w:pPr>
        <w:pStyle w:val="Body"/>
        <w:spacing w:line="360" w:lineRule="auto"/>
        <w:rPr>
          <w:rFonts w:ascii="Times New Roman" w:hAnsi="Times New Roman" w:cs="Times New Roman"/>
          <w:b/>
          <w:bCs/>
          <w:sz w:val="24"/>
          <w:szCs w:val="24"/>
        </w:rPr>
      </w:pPr>
      <w:r w:rsidRPr="009B749D">
        <w:rPr>
          <w:rFonts w:ascii="Times New Roman" w:hAnsi="Times New Roman" w:cs="Times New Roman"/>
          <w:b/>
          <w:bCs/>
          <w:sz w:val="24"/>
          <w:szCs w:val="24"/>
        </w:rPr>
        <w:t>Affiliation: Azim Premji University, Bengaluru</w:t>
      </w:r>
    </w:p>
    <w:p w14:paraId="69F12C82" w14:textId="5D397407" w:rsidR="00F81E1F" w:rsidRPr="009B749D" w:rsidRDefault="00F81E1F" w:rsidP="00F527AF">
      <w:pPr>
        <w:pStyle w:val="Body"/>
        <w:spacing w:line="360" w:lineRule="auto"/>
        <w:rPr>
          <w:rFonts w:ascii="Times New Roman" w:hAnsi="Times New Roman" w:cs="Times New Roman"/>
          <w:b/>
          <w:bCs/>
          <w:sz w:val="24"/>
          <w:szCs w:val="24"/>
        </w:rPr>
      </w:pPr>
      <w:r w:rsidRPr="009B749D">
        <w:rPr>
          <w:rFonts w:ascii="Times New Roman" w:hAnsi="Times New Roman" w:cs="Times New Roman"/>
          <w:b/>
          <w:bCs/>
          <w:sz w:val="24"/>
          <w:szCs w:val="24"/>
        </w:rPr>
        <w:t>Phone: +91-9999067140</w:t>
      </w:r>
    </w:p>
    <w:p w14:paraId="00250C69" w14:textId="265D5AA4" w:rsidR="00F81E1F" w:rsidRPr="009B749D" w:rsidRDefault="00F81E1F" w:rsidP="00F527AF">
      <w:pPr>
        <w:pStyle w:val="Body"/>
        <w:spacing w:line="360" w:lineRule="auto"/>
        <w:rPr>
          <w:rFonts w:ascii="Times New Roman" w:hAnsi="Times New Roman" w:cs="Times New Roman"/>
          <w:b/>
          <w:bCs/>
          <w:sz w:val="24"/>
          <w:szCs w:val="24"/>
        </w:rPr>
      </w:pPr>
      <w:r w:rsidRPr="009B749D">
        <w:rPr>
          <w:rFonts w:ascii="Times New Roman" w:hAnsi="Times New Roman" w:cs="Times New Roman"/>
          <w:b/>
          <w:bCs/>
          <w:sz w:val="24"/>
          <w:szCs w:val="24"/>
        </w:rPr>
        <w:t>e-mail: e</w:t>
      </w:r>
      <w:r w:rsidR="007C0471">
        <w:rPr>
          <w:rFonts w:ascii="Times New Roman" w:hAnsi="Times New Roman" w:cs="Times New Roman"/>
          <w:b/>
          <w:bCs/>
          <w:sz w:val="24"/>
          <w:szCs w:val="24"/>
        </w:rPr>
        <w:t>dward</w:t>
      </w:r>
      <w:r w:rsidRPr="009B749D">
        <w:rPr>
          <w:rFonts w:ascii="Times New Roman" w:hAnsi="Times New Roman" w:cs="Times New Roman"/>
          <w:b/>
          <w:bCs/>
          <w:sz w:val="24"/>
          <w:szCs w:val="24"/>
        </w:rPr>
        <w:t>.p</w:t>
      </w:r>
      <w:r w:rsidR="007C0471">
        <w:rPr>
          <w:rFonts w:ascii="Times New Roman" w:hAnsi="Times New Roman" w:cs="Times New Roman"/>
          <w:b/>
          <w:bCs/>
          <w:sz w:val="24"/>
          <w:szCs w:val="24"/>
        </w:rPr>
        <w:t>into</w:t>
      </w:r>
      <w:r w:rsidRPr="009B749D">
        <w:rPr>
          <w:rFonts w:ascii="Times New Roman" w:hAnsi="Times New Roman" w:cs="Times New Roman"/>
          <w:b/>
          <w:bCs/>
          <w:sz w:val="24"/>
          <w:szCs w:val="24"/>
        </w:rPr>
        <w:t>@</w:t>
      </w:r>
      <w:r w:rsidR="00851279">
        <w:rPr>
          <w:rFonts w:ascii="Times New Roman" w:hAnsi="Times New Roman" w:cs="Times New Roman"/>
          <w:b/>
          <w:bCs/>
          <w:sz w:val="24"/>
          <w:szCs w:val="24"/>
        </w:rPr>
        <w:t>apu.edu.in</w:t>
      </w:r>
    </w:p>
    <w:p w14:paraId="4F128985" w14:textId="77777777" w:rsidR="00F81E1F" w:rsidRPr="009B749D" w:rsidRDefault="00F81E1F" w:rsidP="00F527AF">
      <w:pPr>
        <w:pStyle w:val="Body"/>
        <w:spacing w:line="360" w:lineRule="auto"/>
        <w:rPr>
          <w:rFonts w:ascii="Times New Roman" w:hAnsi="Times New Roman" w:cs="Times New Roman"/>
          <w:b/>
          <w:bCs/>
          <w:sz w:val="24"/>
          <w:szCs w:val="24"/>
        </w:rPr>
      </w:pPr>
    </w:p>
    <w:p w14:paraId="46EB0A8F" w14:textId="3E2CA051" w:rsidR="009C7379" w:rsidRPr="009B749D" w:rsidRDefault="009C7379" w:rsidP="000E561C">
      <w:pPr>
        <w:pStyle w:val="Body"/>
        <w:spacing w:line="360" w:lineRule="auto"/>
        <w:jc w:val="both"/>
        <w:rPr>
          <w:rFonts w:ascii="Times New Roman" w:hAnsi="Times New Roman" w:cs="Times New Roman"/>
          <w:sz w:val="24"/>
          <w:szCs w:val="24"/>
        </w:rPr>
      </w:pPr>
      <w:r w:rsidRPr="009B749D">
        <w:rPr>
          <w:rFonts w:ascii="Times New Roman" w:hAnsi="Times New Roman" w:cs="Times New Roman"/>
          <w:sz w:val="24"/>
          <w:szCs w:val="24"/>
        </w:rPr>
        <w:t xml:space="preserve">The COVID19 pandemic has exposed the </w:t>
      </w:r>
      <w:r w:rsidR="00401745" w:rsidRPr="009B749D">
        <w:rPr>
          <w:rFonts w:ascii="Times New Roman" w:hAnsi="Times New Roman" w:cs="Times New Roman"/>
          <w:sz w:val="24"/>
          <w:szCs w:val="24"/>
        </w:rPr>
        <w:t xml:space="preserve">vulnerability </w:t>
      </w:r>
      <w:r w:rsidRPr="009B749D">
        <w:rPr>
          <w:rFonts w:ascii="Times New Roman" w:hAnsi="Times New Roman" w:cs="Times New Roman"/>
          <w:sz w:val="24"/>
          <w:szCs w:val="24"/>
        </w:rPr>
        <w:t xml:space="preserve">of the health systems not only </w:t>
      </w:r>
      <w:r w:rsidR="00401745" w:rsidRPr="009B749D">
        <w:rPr>
          <w:rFonts w:ascii="Times New Roman" w:hAnsi="Times New Roman" w:cs="Times New Roman"/>
          <w:sz w:val="24"/>
          <w:szCs w:val="24"/>
        </w:rPr>
        <w:t xml:space="preserve">in </w:t>
      </w:r>
      <w:r w:rsidRPr="009B749D">
        <w:rPr>
          <w:rFonts w:ascii="Times New Roman" w:hAnsi="Times New Roman" w:cs="Times New Roman"/>
          <w:sz w:val="24"/>
          <w:szCs w:val="24"/>
        </w:rPr>
        <w:t xml:space="preserve">emergency situations </w:t>
      </w:r>
      <w:r w:rsidR="00401745" w:rsidRPr="009B749D">
        <w:rPr>
          <w:rFonts w:ascii="Times New Roman" w:hAnsi="Times New Roman" w:cs="Times New Roman"/>
          <w:sz w:val="24"/>
          <w:szCs w:val="24"/>
        </w:rPr>
        <w:t xml:space="preserve">such as those </w:t>
      </w:r>
      <w:r w:rsidRPr="009B749D">
        <w:rPr>
          <w:rFonts w:ascii="Times New Roman" w:hAnsi="Times New Roman" w:cs="Times New Roman"/>
          <w:sz w:val="24"/>
          <w:szCs w:val="24"/>
        </w:rPr>
        <w:t xml:space="preserve">unfolded in 2020, but also the gaps in meeting the average health needs of the populations and its systemic deficiencies which the accountability practitioners have been pointing out for several years. </w:t>
      </w:r>
      <w:r w:rsidR="00F277ED" w:rsidRPr="009B749D">
        <w:rPr>
          <w:rFonts w:ascii="Times New Roman" w:hAnsi="Times New Roman" w:cs="Times New Roman"/>
          <w:sz w:val="24"/>
          <w:szCs w:val="24"/>
        </w:rPr>
        <w:t>Accountability is the key to measure the progress towards meeting various goals set out in the development goals and those that are set in various international human rights commitments. United Nation’s Independent Accountability Panel has set forth four pillars as the core of accountability, viz. commitment and responsibility, justification and evidence, institutionalization as part of implementation, and continuous progress as part of progressive realization.</w:t>
      </w:r>
      <w:r w:rsidR="00F277ED" w:rsidRPr="009B749D">
        <w:rPr>
          <w:rStyle w:val="EndnoteReference"/>
          <w:rFonts w:ascii="Times New Roman" w:hAnsi="Times New Roman" w:cs="Times New Roman"/>
          <w:sz w:val="24"/>
          <w:szCs w:val="24"/>
        </w:rPr>
        <w:endnoteReference w:id="1"/>
      </w:r>
      <w:r w:rsidR="00BA39DA" w:rsidRPr="009B749D">
        <w:rPr>
          <w:rFonts w:ascii="Times New Roman" w:hAnsi="Times New Roman" w:cs="Times New Roman"/>
          <w:sz w:val="24"/>
          <w:szCs w:val="24"/>
        </w:rPr>
        <w:t xml:space="preserve"> </w:t>
      </w:r>
      <w:r w:rsidR="00401745" w:rsidRPr="009B749D">
        <w:rPr>
          <w:rFonts w:ascii="Times New Roman" w:hAnsi="Times New Roman" w:cs="Times New Roman"/>
          <w:sz w:val="24"/>
          <w:szCs w:val="24"/>
        </w:rPr>
        <w:t xml:space="preserve"> While the lack of enhancement of the wellbeing of citizens and communities points to the glaring gaps in State accountability to its citizens and to several mandates, the discourse on accountability itself being top-down, technocratic and tool-centric driven by elites while leaving out the practice and processes of social accountability  Relating to the latter, a group of practitioners in the praxis of social accountability driven by community leaders and citizens, and a pathway to elicit learning from those practice formation of COPASAH – Community of practitioners on accountability and Social Action on Health. </w:t>
      </w:r>
      <w:r w:rsidR="00F329A9" w:rsidRPr="009B749D">
        <w:rPr>
          <w:rFonts w:ascii="Times New Roman" w:hAnsi="Times New Roman" w:cs="Times New Roman"/>
          <w:sz w:val="24"/>
          <w:szCs w:val="24"/>
        </w:rPr>
        <w:t xml:space="preserve">The practitioner centred and modelled on a dialogical pedagogy of participation, discussions privileging the practitioner symposium was hosted by COPASAH on a broader theme of </w:t>
      </w:r>
      <w:r w:rsidR="00F329A9" w:rsidRPr="009B749D">
        <w:rPr>
          <w:rFonts w:ascii="Times New Roman" w:hAnsi="Times New Roman" w:cs="Times New Roman"/>
          <w:i/>
          <w:iCs/>
          <w:sz w:val="24"/>
          <w:szCs w:val="24"/>
        </w:rPr>
        <w:t>Citizenship, Governance and Accountability in Health</w:t>
      </w:r>
      <w:r w:rsidR="00F329A9" w:rsidRPr="009B749D">
        <w:rPr>
          <w:rFonts w:ascii="Times New Roman" w:hAnsi="Times New Roman" w:cs="Times New Roman"/>
          <w:sz w:val="24"/>
          <w:szCs w:val="24"/>
        </w:rPr>
        <w:t xml:space="preserve">, woven around five core themes of practice. </w:t>
      </w:r>
    </w:p>
    <w:p w14:paraId="721F7DBF" w14:textId="4C1F5F83" w:rsidR="00F527AF" w:rsidRPr="009B749D" w:rsidRDefault="00F527AF" w:rsidP="000E561C">
      <w:pPr>
        <w:pStyle w:val="Body"/>
        <w:spacing w:line="360" w:lineRule="auto"/>
        <w:jc w:val="both"/>
        <w:rPr>
          <w:rFonts w:ascii="Times New Roman" w:eastAsia="Times New Roman" w:hAnsi="Times New Roman" w:cs="Times New Roman"/>
          <w:b/>
          <w:bCs/>
          <w:sz w:val="24"/>
          <w:szCs w:val="24"/>
        </w:rPr>
      </w:pPr>
      <w:r w:rsidRPr="009B749D">
        <w:rPr>
          <w:rFonts w:ascii="Times New Roman" w:hAnsi="Times New Roman" w:cs="Times New Roman"/>
          <w:sz w:val="24"/>
          <w:szCs w:val="24"/>
        </w:rPr>
        <w:t xml:space="preserve">The five core themes that formed the axes of the symposium deliberations are—community participation in accountability for health systems strengthening (Henceforth, Community Participation), rights of indigenous people and accountability (Indigenous People), sexual and reproductive health rights (SRHR), setting the framework and agenda for people centred accountability of private and corporate healthcare sectors (Private Sector), and forging alliance between </w:t>
      </w:r>
      <w:r w:rsidRPr="009B749D">
        <w:rPr>
          <w:rFonts w:ascii="Times New Roman" w:hAnsi="Times New Roman" w:cs="Times New Roman"/>
          <w:sz w:val="24"/>
          <w:szCs w:val="24"/>
          <w:lang w:val="fr-FR"/>
        </w:rPr>
        <w:t>communit</w:t>
      </w:r>
      <w:r w:rsidRPr="009B749D">
        <w:rPr>
          <w:rFonts w:ascii="Times New Roman" w:hAnsi="Times New Roman" w:cs="Times New Roman"/>
          <w:sz w:val="24"/>
          <w:szCs w:val="24"/>
        </w:rPr>
        <w:t xml:space="preserve">ies  and health care workers (Healthcare workers). Three themes, viz. </w:t>
      </w:r>
      <w:r w:rsidRPr="009B749D">
        <w:rPr>
          <w:rFonts w:ascii="Times New Roman" w:hAnsi="Times New Roman" w:cs="Times New Roman"/>
          <w:sz w:val="24"/>
          <w:szCs w:val="24"/>
        </w:rPr>
        <w:lastRenderedPageBreak/>
        <w:t xml:space="preserve">Indigenous People, SRHR and Private </w:t>
      </w:r>
      <w:r w:rsidR="00420816" w:rsidRPr="009B749D">
        <w:rPr>
          <w:rFonts w:ascii="Times New Roman" w:hAnsi="Times New Roman" w:cs="Times New Roman"/>
          <w:sz w:val="24"/>
          <w:szCs w:val="24"/>
        </w:rPr>
        <w:t>Sector, were nurtured</w:t>
      </w:r>
      <w:r w:rsidRPr="009B749D">
        <w:rPr>
          <w:rFonts w:ascii="Times New Roman" w:hAnsi="Times New Roman" w:cs="Times New Roman"/>
          <w:sz w:val="24"/>
          <w:szCs w:val="24"/>
        </w:rPr>
        <w:t xml:space="preserve"> by </w:t>
      </w:r>
      <w:r w:rsidR="00420816" w:rsidRPr="009B749D">
        <w:rPr>
          <w:rFonts w:ascii="Times New Roman" w:hAnsi="Times New Roman" w:cs="Times New Roman"/>
          <w:sz w:val="24"/>
          <w:szCs w:val="24"/>
        </w:rPr>
        <w:t>COPASAH over</w:t>
      </w:r>
      <w:r w:rsidRPr="009B749D">
        <w:rPr>
          <w:rFonts w:ascii="Times New Roman" w:hAnsi="Times New Roman" w:cs="Times New Roman"/>
          <w:sz w:val="24"/>
          <w:szCs w:val="24"/>
        </w:rPr>
        <w:t xml:space="preserve"> the five years preceding the symposium as thematic hubs.  The themes of Community Action and Healthcare Workers evolved through pre-symposium deliberations and consultations with partners and acquired significance due the leadership shown by practitioners in anchoring these themes. </w:t>
      </w:r>
      <w:r w:rsidR="008D452E" w:rsidRPr="009B749D">
        <w:rPr>
          <w:rFonts w:ascii="Times New Roman" w:hAnsi="Times New Roman" w:cs="Times New Roman"/>
          <w:sz w:val="24"/>
          <w:szCs w:val="24"/>
        </w:rPr>
        <w:t xml:space="preserve">Accountability practitioners from Latin America, Africa, South East Asia, South Asia and South Eastern Europe presented their practice and learnings on respective themes. </w:t>
      </w:r>
      <w:r w:rsidRPr="009B749D">
        <w:rPr>
          <w:rFonts w:ascii="Times New Roman" w:hAnsi="Times New Roman" w:cs="Times New Roman"/>
          <w:sz w:val="24"/>
          <w:szCs w:val="24"/>
        </w:rPr>
        <w:t xml:space="preserve">This issue carries </w:t>
      </w:r>
      <w:r w:rsidR="008C78BA" w:rsidRPr="009B749D">
        <w:rPr>
          <w:rFonts w:ascii="Times New Roman" w:hAnsi="Times New Roman" w:cs="Times New Roman"/>
          <w:sz w:val="24"/>
          <w:szCs w:val="24"/>
        </w:rPr>
        <w:t xml:space="preserve">synthesis </w:t>
      </w:r>
      <w:r w:rsidRPr="009B749D">
        <w:rPr>
          <w:rFonts w:ascii="Times New Roman" w:hAnsi="Times New Roman" w:cs="Times New Roman"/>
          <w:sz w:val="24"/>
          <w:szCs w:val="24"/>
        </w:rPr>
        <w:t xml:space="preserve">papers on </w:t>
      </w:r>
      <w:r w:rsidR="008C78BA" w:rsidRPr="009B749D">
        <w:rPr>
          <w:rFonts w:ascii="Times New Roman" w:hAnsi="Times New Roman" w:cs="Times New Roman"/>
          <w:sz w:val="24"/>
          <w:szCs w:val="24"/>
        </w:rPr>
        <w:t xml:space="preserve">some </w:t>
      </w:r>
      <w:r w:rsidR="00420816" w:rsidRPr="009B749D">
        <w:rPr>
          <w:rFonts w:ascii="Times New Roman" w:hAnsi="Times New Roman" w:cs="Times New Roman"/>
          <w:sz w:val="24"/>
          <w:szCs w:val="24"/>
        </w:rPr>
        <w:t>of these</w:t>
      </w:r>
      <w:r w:rsidRPr="009B749D">
        <w:rPr>
          <w:rFonts w:ascii="Times New Roman" w:hAnsi="Times New Roman" w:cs="Times New Roman"/>
          <w:sz w:val="24"/>
          <w:szCs w:val="24"/>
        </w:rPr>
        <w:t xml:space="preserve"> themes. </w:t>
      </w:r>
    </w:p>
    <w:p w14:paraId="3D27EE37" w14:textId="7576CF7D" w:rsidR="00F527AF" w:rsidRPr="009B749D" w:rsidRDefault="00F527AF" w:rsidP="000E561C">
      <w:pPr>
        <w:pStyle w:val="Body"/>
        <w:spacing w:line="360" w:lineRule="auto"/>
        <w:jc w:val="both"/>
        <w:rPr>
          <w:rFonts w:ascii="Times New Roman" w:eastAsia="Times New Roman" w:hAnsi="Times New Roman" w:cs="Times New Roman"/>
          <w:sz w:val="24"/>
          <w:szCs w:val="24"/>
        </w:rPr>
      </w:pPr>
      <w:r w:rsidRPr="009B749D">
        <w:rPr>
          <w:rFonts w:ascii="Times New Roman" w:hAnsi="Times New Roman" w:cs="Times New Roman"/>
          <w:i/>
          <w:iCs/>
          <w:sz w:val="24"/>
          <w:szCs w:val="24"/>
        </w:rPr>
        <w:t xml:space="preserve">Community Participation in Accountability for Health Systems Strengthening </w:t>
      </w:r>
      <w:r w:rsidRPr="009B749D">
        <w:rPr>
          <w:rFonts w:ascii="Times New Roman" w:hAnsi="Times New Roman" w:cs="Times New Roman"/>
          <w:sz w:val="24"/>
          <w:szCs w:val="24"/>
        </w:rPr>
        <w:t xml:space="preserve">focused on the centrality of community participation and its power for negotiating through governance and </w:t>
      </w:r>
      <w:r w:rsidR="00420816" w:rsidRPr="009B749D">
        <w:rPr>
          <w:rFonts w:ascii="Times New Roman" w:hAnsi="Times New Roman" w:cs="Times New Roman"/>
          <w:sz w:val="24"/>
          <w:szCs w:val="24"/>
        </w:rPr>
        <w:t>societal structures</w:t>
      </w:r>
      <w:r w:rsidRPr="009B749D">
        <w:rPr>
          <w:rFonts w:ascii="Times New Roman" w:hAnsi="Times New Roman" w:cs="Times New Roman"/>
          <w:sz w:val="24"/>
          <w:szCs w:val="24"/>
        </w:rPr>
        <w:t xml:space="preserve"> to bring about changes in power equations of community with the health systems.   In the backdrop of accountability being reduced to highly technical tools of survey and report cards, the presentations by experienced social accountability </w:t>
      </w:r>
      <w:r w:rsidR="008D452E" w:rsidRPr="009B749D">
        <w:rPr>
          <w:rFonts w:ascii="Times New Roman" w:hAnsi="Times New Roman" w:cs="Times New Roman"/>
          <w:sz w:val="24"/>
          <w:szCs w:val="24"/>
        </w:rPr>
        <w:t>practitioners highlighted</w:t>
      </w:r>
      <w:r w:rsidRPr="009B749D">
        <w:rPr>
          <w:rFonts w:ascii="Times New Roman" w:hAnsi="Times New Roman" w:cs="Times New Roman"/>
          <w:sz w:val="24"/>
          <w:szCs w:val="24"/>
        </w:rPr>
        <w:t xml:space="preserve"> the processes and strategies   adopted at various levels of governance aimed at re-negotiating community’s power to demand health rights. </w:t>
      </w:r>
      <w:r w:rsidR="008C78BA" w:rsidRPr="009B749D">
        <w:rPr>
          <w:rFonts w:ascii="Times New Roman" w:hAnsi="Times New Roman" w:cs="Times New Roman"/>
          <w:sz w:val="24"/>
          <w:szCs w:val="24"/>
        </w:rPr>
        <w:t xml:space="preserve"> </w:t>
      </w:r>
      <w:r w:rsidRPr="009B749D">
        <w:rPr>
          <w:rFonts w:ascii="Times New Roman" w:hAnsi="Times New Roman" w:cs="Times New Roman"/>
          <w:sz w:val="24"/>
          <w:szCs w:val="24"/>
        </w:rPr>
        <w:t xml:space="preserve">The learnings demonstrate the critical role these </w:t>
      </w:r>
      <w:r w:rsidR="008C78BA" w:rsidRPr="009B749D">
        <w:rPr>
          <w:rFonts w:ascii="Times New Roman" w:hAnsi="Times New Roman" w:cs="Times New Roman"/>
          <w:sz w:val="24"/>
          <w:szCs w:val="24"/>
        </w:rPr>
        <w:t>strategies in</w:t>
      </w:r>
      <w:r w:rsidRPr="009B749D">
        <w:rPr>
          <w:rFonts w:ascii="Times New Roman" w:hAnsi="Times New Roman" w:cs="Times New Roman"/>
          <w:sz w:val="24"/>
          <w:szCs w:val="24"/>
        </w:rPr>
        <w:t xml:space="preserve"> leveraging </w:t>
      </w:r>
      <w:r w:rsidR="008C78BA" w:rsidRPr="009B749D">
        <w:rPr>
          <w:rFonts w:ascii="Times New Roman" w:hAnsi="Times New Roman" w:cs="Times New Roman"/>
          <w:sz w:val="24"/>
          <w:szCs w:val="24"/>
        </w:rPr>
        <w:t>social accountability (</w:t>
      </w:r>
      <w:r w:rsidRPr="009B749D">
        <w:rPr>
          <w:rFonts w:ascii="Times New Roman" w:hAnsi="Times New Roman" w:cs="Times New Roman"/>
          <w:sz w:val="24"/>
          <w:szCs w:val="24"/>
        </w:rPr>
        <w:t>SA</w:t>
      </w:r>
      <w:r w:rsidR="008C78BA" w:rsidRPr="009B749D">
        <w:rPr>
          <w:rFonts w:ascii="Times New Roman" w:hAnsi="Times New Roman" w:cs="Times New Roman"/>
          <w:sz w:val="24"/>
          <w:szCs w:val="24"/>
        </w:rPr>
        <w:t>)</w:t>
      </w:r>
      <w:r w:rsidRPr="009B749D">
        <w:rPr>
          <w:rFonts w:ascii="Times New Roman" w:hAnsi="Times New Roman" w:cs="Times New Roman"/>
          <w:sz w:val="24"/>
          <w:szCs w:val="24"/>
        </w:rPr>
        <w:t xml:space="preserve"> </w:t>
      </w:r>
      <w:r w:rsidR="00420816" w:rsidRPr="009B749D">
        <w:rPr>
          <w:rFonts w:ascii="Times New Roman" w:hAnsi="Times New Roman" w:cs="Times New Roman"/>
          <w:sz w:val="24"/>
          <w:szCs w:val="24"/>
        </w:rPr>
        <w:t>opportunities for</w:t>
      </w:r>
      <w:r w:rsidRPr="009B749D">
        <w:rPr>
          <w:rFonts w:ascii="Times New Roman" w:hAnsi="Times New Roman" w:cs="Times New Roman"/>
          <w:sz w:val="24"/>
          <w:szCs w:val="24"/>
        </w:rPr>
        <w:t xml:space="preserve"> making health care accessible to the marginalised populations.  </w:t>
      </w:r>
      <w:r w:rsidR="008C78BA" w:rsidRPr="009B749D">
        <w:rPr>
          <w:rFonts w:ascii="Times New Roman" w:hAnsi="Times New Roman" w:cs="Times New Roman"/>
          <w:sz w:val="24"/>
          <w:szCs w:val="24"/>
        </w:rPr>
        <w:t xml:space="preserve">The </w:t>
      </w:r>
      <w:r w:rsidRPr="009B749D">
        <w:rPr>
          <w:rFonts w:ascii="Times New Roman" w:hAnsi="Times New Roman" w:cs="Times New Roman"/>
          <w:sz w:val="24"/>
          <w:szCs w:val="24"/>
        </w:rPr>
        <w:t>key insight</w:t>
      </w:r>
      <w:r w:rsidR="008C78BA" w:rsidRPr="009B749D">
        <w:rPr>
          <w:rFonts w:ascii="Times New Roman" w:hAnsi="Times New Roman" w:cs="Times New Roman"/>
          <w:sz w:val="24"/>
          <w:szCs w:val="24"/>
        </w:rPr>
        <w:t xml:space="preserve">s of this thematic </w:t>
      </w:r>
      <w:r w:rsidRPr="009B749D">
        <w:rPr>
          <w:rFonts w:ascii="Times New Roman" w:hAnsi="Times New Roman" w:cs="Times New Roman"/>
          <w:sz w:val="24"/>
          <w:szCs w:val="24"/>
        </w:rPr>
        <w:t xml:space="preserve">deliberations </w:t>
      </w:r>
      <w:r w:rsidR="008C78BA" w:rsidRPr="009B749D">
        <w:rPr>
          <w:rFonts w:ascii="Times New Roman" w:hAnsi="Times New Roman" w:cs="Times New Roman"/>
          <w:sz w:val="24"/>
          <w:szCs w:val="24"/>
        </w:rPr>
        <w:t>underscore the nee</w:t>
      </w:r>
      <w:r w:rsidRPr="009B749D">
        <w:rPr>
          <w:rFonts w:ascii="Times New Roman" w:hAnsi="Times New Roman" w:cs="Times New Roman"/>
          <w:sz w:val="24"/>
          <w:szCs w:val="24"/>
        </w:rPr>
        <w:t xml:space="preserve">d </w:t>
      </w:r>
      <w:r w:rsidR="008C78BA" w:rsidRPr="009B749D">
        <w:rPr>
          <w:rFonts w:ascii="Times New Roman" w:hAnsi="Times New Roman" w:cs="Times New Roman"/>
          <w:sz w:val="24"/>
          <w:szCs w:val="24"/>
        </w:rPr>
        <w:t>of capturing</w:t>
      </w:r>
      <w:r w:rsidRPr="009B749D">
        <w:rPr>
          <w:rFonts w:ascii="Times New Roman" w:hAnsi="Times New Roman" w:cs="Times New Roman"/>
          <w:sz w:val="24"/>
          <w:szCs w:val="24"/>
        </w:rPr>
        <w:t xml:space="preserve"> incremental shifts in power equations of community with the power wielders</w:t>
      </w:r>
      <w:r w:rsidR="008C78BA" w:rsidRPr="009B749D">
        <w:rPr>
          <w:rFonts w:ascii="Times New Roman" w:hAnsi="Times New Roman" w:cs="Times New Roman"/>
          <w:sz w:val="24"/>
          <w:szCs w:val="24"/>
        </w:rPr>
        <w:t xml:space="preserve"> and of</w:t>
      </w:r>
      <w:r w:rsidRPr="009B749D">
        <w:rPr>
          <w:rFonts w:ascii="Times New Roman" w:hAnsi="Times New Roman" w:cs="Times New Roman"/>
          <w:sz w:val="24"/>
          <w:szCs w:val="24"/>
        </w:rPr>
        <w:t xml:space="preserve"> </w:t>
      </w:r>
      <w:r w:rsidR="008C78BA" w:rsidRPr="009B749D">
        <w:rPr>
          <w:rFonts w:ascii="Times New Roman" w:hAnsi="Times New Roman" w:cs="Times New Roman"/>
          <w:sz w:val="24"/>
          <w:szCs w:val="24"/>
        </w:rPr>
        <w:t>building collective</w:t>
      </w:r>
      <w:r w:rsidRPr="009B749D">
        <w:rPr>
          <w:rFonts w:ascii="Times New Roman" w:hAnsi="Times New Roman" w:cs="Times New Roman"/>
          <w:sz w:val="24"/>
          <w:szCs w:val="24"/>
        </w:rPr>
        <w:t xml:space="preserve"> </w:t>
      </w:r>
      <w:r w:rsidRPr="009B749D">
        <w:rPr>
          <w:rFonts w:ascii="Times New Roman" w:hAnsi="Times New Roman" w:cs="Times New Roman"/>
          <w:sz w:val="24"/>
          <w:szCs w:val="24"/>
          <w:lang w:val="fr-FR"/>
        </w:rPr>
        <w:t>civil society voice</w:t>
      </w:r>
      <w:r w:rsidRPr="009B749D">
        <w:rPr>
          <w:rFonts w:ascii="Times New Roman" w:hAnsi="Times New Roman" w:cs="Times New Roman"/>
          <w:sz w:val="24"/>
          <w:szCs w:val="24"/>
        </w:rPr>
        <w:t xml:space="preserve"> for </w:t>
      </w:r>
      <w:r w:rsidR="008C78BA" w:rsidRPr="009B749D">
        <w:rPr>
          <w:rFonts w:ascii="Times New Roman" w:hAnsi="Times New Roman" w:cs="Times New Roman"/>
          <w:sz w:val="24"/>
          <w:szCs w:val="24"/>
        </w:rPr>
        <w:t>SA through multi-pronged strategies for</w:t>
      </w:r>
      <w:r w:rsidRPr="009B749D">
        <w:rPr>
          <w:rFonts w:ascii="Times New Roman" w:hAnsi="Times New Roman" w:cs="Times New Roman"/>
          <w:sz w:val="24"/>
          <w:szCs w:val="24"/>
        </w:rPr>
        <w:t xml:space="preserve"> bolstering citizenship</w:t>
      </w:r>
      <w:r w:rsidR="008C78BA" w:rsidRPr="009B749D">
        <w:rPr>
          <w:rFonts w:ascii="Times New Roman" w:hAnsi="Times New Roman" w:cs="Times New Roman"/>
          <w:sz w:val="24"/>
          <w:szCs w:val="24"/>
        </w:rPr>
        <w:t>.</w:t>
      </w:r>
      <w:r w:rsidRPr="009B749D">
        <w:rPr>
          <w:rFonts w:ascii="Times New Roman" w:hAnsi="Times New Roman" w:cs="Times New Roman"/>
          <w:sz w:val="24"/>
          <w:szCs w:val="24"/>
        </w:rPr>
        <w:t xml:space="preserve"> </w:t>
      </w:r>
      <w:r w:rsidR="008C78BA" w:rsidRPr="009B749D">
        <w:rPr>
          <w:rFonts w:ascii="Times New Roman" w:hAnsi="Times New Roman" w:cs="Times New Roman"/>
          <w:sz w:val="24"/>
          <w:szCs w:val="24"/>
        </w:rPr>
        <w:t xml:space="preserve"> </w:t>
      </w:r>
    </w:p>
    <w:p w14:paraId="3FEA8820" w14:textId="6917C03A" w:rsidR="00F527AF" w:rsidRPr="009B749D" w:rsidRDefault="00F527AF" w:rsidP="000E561C">
      <w:pPr>
        <w:pStyle w:val="Body"/>
        <w:spacing w:line="360" w:lineRule="auto"/>
        <w:jc w:val="both"/>
        <w:rPr>
          <w:rFonts w:ascii="Times New Roman" w:eastAsia="Times New Roman" w:hAnsi="Times New Roman" w:cs="Times New Roman"/>
          <w:sz w:val="24"/>
          <w:szCs w:val="24"/>
        </w:rPr>
      </w:pPr>
      <w:r w:rsidRPr="009B749D">
        <w:rPr>
          <w:rFonts w:ascii="Times New Roman" w:hAnsi="Times New Roman" w:cs="Times New Roman"/>
          <w:i/>
          <w:iCs/>
          <w:sz w:val="24"/>
          <w:szCs w:val="24"/>
        </w:rPr>
        <w:t>Rights of I</w:t>
      </w:r>
      <w:r w:rsidRPr="009B749D">
        <w:rPr>
          <w:rFonts w:ascii="Times New Roman" w:hAnsi="Times New Roman" w:cs="Times New Roman"/>
          <w:i/>
          <w:iCs/>
          <w:sz w:val="24"/>
          <w:szCs w:val="24"/>
          <w:lang w:val="fr-FR"/>
        </w:rPr>
        <w:t xml:space="preserve">ndigenous </w:t>
      </w:r>
      <w:r w:rsidRPr="009B749D">
        <w:rPr>
          <w:rFonts w:ascii="Times New Roman" w:hAnsi="Times New Roman" w:cs="Times New Roman"/>
          <w:i/>
          <w:iCs/>
          <w:sz w:val="24"/>
          <w:szCs w:val="24"/>
        </w:rPr>
        <w:t xml:space="preserve">People and Accountability </w:t>
      </w:r>
      <w:r w:rsidR="008C78BA" w:rsidRPr="009B749D">
        <w:rPr>
          <w:rFonts w:ascii="Times New Roman" w:hAnsi="Times New Roman" w:cs="Times New Roman"/>
          <w:sz w:val="24"/>
          <w:szCs w:val="24"/>
        </w:rPr>
        <w:t>theme</w:t>
      </w:r>
      <w:r w:rsidR="008C78BA" w:rsidRPr="009B749D">
        <w:rPr>
          <w:rFonts w:ascii="Times New Roman" w:hAnsi="Times New Roman" w:cs="Times New Roman"/>
          <w:i/>
          <w:iCs/>
          <w:sz w:val="24"/>
          <w:szCs w:val="24"/>
        </w:rPr>
        <w:t xml:space="preserve"> </w:t>
      </w:r>
      <w:r w:rsidRPr="009B749D">
        <w:rPr>
          <w:rFonts w:ascii="Times New Roman" w:hAnsi="Times New Roman" w:cs="Times New Roman"/>
          <w:sz w:val="24"/>
          <w:szCs w:val="24"/>
        </w:rPr>
        <w:t xml:space="preserve">recognized the </w:t>
      </w:r>
      <w:r w:rsidR="008C78BA" w:rsidRPr="009B749D">
        <w:rPr>
          <w:rFonts w:ascii="Times New Roman" w:hAnsi="Times New Roman" w:cs="Times New Roman"/>
          <w:sz w:val="24"/>
          <w:szCs w:val="24"/>
        </w:rPr>
        <w:t>s</w:t>
      </w:r>
      <w:r w:rsidRPr="009B749D">
        <w:rPr>
          <w:rFonts w:ascii="Times New Roman" w:hAnsi="Times New Roman" w:cs="Times New Roman"/>
          <w:sz w:val="24"/>
          <w:szCs w:val="24"/>
        </w:rPr>
        <w:t xml:space="preserve">hared histories of marginalisation and oppression of the diverse indigenous populations across the globe and focused on the barriers </w:t>
      </w:r>
      <w:r w:rsidR="00420816" w:rsidRPr="009B749D">
        <w:rPr>
          <w:rFonts w:ascii="Times New Roman" w:hAnsi="Times New Roman" w:cs="Times New Roman"/>
          <w:sz w:val="24"/>
          <w:szCs w:val="24"/>
        </w:rPr>
        <w:t>to accessing public</w:t>
      </w:r>
      <w:r w:rsidRPr="009B749D">
        <w:rPr>
          <w:rFonts w:ascii="Times New Roman" w:hAnsi="Times New Roman" w:cs="Times New Roman"/>
          <w:sz w:val="24"/>
          <w:szCs w:val="24"/>
        </w:rPr>
        <w:t xml:space="preserve"> services as the key point of deliberations.  </w:t>
      </w:r>
      <w:r w:rsidR="00BA4285" w:rsidRPr="009B749D">
        <w:rPr>
          <w:rFonts w:ascii="Times New Roman" w:hAnsi="Times New Roman" w:cs="Times New Roman"/>
          <w:sz w:val="24"/>
          <w:szCs w:val="24"/>
        </w:rPr>
        <w:t xml:space="preserve"> T</w:t>
      </w:r>
      <w:r w:rsidRPr="009B749D">
        <w:rPr>
          <w:rFonts w:ascii="Times New Roman" w:hAnsi="Times New Roman" w:cs="Times New Roman"/>
          <w:sz w:val="24"/>
          <w:szCs w:val="24"/>
        </w:rPr>
        <w:t xml:space="preserve">he community </w:t>
      </w:r>
      <w:r w:rsidR="00BA4285" w:rsidRPr="009B749D">
        <w:rPr>
          <w:rFonts w:ascii="Times New Roman" w:hAnsi="Times New Roman" w:cs="Times New Roman"/>
          <w:sz w:val="24"/>
          <w:szCs w:val="24"/>
        </w:rPr>
        <w:t xml:space="preserve">representatives </w:t>
      </w:r>
      <w:r w:rsidRPr="009B749D">
        <w:rPr>
          <w:rFonts w:ascii="Times New Roman" w:hAnsi="Times New Roman" w:cs="Times New Roman"/>
          <w:sz w:val="24"/>
          <w:szCs w:val="24"/>
        </w:rPr>
        <w:t>from Latin America, Roma community members from South Eastern Europe and indigenous and Dalit communities from South Asia</w:t>
      </w:r>
      <w:r w:rsidR="00BA4285" w:rsidRPr="009B749D">
        <w:rPr>
          <w:rFonts w:ascii="Times New Roman" w:hAnsi="Times New Roman" w:cs="Times New Roman"/>
          <w:sz w:val="24"/>
          <w:szCs w:val="24"/>
        </w:rPr>
        <w:t xml:space="preserve">, shared both their </w:t>
      </w:r>
      <w:r w:rsidRPr="009B749D">
        <w:rPr>
          <w:rFonts w:ascii="Times New Roman" w:hAnsi="Times New Roman" w:cs="Times New Roman"/>
          <w:sz w:val="24"/>
          <w:szCs w:val="24"/>
        </w:rPr>
        <w:t>experiences of exclusion from social and economic processes</w:t>
      </w:r>
      <w:r w:rsidR="00BA4285" w:rsidRPr="009B749D">
        <w:rPr>
          <w:rFonts w:ascii="Times New Roman" w:hAnsi="Times New Roman" w:cs="Times New Roman"/>
          <w:sz w:val="24"/>
          <w:szCs w:val="24"/>
        </w:rPr>
        <w:t xml:space="preserve"> as well as </w:t>
      </w:r>
      <w:r w:rsidRPr="009B749D">
        <w:rPr>
          <w:rFonts w:ascii="Times New Roman" w:hAnsi="Times New Roman" w:cs="Times New Roman"/>
          <w:sz w:val="24"/>
          <w:szCs w:val="24"/>
        </w:rPr>
        <w:t xml:space="preserve">the strategies they have employed to reclaiming their public spaces.  </w:t>
      </w:r>
      <w:r w:rsidR="00BA4285" w:rsidRPr="009B749D">
        <w:rPr>
          <w:rFonts w:ascii="Times New Roman" w:hAnsi="Times New Roman" w:cs="Times New Roman"/>
          <w:sz w:val="24"/>
          <w:szCs w:val="24"/>
        </w:rPr>
        <w:t xml:space="preserve">The deliberations highlighted that SA </w:t>
      </w:r>
      <w:r w:rsidR="00420816" w:rsidRPr="009B749D">
        <w:rPr>
          <w:rFonts w:ascii="Times New Roman" w:hAnsi="Times New Roman" w:cs="Times New Roman"/>
          <w:sz w:val="24"/>
          <w:szCs w:val="24"/>
        </w:rPr>
        <w:t>process deepens</w:t>
      </w:r>
      <w:r w:rsidR="00BA4285" w:rsidRPr="009B749D">
        <w:rPr>
          <w:rFonts w:ascii="Times New Roman" w:hAnsi="Times New Roman" w:cs="Times New Roman"/>
          <w:sz w:val="24"/>
          <w:szCs w:val="24"/>
        </w:rPr>
        <w:t xml:space="preserve"> </w:t>
      </w:r>
      <w:r w:rsidR="00420816" w:rsidRPr="009B749D">
        <w:rPr>
          <w:rFonts w:ascii="Times New Roman" w:hAnsi="Times New Roman" w:cs="Times New Roman"/>
          <w:sz w:val="24"/>
          <w:szCs w:val="24"/>
        </w:rPr>
        <w:t>community’s knowledge</w:t>
      </w:r>
      <w:r w:rsidR="00BA4285" w:rsidRPr="009B749D">
        <w:rPr>
          <w:rFonts w:ascii="Times New Roman" w:hAnsi="Times New Roman" w:cs="Times New Roman"/>
          <w:sz w:val="24"/>
          <w:szCs w:val="24"/>
        </w:rPr>
        <w:t xml:space="preserve"> of rights and their skills of navigating </w:t>
      </w:r>
      <w:r w:rsidR="00420816" w:rsidRPr="009B749D">
        <w:rPr>
          <w:rFonts w:ascii="Times New Roman" w:hAnsi="Times New Roman" w:cs="Times New Roman"/>
          <w:sz w:val="24"/>
          <w:szCs w:val="24"/>
        </w:rPr>
        <w:t>through the</w:t>
      </w:r>
      <w:r w:rsidR="00BA4285" w:rsidRPr="009B749D">
        <w:rPr>
          <w:rFonts w:ascii="Times New Roman" w:hAnsi="Times New Roman" w:cs="Times New Roman"/>
          <w:sz w:val="24"/>
          <w:szCs w:val="24"/>
        </w:rPr>
        <w:t xml:space="preserve"> state institutions.  </w:t>
      </w:r>
      <w:r w:rsidRPr="009B749D">
        <w:rPr>
          <w:rFonts w:ascii="Times New Roman" w:hAnsi="Times New Roman" w:cs="Times New Roman"/>
          <w:sz w:val="24"/>
          <w:szCs w:val="24"/>
        </w:rPr>
        <w:t xml:space="preserve">The </w:t>
      </w:r>
      <w:r w:rsidR="00BA4285" w:rsidRPr="009B749D">
        <w:rPr>
          <w:rFonts w:ascii="Times New Roman" w:hAnsi="Times New Roman" w:cs="Times New Roman"/>
          <w:sz w:val="24"/>
          <w:szCs w:val="24"/>
        </w:rPr>
        <w:t xml:space="preserve">insights through intense deliberations proposed </w:t>
      </w:r>
      <w:r w:rsidRPr="009B749D">
        <w:rPr>
          <w:rFonts w:ascii="Times New Roman" w:hAnsi="Times New Roman" w:cs="Times New Roman"/>
          <w:sz w:val="24"/>
          <w:szCs w:val="24"/>
        </w:rPr>
        <w:t xml:space="preserve">that health accountability processes could be the strategic prototype for indigenous populations to claim accountability for other public services as well. </w:t>
      </w:r>
    </w:p>
    <w:p w14:paraId="23750CCB" w14:textId="75D56569" w:rsidR="00F527AF" w:rsidRPr="009B749D" w:rsidRDefault="00F527AF" w:rsidP="000E561C">
      <w:pPr>
        <w:pStyle w:val="Body"/>
        <w:spacing w:line="360" w:lineRule="auto"/>
        <w:jc w:val="both"/>
        <w:rPr>
          <w:rFonts w:ascii="Times New Roman" w:hAnsi="Times New Roman" w:cs="Times New Roman"/>
          <w:i/>
          <w:iCs/>
          <w:sz w:val="24"/>
          <w:szCs w:val="24"/>
        </w:rPr>
      </w:pPr>
      <w:r w:rsidRPr="009B749D">
        <w:rPr>
          <w:rFonts w:ascii="Times New Roman" w:hAnsi="Times New Roman" w:cs="Times New Roman"/>
          <w:i/>
          <w:iCs/>
          <w:sz w:val="24"/>
          <w:szCs w:val="24"/>
        </w:rPr>
        <w:t>Sexual and R</w:t>
      </w:r>
      <w:r w:rsidRPr="009B749D">
        <w:rPr>
          <w:rFonts w:ascii="Times New Roman" w:hAnsi="Times New Roman" w:cs="Times New Roman"/>
          <w:i/>
          <w:iCs/>
          <w:sz w:val="24"/>
          <w:szCs w:val="24"/>
          <w:lang w:val="fr-FR"/>
        </w:rPr>
        <w:t xml:space="preserve">eproductive </w:t>
      </w:r>
      <w:r w:rsidRPr="009B749D">
        <w:rPr>
          <w:rFonts w:ascii="Times New Roman" w:hAnsi="Times New Roman" w:cs="Times New Roman"/>
          <w:i/>
          <w:iCs/>
          <w:sz w:val="24"/>
          <w:szCs w:val="24"/>
        </w:rPr>
        <w:t xml:space="preserve">Health Rights (SRHR) </w:t>
      </w:r>
      <w:r w:rsidR="00BA4285" w:rsidRPr="009B749D">
        <w:rPr>
          <w:rFonts w:ascii="Times New Roman" w:hAnsi="Times New Roman" w:cs="Times New Roman"/>
          <w:sz w:val="24"/>
          <w:szCs w:val="24"/>
        </w:rPr>
        <w:t xml:space="preserve">theme </w:t>
      </w:r>
      <w:r w:rsidRPr="009B749D">
        <w:rPr>
          <w:rFonts w:ascii="Times New Roman" w:hAnsi="Times New Roman" w:cs="Times New Roman"/>
          <w:sz w:val="24"/>
          <w:szCs w:val="24"/>
        </w:rPr>
        <w:t>acknowledg</w:t>
      </w:r>
      <w:r w:rsidR="00BA4285" w:rsidRPr="009B749D">
        <w:rPr>
          <w:rFonts w:ascii="Times New Roman" w:hAnsi="Times New Roman" w:cs="Times New Roman"/>
          <w:sz w:val="24"/>
          <w:szCs w:val="24"/>
        </w:rPr>
        <w:t xml:space="preserve">ed the theme </w:t>
      </w:r>
      <w:r w:rsidRPr="009B749D">
        <w:rPr>
          <w:rFonts w:ascii="Times New Roman" w:hAnsi="Times New Roman" w:cs="Times New Roman"/>
          <w:sz w:val="24"/>
          <w:szCs w:val="24"/>
        </w:rPr>
        <w:t xml:space="preserve">as a deeply contested domain for accountability as the stakeholders to be held to account </w:t>
      </w:r>
      <w:r w:rsidR="00BA4285" w:rsidRPr="009B749D">
        <w:rPr>
          <w:rFonts w:ascii="Times New Roman" w:hAnsi="Times New Roman" w:cs="Times New Roman"/>
          <w:sz w:val="24"/>
          <w:szCs w:val="24"/>
        </w:rPr>
        <w:t xml:space="preserve">included both </w:t>
      </w:r>
      <w:r w:rsidRPr="009B749D">
        <w:rPr>
          <w:rFonts w:ascii="Times New Roman" w:hAnsi="Times New Roman" w:cs="Times New Roman"/>
          <w:sz w:val="24"/>
          <w:szCs w:val="24"/>
        </w:rPr>
        <w:t xml:space="preserve">the </w:t>
      </w:r>
      <w:r w:rsidRPr="009B749D">
        <w:rPr>
          <w:rFonts w:ascii="Times New Roman" w:hAnsi="Times New Roman" w:cs="Times New Roman"/>
          <w:sz w:val="24"/>
          <w:szCs w:val="24"/>
        </w:rPr>
        <w:lastRenderedPageBreak/>
        <w:t>state authorities but also include socie</w:t>
      </w:r>
      <w:r w:rsidR="00BA4285" w:rsidRPr="009B749D">
        <w:rPr>
          <w:rFonts w:ascii="Times New Roman" w:hAnsi="Times New Roman" w:cs="Times New Roman"/>
          <w:sz w:val="24"/>
          <w:szCs w:val="24"/>
        </w:rPr>
        <w:t>tal gender and patriarchal power wielders</w:t>
      </w:r>
      <w:r w:rsidRPr="009B749D">
        <w:rPr>
          <w:rFonts w:ascii="Times New Roman" w:hAnsi="Times New Roman" w:cs="Times New Roman"/>
          <w:sz w:val="24"/>
          <w:szCs w:val="24"/>
        </w:rPr>
        <w:t xml:space="preserve">.   Given the context of limited, fragmented and narrow focus </w:t>
      </w:r>
      <w:r w:rsidR="00420816" w:rsidRPr="009B749D">
        <w:rPr>
          <w:rFonts w:ascii="Times New Roman" w:hAnsi="Times New Roman" w:cs="Times New Roman"/>
          <w:sz w:val="24"/>
          <w:szCs w:val="24"/>
        </w:rPr>
        <w:t>of SRHR</w:t>
      </w:r>
      <w:r w:rsidRPr="009B749D">
        <w:rPr>
          <w:rFonts w:ascii="Times New Roman" w:hAnsi="Times New Roman" w:cs="Times New Roman"/>
          <w:sz w:val="24"/>
          <w:szCs w:val="24"/>
        </w:rPr>
        <w:t xml:space="preserve"> discourses as reflected in the global </w:t>
      </w:r>
      <w:r w:rsidR="00420816" w:rsidRPr="009B749D">
        <w:rPr>
          <w:rFonts w:ascii="Times New Roman" w:hAnsi="Times New Roman" w:cs="Times New Roman"/>
          <w:sz w:val="24"/>
          <w:szCs w:val="24"/>
        </w:rPr>
        <w:t>SDGs, the</w:t>
      </w:r>
      <w:r w:rsidRPr="009B749D">
        <w:rPr>
          <w:rFonts w:ascii="Times New Roman" w:hAnsi="Times New Roman" w:cs="Times New Roman"/>
          <w:sz w:val="24"/>
          <w:szCs w:val="24"/>
        </w:rPr>
        <w:t xml:space="preserve"> presentations focused on community-led social accountability practices strategically employed </w:t>
      </w:r>
      <w:r w:rsidR="00420816" w:rsidRPr="009B749D">
        <w:rPr>
          <w:rFonts w:ascii="Times New Roman" w:hAnsi="Times New Roman" w:cs="Times New Roman"/>
          <w:sz w:val="24"/>
          <w:szCs w:val="24"/>
        </w:rPr>
        <w:t>in negotiating</w:t>
      </w:r>
      <w:r w:rsidRPr="009B749D">
        <w:rPr>
          <w:rFonts w:ascii="Times New Roman" w:hAnsi="Times New Roman" w:cs="Times New Roman"/>
          <w:sz w:val="24"/>
          <w:szCs w:val="24"/>
        </w:rPr>
        <w:t xml:space="preserve">  the politics of sexual and reproductive health rights. The presenters from communities with hands-on experiences of navigating through such strategies interrogated how societal inequities adversely impact </w:t>
      </w:r>
      <w:r w:rsidR="00BA4285" w:rsidRPr="009B749D">
        <w:rPr>
          <w:rFonts w:ascii="Times New Roman" w:hAnsi="Times New Roman" w:cs="Times New Roman"/>
          <w:sz w:val="24"/>
          <w:szCs w:val="24"/>
        </w:rPr>
        <w:t>SRHR</w:t>
      </w:r>
      <w:r w:rsidRPr="009B749D">
        <w:rPr>
          <w:rFonts w:ascii="Times New Roman" w:hAnsi="Times New Roman" w:cs="Times New Roman"/>
          <w:sz w:val="24"/>
          <w:szCs w:val="24"/>
        </w:rPr>
        <w:t>. Amongst others, key d</w:t>
      </w:r>
      <w:r w:rsidR="00BA4285" w:rsidRPr="009B749D">
        <w:rPr>
          <w:rFonts w:ascii="Times New Roman" w:hAnsi="Times New Roman" w:cs="Times New Roman"/>
          <w:sz w:val="24"/>
          <w:szCs w:val="24"/>
        </w:rPr>
        <w:t xml:space="preserve">eliberations analyzed  </w:t>
      </w:r>
      <w:r w:rsidRPr="009B749D">
        <w:rPr>
          <w:rFonts w:ascii="Times New Roman" w:hAnsi="Times New Roman" w:cs="Times New Roman"/>
          <w:sz w:val="24"/>
          <w:szCs w:val="24"/>
        </w:rPr>
        <w:t>global actors and their impact on SRHR accountability</w:t>
      </w:r>
      <w:r w:rsidR="001E6609" w:rsidRPr="009B749D">
        <w:rPr>
          <w:rFonts w:ascii="Times New Roman" w:hAnsi="Times New Roman" w:cs="Times New Roman"/>
          <w:sz w:val="24"/>
          <w:szCs w:val="24"/>
        </w:rPr>
        <w:t xml:space="preserve">, </w:t>
      </w:r>
      <w:r w:rsidRPr="009B749D">
        <w:rPr>
          <w:rFonts w:ascii="Times New Roman" w:hAnsi="Times New Roman" w:cs="Times New Roman"/>
          <w:sz w:val="24"/>
          <w:szCs w:val="24"/>
        </w:rPr>
        <w:t>global accountability mechanisms required to negotiate the power of donors</w:t>
      </w:r>
      <w:r w:rsidR="001E6609" w:rsidRPr="009B749D">
        <w:rPr>
          <w:rFonts w:ascii="Times New Roman" w:hAnsi="Times New Roman" w:cs="Times New Roman"/>
          <w:sz w:val="24"/>
          <w:szCs w:val="24"/>
        </w:rPr>
        <w:t xml:space="preserve">, the tension between population control and access to contraception, abortion rights, and the inherent challenges  to one’s right to express ones gender and sexual identity. </w:t>
      </w:r>
      <w:r w:rsidRPr="009B749D">
        <w:rPr>
          <w:rFonts w:ascii="Times New Roman" w:hAnsi="Times New Roman" w:cs="Times New Roman"/>
          <w:sz w:val="24"/>
          <w:szCs w:val="24"/>
        </w:rPr>
        <w:t xml:space="preserve"> Key </w:t>
      </w:r>
      <w:r w:rsidR="001E6609" w:rsidRPr="009B749D">
        <w:rPr>
          <w:rFonts w:ascii="Times New Roman" w:hAnsi="Times New Roman" w:cs="Times New Roman"/>
          <w:sz w:val="24"/>
          <w:szCs w:val="24"/>
        </w:rPr>
        <w:t xml:space="preserve">insight was the </w:t>
      </w:r>
      <w:r w:rsidRPr="009B749D">
        <w:rPr>
          <w:rFonts w:ascii="Times New Roman" w:hAnsi="Times New Roman" w:cs="Times New Roman"/>
          <w:sz w:val="24"/>
          <w:szCs w:val="24"/>
        </w:rPr>
        <w:t xml:space="preserve"> acknowledge</w:t>
      </w:r>
      <w:r w:rsidR="001E6609" w:rsidRPr="009B749D">
        <w:rPr>
          <w:rFonts w:ascii="Times New Roman" w:hAnsi="Times New Roman" w:cs="Times New Roman"/>
          <w:sz w:val="24"/>
          <w:szCs w:val="24"/>
        </w:rPr>
        <w:t xml:space="preserve">ment </w:t>
      </w:r>
      <w:r w:rsidRPr="009B749D">
        <w:rPr>
          <w:rFonts w:ascii="Times New Roman" w:hAnsi="Times New Roman" w:cs="Times New Roman"/>
          <w:sz w:val="24"/>
          <w:szCs w:val="24"/>
        </w:rPr>
        <w:t xml:space="preserve">that SRHR accountability could not be a </w:t>
      </w:r>
      <w:r w:rsidR="001E6609" w:rsidRPr="009B749D">
        <w:rPr>
          <w:rFonts w:ascii="Times New Roman" w:hAnsi="Times New Roman" w:cs="Times New Roman"/>
          <w:sz w:val="24"/>
          <w:szCs w:val="24"/>
        </w:rPr>
        <w:t>standalone</w:t>
      </w:r>
      <w:r w:rsidRPr="009B749D">
        <w:rPr>
          <w:rFonts w:ascii="Times New Roman" w:hAnsi="Times New Roman" w:cs="Times New Roman"/>
          <w:sz w:val="24"/>
          <w:szCs w:val="24"/>
        </w:rPr>
        <w:t xml:space="preserve"> focus as this </w:t>
      </w:r>
      <w:r w:rsidR="001E6609" w:rsidRPr="009B749D">
        <w:rPr>
          <w:rFonts w:ascii="Times New Roman" w:hAnsi="Times New Roman" w:cs="Times New Roman"/>
          <w:sz w:val="24"/>
          <w:szCs w:val="24"/>
        </w:rPr>
        <w:t xml:space="preserve">is </w:t>
      </w:r>
      <w:r w:rsidRPr="009B749D">
        <w:rPr>
          <w:rFonts w:ascii="Times New Roman" w:hAnsi="Times New Roman" w:cs="Times New Roman"/>
          <w:sz w:val="24"/>
          <w:szCs w:val="24"/>
        </w:rPr>
        <w:t>intertwined with the politics of women’s lives and therefore had be integrated with other strategies employed both at the interface of communities with health systems as well as within health systems and communities themselves.</w:t>
      </w:r>
      <w:r w:rsidRPr="009B749D">
        <w:rPr>
          <w:rFonts w:ascii="Times New Roman" w:hAnsi="Times New Roman" w:cs="Times New Roman"/>
          <w:i/>
          <w:iCs/>
          <w:sz w:val="24"/>
          <w:szCs w:val="24"/>
        </w:rPr>
        <w:t xml:space="preserve"> </w:t>
      </w:r>
    </w:p>
    <w:p w14:paraId="5C788111" w14:textId="6D000349" w:rsidR="00F527AF" w:rsidRPr="009B749D" w:rsidRDefault="00F527AF" w:rsidP="000E561C">
      <w:pPr>
        <w:pStyle w:val="Body"/>
        <w:spacing w:line="360" w:lineRule="auto"/>
        <w:jc w:val="both"/>
        <w:rPr>
          <w:rFonts w:ascii="Times New Roman" w:eastAsia="Times New Roman" w:hAnsi="Times New Roman" w:cs="Times New Roman"/>
          <w:sz w:val="24"/>
          <w:szCs w:val="24"/>
        </w:rPr>
      </w:pPr>
      <w:r w:rsidRPr="009B749D">
        <w:rPr>
          <w:rFonts w:ascii="Times New Roman" w:hAnsi="Times New Roman" w:cs="Times New Roman"/>
          <w:i/>
          <w:iCs/>
          <w:sz w:val="24"/>
          <w:szCs w:val="24"/>
        </w:rPr>
        <w:t>People Centered Accountability of Private and Corporate Healthcare Sectors</w:t>
      </w:r>
      <w:r w:rsidRPr="009B749D">
        <w:rPr>
          <w:rFonts w:ascii="Times New Roman" w:hAnsi="Times New Roman" w:cs="Times New Roman"/>
          <w:sz w:val="24"/>
          <w:szCs w:val="24"/>
        </w:rPr>
        <w:t xml:space="preserve"> is an emerging theme in the global health discourses. It is now globally recognised that the commercialization of health systems and the transition of health from a public good to a marketable commodity takes place at the cost of publicly funded health care in developing countries.  The experiences </w:t>
      </w:r>
      <w:r w:rsidR="008D452E" w:rsidRPr="009B749D">
        <w:rPr>
          <w:rFonts w:ascii="Times New Roman" w:hAnsi="Times New Roman" w:cs="Times New Roman"/>
          <w:sz w:val="24"/>
          <w:szCs w:val="24"/>
        </w:rPr>
        <w:t>of practitioners</w:t>
      </w:r>
      <w:r w:rsidRPr="009B749D">
        <w:rPr>
          <w:rFonts w:ascii="Times New Roman" w:hAnsi="Times New Roman" w:cs="Times New Roman"/>
          <w:sz w:val="24"/>
          <w:szCs w:val="24"/>
        </w:rPr>
        <w:t xml:space="preserve"> brought out the implications of the lack of state regulation and oversight in enabling the profit driven private healthcare sector to exploit vulnerable people through unchecked malpractice and violations of patients’ rights. Advocacy for pati</w:t>
      </w:r>
      <w:r w:rsidR="00420816" w:rsidRPr="009B749D">
        <w:rPr>
          <w:rFonts w:ascii="Times New Roman" w:hAnsi="Times New Roman" w:cs="Times New Roman"/>
          <w:sz w:val="24"/>
          <w:szCs w:val="24"/>
        </w:rPr>
        <w:t xml:space="preserve">ents’ </w:t>
      </w:r>
      <w:r w:rsidRPr="009B749D">
        <w:rPr>
          <w:rFonts w:ascii="Times New Roman" w:hAnsi="Times New Roman" w:cs="Times New Roman"/>
          <w:sz w:val="24"/>
          <w:szCs w:val="24"/>
          <w:rtl/>
        </w:rPr>
        <w:t xml:space="preserve"> </w:t>
      </w:r>
      <w:r w:rsidRPr="009B749D">
        <w:rPr>
          <w:rFonts w:ascii="Times New Roman" w:hAnsi="Times New Roman" w:cs="Times New Roman"/>
          <w:sz w:val="24"/>
          <w:szCs w:val="24"/>
        </w:rPr>
        <w:t xml:space="preserve">rights was </w:t>
      </w:r>
      <w:r w:rsidR="00420816" w:rsidRPr="009B749D">
        <w:rPr>
          <w:rFonts w:ascii="Times New Roman" w:hAnsi="Times New Roman" w:cs="Times New Roman"/>
          <w:sz w:val="24"/>
          <w:szCs w:val="24"/>
        </w:rPr>
        <w:t xml:space="preserve">presented </w:t>
      </w:r>
      <w:r w:rsidRPr="009B749D">
        <w:rPr>
          <w:rFonts w:ascii="Times New Roman" w:hAnsi="Times New Roman" w:cs="Times New Roman"/>
          <w:sz w:val="24"/>
          <w:szCs w:val="24"/>
        </w:rPr>
        <w:t xml:space="preserve">as an effective strategy to demand accountability of the private and corporate health care institutions.  Insights from these deliberations </w:t>
      </w:r>
      <w:r w:rsidR="00420816" w:rsidRPr="009B749D">
        <w:rPr>
          <w:rFonts w:ascii="Times New Roman" w:hAnsi="Times New Roman" w:cs="Times New Roman"/>
          <w:sz w:val="24"/>
          <w:szCs w:val="24"/>
        </w:rPr>
        <w:t xml:space="preserve">will </w:t>
      </w:r>
      <w:r w:rsidRPr="009B749D">
        <w:rPr>
          <w:rFonts w:ascii="Times New Roman" w:hAnsi="Times New Roman" w:cs="Times New Roman"/>
          <w:sz w:val="24"/>
          <w:szCs w:val="24"/>
        </w:rPr>
        <w:t xml:space="preserve">contribute to a global </w:t>
      </w:r>
      <w:r w:rsidR="00420816" w:rsidRPr="009B749D">
        <w:rPr>
          <w:rFonts w:ascii="Times New Roman" w:hAnsi="Times New Roman" w:cs="Times New Roman"/>
          <w:sz w:val="24"/>
          <w:szCs w:val="24"/>
        </w:rPr>
        <w:t xml:space="preserve">patient centred </w:t>
      </w:r>
      <w:r w:rsidRPr="009B749D">
        <w:rPr>
          <w:rFonts w:ascii="Times New Roman" w:hAnsi="Times New Roman" w:cs="Times New Roman"/>
          <w:sz w:val="24"/>
          <w:szCs w:val="24"/>
        </w:rPr>
        <w:t xml:space="preserve">narrative </w:t>
      </w:r>
      <w:r w:rsidR="00420816" w:rsidRPr="009B749D">
        <w:rPr>
          <w:rFonts w:ascii="Times New Roman" w:hAnsi="Times New Roman" w:cs="Times New Roman"/>
          <w:sz w:val="24"/>
          <w:szCs w:val="24"/>
        </w:rPr>
        <w:t xml:space="preserve">on health care rights </w:t>
      </w:r>
      <w:r w:rsidRPr="009B749D">
        <w:rPr>
          <w:rFonts w:ascii="Times New Roman" w:hAnsi="Times New Roman" w:cs="Times New Roman"/>
          <w:sz w:val="24"/>
          <w:szCs w:val="24"/>
        </w:rPr>
        <w:t xml:space="preserve">and </w:t>
      </w:r>
      <w:r w:rsidR="00420816" w:rsidRPr="009B749D">
        <w:rPr>
          <w:rFonts w:ascii="Times New Roman" w:hAnsi="Times New Roman" w:cs="Times New Roman"/>
          <w:sz w:val="24"/>
          <w:szCs w:val="24"/>
        </w:rPr>
        <w:t xml:space="preserve">will equip the civil society with </w:t>
      </w:r>
      <w:r w:rsidRPr="009B749D">
        <w:rPr>
          <w:rFonts w:ascii="Times New Roman" w:hAnsi="Times New Roman" w:cs="Times New Roman"/>
          <w:sz w:val="24"/>
          <w:szCs w:val="24"/>
        </w:rPr>
        <w:t xml:space="preserve">tools to </w:t>
      </w:r>
      <w:r w:rsidR="00420816" w:rsidRPr="009B749D">
        <w:rPr>
          <w:rFonts w:ascii="Times New Roman" w:hAnsi="Times New Roman" w:cs="Times New Roman"/>
          <w:sz w:val="24"/>
          <w:szCs w:val="24"/>
        </w:rPr>
        <w:t xml:space="preserve">critically advance patient rights. </w:t>
      </w:r>
      <w:r w:rsidRPr="009B749D">
        <w:rPr>
          <w:rFonts w:ascii="Times New Roman" w:hAnsi="Times New Roman" w:cs="Times New Roman"/>
          <w:sz w:val="24"/>
          <w:szCs w:val="24"/>
        </w:rPr>
        <w:t xml:space="preserve"> </w:t>
      </w:r>
    </w:p>
    <w:p w14:paraId="15FC414B" w14:textId="4AFC2818" w:rsidR="00F527AF" w:rsidRPr="009B749D" w:rsidRDefault="00F527AF" w:rsidP="000E561C">
      <w:pPr>
        <w:pStyle w:val="Body"/>
        <w:spacing w:after="200" w:line="360" w:lineRule="auto"/>
        <w:jc w:val="both"/>
        <w:rPr>
          <w:rFonts w:ascii="Times New Roman" w:hAnsi="Times New Roman" w:cs="Times New Roman"/>
          <w:sz w:val="24"/>
          <w:szCs w:val="24"/>
        </w:rPr>
      </w:pPr>
      <w:r w:rsidRPr="009B749D">
        <w:rPr>
          <w:rFonts w:ascii="Times New Roman" w:hAnsi="Times New Roman" w:cs="Times New Roman"/>
          <w:i/>
          <w:iCs/>
          <w:sz w:val="24"/>
          <w:szCs w:val="24"/>
        </w:rPr>
        <w:t>F</w:t>
      </w:r>
      <w:r w:rsidRPr="009B749D">
        <w:rPr>
          <w:rFonts w:ascii="Times New Roman" w:hAnsi="Times New Roman" w:cs="Times New Roman"/>
          <w:i/>
          <w:iCs/>
          <w:sz w:val="24"/>
          <w:szCs w:val="24"/>
          <w:lang w:val="nl-NL"/>
        </w:rPr>
        <w:t xml:space="preserve">orging </w:t>
      </w:r>
      <w:r w:rsidRPr="009B749D">
        <w:rPr>
          <w:rFonts w:ascii="Times New Roman" w:hAnsi="Times New Roman" w:cs="Times New Roman"/>
          <w:i/>
          <w:iCs/>
          <w:sz w:val="24"/>
          <w:szCs w:val="24"/>
        </w:rPr>
        <w:t>A</w:t>
      </w:r>
      <w:r w:rsidRPr="009B749D">
        <w:rPr>
          <w:rFonts w:ascii="Times New Roman" w:hAnsi="Times New Roman" w:cs="Times New Roman"/>
          <w:i/>
          <w:iCs/>
          <w:sz w:val="24"/>
          <w:szCs w:val="24"/>
          <w:lang w:val="fr-FR"/>
        </w:rPr>
        <w:t xml:space="preserve">lliance </w:t>
      </w:r>
      <w:r w:rsidRPr="009B749D">
        <w:rPr>
          <w:rFonts w:ascii="Times New Roman" w:hAnsi="Times New Roman" w:cs="Times New Roman"/>
          <w:i/>
          <w:iCs/>
          <w:sz w:val="24"/>
          <w:szCs w:val="24"/>
        </w:rPr>
        <w:t>Between Health C</w:t>
      </w:r>
      <w:r w:rsidRPr="009B749D">
        <w:rPr>
          <w:rFonts w:ascii="Times New Roman" w:hAnsi="Times New Roman" w:cs="Times New Roman"/>
          <w:i/>
          <w:iCs/>
          <w:sz w:val="24"/>
          <w:szCs w:val="24"/>
          <w:lang w:val="it-IT"/>
        </w:rPr>
        <w:t xml:space="preserve">are </w:t>
      </w:r>
      <w:r w:rsidRPr="009B749D">
        <w:rPr>
          <w:rFonts w:ascii="Times New Roman" w:hAnsi="Times New Roman" w:cs="Times New Roman"/>
          <w:i/>
          <w:iCs/>
          <w:sz w:val="24"/>
          <w:szCs w:val="24"/>
        </w:rPr>
        <w:t xml:space="preserve">Workers and Community </w:t>
      </w:r>
      <w:r w:rsidRPr="009B749D">
        <w:rPr>
          <w:rFonts w:ascii="Times New Roman" w:hAnsi="Times New Roman" w:cs="Times New Roman"/>
          <w:sz w:val="24"/>
          <w:szCs w:val="24"/>
        </w:rPr>
        <w:t xml:space="preserve">focused on </w:t>
      </w:r>
      <w:r w:rsidRPr="009B749D">
        <w:rPr>
          <w:rFonts w:ascii="Times New Roman" w:hAnsi="Times New Roman" w:cs="Times New Roman"/>
          <w:sz w:val="24"/>
          <w:szCs w:val="24"/>
          <w:lang w:val="fr-FR"/>
        </w:rPr>
        <w:t xml:space="preserve">marginalisation and </w:t>
      </w:r>
      <w:r w:rsidRPr="009B749D">
        <w:rPr>
          <w:rFonts w:ascii="Times New Roman" w:hAnsi="Times New Roman" w:cs="Times New Roman"/>
          <w:sz w:val="24"/>
          <w:szCs w:val="24"/>
        </w:rPr>
        <w:t xml:space="preserve">the conflicts between the health care workers and community. The </w:t>
      </w:r>
      <w:r w:rsidR="008D452E" w:rsidRPr="009B749D">
        <w:rPr>
          <w:rFonts w:ascii="Times New Roman" w:hAnsi="Times New Roman" w:cs="Times New Roman"/>
          <w:sz w:val="24"/>
          <w:szCs w:val="24"/>
        </w:rPr>
        <w:t xml:space="preserve">depiction </w:t>
      </w:r>
      <w:r w:rsidRPr="009B749D">
        <w:rPr>
          <w:rFonts w:ascii="Times New Roman" w:hAnsi="Times New Roman" w:cs="Times New Roman"/>
          <w:sz w:val="24"/>
          <w:szCs w:val="24"/>
        </w:rPr>
        <w:t xml:space="preserve">of their role as </w:t>
      </w:r>
      <w:r w:rsidRPr="009B749D">
        <w:rPr>
          <w:rFonts w:ascii="Times New Roman" w:hAnsi="Times New Roman" w:cs="Times New Roman"/>
          <w:sz w:val="24"/>
          <w:szCs w:val="24"/>
          <w:rtl/>
        </w:rPr>
        <w:t>‘</w:t>
      </w:r>
      <w:r w:rsidRPr="009B749D">
        <w:rPr>
          <w:rFonts w:ascii="Times New Roman" w:hAnsi="Times New Roman" w:cs="Times New Roman"/>
          <w:sz w:val="24"/>
          <w:szCs w:val="24"/>
        </w:rPr>
        <w:t>lackeys or liberators</w:t>
      </w:r>
      <w:r w:rsidRPr="009B749D">
        <w:rPr>
          <w:rFonts w:ascii="Times New Roman" w:hAnsi="Times New Roman" w:cs="Times New Roman"/>
          <w:sz w:val="24"/>
          <w:szCs w:val="24"/>
          <w:rtl/>
        </w:rPr>
        <w:t>’</w:t>
      </w:r>
      <w:r w:rsidR="008D452E" w:rsidRPr="009B749D">
        <w:rPr>
          <w:rFonts w:ascii="Times New Roman" w:hAnsi="Times New Roman" w:cs="Times New Roman"/>
          <w:sz w:val="24"/>
          <w:szCs w:val="24"/>
          <w:cs/>
        </w:rPr>
        <w:t xml:space="preserve"> </w:t>
      </w:r>
      <w:r w:rsidR="008D452E" w:rsidRPr="009B749D">
        <w:rPr>
          <w:rFonts w:ascii="Times New Roman" w:hAnsi="Times New Roman" w:cs="Times New Roman"/>
          <w:sz w:val="24"/>
          <w:szCs w:val="24"/>
        </w:rPr>
        <w:t xml:space="preserve">summarise if they are </w:t>
      </w:r>
      <w:r w:rsidRPr="009B749D">
        <w:rPr>
          <w:rFonts w:ascii="Times New Roman" w:hAnsi="Times New Roman" w:cs="Times New Roman"/>
          <w:sz w:val="24"/>
          <w:szCs w:val="24"/>
        </w:rPr>
        <w:t xml:space="preserve">mere service providers or </w:t>
      </w:r>
      <w:r w:rsidR="008D452E" w:rsidRPr="009B749D">
        <w:rPr>
          <w:rFonts w:ascii="Times New Roman" w:hAnsi="Times New Roman" w:cs="Times New Roman"/>
          <w:sz w:val="24"/>
          <w:szCs w:val="24"/>
        </w:rPr>
        <w:t xml:space="preserve">also </w:t>
      </w:r>
      <w:r w:rsidRPr="009B749D">
        <w:rPr>
          <w:rFonts w:ascii="Times New Roman" w:hAnsi="Times New Roman" w:cs="Times New Roman"/>
          <w:sz w:val="24"/>
          <w:szCs w:val="24"/>
        </w:rPr>
        <w:t xml:space="preserve">agents of change. (5) Within health systems with strong hierarchies of power, community health care workers and women health workers form a voiceless and disadvantaged community. Within the context of fragile and fragmented health systems, the symposium recognised the tension that exists between health care workers and the community and this theme </w:t>
      </w:r>
      <w:r w:rsidR="001E6609" w:rsidRPr="009B749D">
        <w:rPr>
          <w:rFonts w:ascii="Times New Roman" w:hAnsi="Times New Roman" w:cs="Times New Roman"/>
          <w:sz w:val="24"/>
          <w:szCs w:val="24"/>
        </w:rPr>
        <w:t>focused</w:t>
      </w:r>
      <w:r w:rsidRPr="009B749D">
        <w:rPr>
          <w:rFonts w:ascii="Times New Roman" w:hAnsi="Times New Roman" w:cs="Times New Roman"/>
          <w:sz w:val="24"/>
          <w:szCs w:val="24"/>
        </w:rPr>
        <w:t xml:space="preserve"> on building positive alliances between the two towards building community centred health systems. </w:t>
      </w:r>
      <w:r w:rsidR="008D452E" w:rsidRPr="009B749D">
        <w:rPr>
          <w:rFonts w:ascii="Times New Roman" w:hAnsi="Times New Roman" w:cs="Times New Roman"/>
          <w:sz w:val="24"/>
          <w:szCs w:val="24"/>
        </w:rPr>
        <w:t xml:space="preserve"> The </w:t>
      </w:r>
      <w:r w:rsidR="008D452E" w:rsidRPr="009B749D">
        <w:rPr>
          <w:rFonts w:ascii="Times New Roman" w:hAnsi="Times New Roman" w:cs="Times New Roman"/>
          <w:sz w:val="24"/>
          <w:szCs w:val="24"/>
        </w:rPr>
        <w:lastRenderedPageBreak/>
        <w:t>deliberations and the analytical discussions that ensued</w:t>
      </w:r>
      <w:r w:rsidR="007113D2" w:rsidRPr="009B749D">
        <w:rPr>
          <w:rFonts w:ascii="Times New Roman" w:hAnsi="Times New Roman" w:cs="Times New Roman"/>
          <w:sz w:val="24"/>
          <w:szCs w:val="24"/>
        </w:rPr>
        <w:t xml:space="preserve"> </w:t>
      </w:r>
      <w:r w:rsidRPr="009B749D">
        <w:rPr>
          <w:rFonts w:ascii="Times New Roman" w:hAnsi="Times New Roman" w:cs="Times New Roman"/>
          <w:sz w:val="24"/>
          <w:szCs w:val="24"/>
        </w:rPr>
        <w:t>explore</w:t>
      </w:r>
      <w:r w:rsidR="007113D2" w:rsidRPr="009B749D">
        <w:rPr>
          <w:rFonts w:ascii="Times New Roman" w:hAnsi="Times New Roman" w:cs="Times New Roman"/>
          <w:sz w:val="24"/>
          <w:szCs w:val="24"/>
        </w:rPr>
        <w:t>d</w:t>
      </w:r>
      <w:r w:rsidRPr="009B749D">
        <w:rPr>
          <w:rFonts w:ascii="Times New Roman" w:hAnsi="Times New Roman" w:cs="Times New Roman"/>
          <w:sz w:val="24"/>
          <w:szCs w:val="24"/>
        </w:rPr>
        <w:t xml:space="preserve"> their</w:t>
      </w:r>
      <w:r w:rsidRPr="009B749D">
        <w:rPr>
          <w:rFonts w:ascii="Times New Roman" w:hAnsi="Times New Roman" w:cs="Times New Roman"/>
          <w:sz w:val="24"/>
          <w:szCs w:val="24"/>
          <w:lang w:val="es-ES_tradnl"/>
        </w:rPr>
        <w:t xml:space="preserve"> diverse contexts</w:t>
      </w:r>
      <w:r w:rsidRPr="009B749D">
        <w:rPr>
          <w:rFonts w:ascii="Times New Roman" w:hAnsi="Times New Roman" w:cs="Times New Roman"/>
          <w:sz w:val="24"/>
          <w:szCs w:val="24"/>
        </w:rPr>
        <w:t xml:space="preserve">, mapped the  increasing ambiguity in their role in the wake of several policy interventions often leading to collision among health care workers themselves, </w:t>
      </w:r>
      <w:r w:rsidR="007113D2" w:rsidRPr="009B749D">
        <w:rPr>
          <w:rFonts w:ascii="Times New Roman" w:hAnsi="Times New Roman" w:cs="Times New Roman"/>
          <w:sz w:val="24"/>
          <w:szCs w:val="24"/>
        </w:rPr>
        <w:t xml:space="preserve">and recognized </w:t>
      </w:r>
      <w:r w:rsidRPr="009B749D">
        <w:rPr>
          <w:rFonts w:ascii="Times New Roman" w:hAnsi="Times New Roman" w:cs="Times New Roman"/>
          <w:sz w:val="24"/>
          <w:szCs w:val="24"/>
        </w:rPr>
        <w:t xml:space="preserve">potentially conflicting expectations of service providers,  skewed recruitment processes </w:t>
      </w:r>
      <w:r w:rsidR="007113D2" w:rsidRPr="009B749D">
        <w:rPr>
          <w:rFonts w:ascii="Times New Roman" w:hAnsi="Times New Roman" w:cs="Times New Roman"/>
          <w:sz w:val="24"/>
          <w:szCs w:val="24"/>
        </w:rPr>
        <w:t xml:space="preserve">and </w:t>
      </w:r>
      <w:r w:rsidRPr="009B749D">
        <w:rPr>
          <w:rFonts w:ascii="Times New Roman" w:hAnsi="Times New Roman" w:cs="Times New Roman"/>
          <w:sz w:val="24"/>
          <w:szCs w:val="24"/>
        </w:rPr>
        <w:t xml:space="preserve">the role of training programs in the wake increasing privatization of education. The </w:t>
      </w:r>
      <w:r w:rsidR="007113D2" w:rsidRPr="009B749D">
        <w:rPr>
          <w:rFonts w:ascii="Times New Roman" w:hAnsi="Times New Roman" w:cs="Times New Roman"/>
          <w:sz w:val="24"/>
          <w:szCs w:val="24"/>
        </w:rPr>
        <w:t xml:space="preserve">key insight of this theme </w:t>
      </w:r>
      <w:r w:rsidRPr="009B749D">
        <w:rPr>
          <w:rFonts w:ascii="Times New Roman" w:hAnsi="Times New Roman" w:cs="Times New Roman"/>
          <w:sz w:val="24"/>
          <w:szCs w:val="24"/>
        </w:rPr>
        <w:t xml:space="preserve">noted that understanding the structural </w:t>
      </w:r>
      <w:r w:rsidR="00BB1ADF" w:rsidRPr="009B749D">
        <w:rPr>
          <w:rFonts w:ascii="Times New Roman" w:hAnsi="Times New Roman" w:cs="Times New Roman"/>
          <w:sz w:val="24"/>
          <w:szCs w:val="24"/>
        </w:rPr>
        <w:t>p</w:t>
      </w:r>
      <w:r w:rsidRPr="009B749D">
        <w:rPr>
          <w:rFonts w:ascii="Times New Roman" w:hAnsi="Times New Roman" w:cs="Times New Roman"/>
          <w:sz w:val="24"/>
          <w:szCs w:val="24"/>
        </w:rPr>
        <w:t xml:space="preserve">ower dynamics </w:t>
      </w:r>
      <w:r w:rsidR="00BB1ADF" w:rsidRPr="009B749D">
        <w:rPr>
          <w:rFonts w:ascii="Times New Roman" w:hAnsi="Times New Roman" w:cs="Times New Roman"/>
          <w:sz w:val="24"/>
          <w:szCs w:val="24"/>
        </w:rPr>
        <w:t xml:space="preserve">determining the constraints on the rights </w:t>
      </w:r>
      <w:r w:rsidR="000E561C" w:rsidRPr="009B749D">
        <w:rPr>
          <w:rFonts w:ascii="Times New Roman" w:hAnsi="Times New Roman" w:cs="Times New Roman"/>
          <w:sz w:val="24"/>
          <w:szCs w:val="24"/>
        </w:rPr>
        <w:t>of varied</w:t>
      </w:r>
      <w:r w:rsidR="00BB1ADF" w:rsidRPr="009B749D">
        <w:rPr>
          <w:rFonts w:ascii="Times New Roman" w:hAnsi="Times New Roman" w:cs="Times New Roman"/>
          <w:sz w:val="24"/>
          <w:szCs w:val="24"/>
        </w:rPr>
        <w:t xml:space="preserve"> </w:t>
      </w:r>
      <w:r w:rsidRPr="009B749D">
        <w:rPr>
          <w:rFonts w:ascii="Times New Roman" w:hAnsi="Times New Roman" w:cs="Times New Roman"/>
          <w:sz w:val="24"/>
          <w:szCs w:val="24"/>
        </w:rPr>
        <w:t xml:space="preserve">health care workers was important for appreciating the challenges as well as opportunities for fostering accountability. </w:t>
      </w:r>
    </w:p>
    <w:p w14:paraId="5DC1F2A0" w14:textId="5277DECD" w:rsidR="00A043D5" w:rsidRDefault="000E561C" w:rsidP="000E561C">
      <w:pPr>
        <w:pStyle w:val="Body"/>
        <w:spacing w:after="200" w:line="360" w:lineRule="auto"/>
        <w:jc w:val="both"/>
        <w:rPr>
          <w:rFonts w:ascii="Times New Roman" w:hAnsi="Times New Roman" w:cs="Times New Roman"/>
          <w:sz w:val="24"/>
          <w:szCs w:val="24"/>
        </w:rPr>
      </w:pPr>
      <w:r w:rsidRPr="009B749D">
        <w:rPr>
          <w:rFonts w:ascii="Times New Roman" w:hAnsi="Times New Roman" w:cs="Times New Roman"/>
          <w:sz w:val="24"/>
          <w:szCs w:val="24"/>
        </w:rPr>
        <w:t xml:space="preserve">The uniqueness of the symposium was marked the experience of practitioners from 48 countries contributing to the knowledge of social accountability processes </w:t>
      </w:r>
      <w:r w:rsidR="009D186D" w:rsidRPr="009B749D">
        <w:rPr>
          <w:rFonts w:ascii="Times New Roman" w:hAnsi="Times New Roman" w:cs="Times New Roman"/>
          <w:sz w:val="24"/>
          <w:szCs w:val="24"/>
        </w:rPr>
        <w:t xml:space="preserve">greasing </w:t>
      </w:r>
      <w:r w:rsidRPr="009B749D">
        <w:rPr>
          <w:rFonts w:ascii="Times New Roman" w:hAnsi="Times New Roman" w:cs="Times New Roman"/>
          <w:sz w:val="24"/>
          <w:szCs w:val="24"/>
        </w:rPr>
        <w:t>the interface of communities with polic</w:t>
      </w:r>
      <w:r w:rsidR="009D186D" w:rsidRPr="009B749D">
        <w:rPr>
          <w:rFonts w:ascii="Times New Roman" w:hAnsi="Times New Roman" w:cs="Times New Roman"/>
          <w:sz w:val="24"/>
          <w:szCs w:val="24"/>
        </w:rPr>
        <w:t>y structures</w:t>
      </w:r>
      <w:r w:rsidRPr="009B749D">
        <w:rPr>
          <w:rFonts w:ascii="Times New Roman" w:hAnsi="Times New Roman" w:cs="Times New Roman"/>
          <w:sz w:val="24"/>
          <w:szCs w:val="24"/>
        </w:rPr>
        <w:t xml:space="preserve">. </w:t>
      </w:r>
      <w:r w:rsidR="00A043D5">
        <w:rPr>
          <w:rFonts w:ascii="Times New Roman" w:hAnsi="Times New Roman" w:cs="Times New Roman"/>
          <w:sz w:val="24"/>
          <w:szCs w:val="24"/>
        </w:rPr>
        <w:t xml:space="preserve">The paper on </w:t>
      </w:r>
      <w:r w:rsidR="00A043D5" w:rsidRPr="00CE360A">
        <w:rPr>
          <w:rFonts w:ascii="Times New Roman" w:hAnsi="Times New Roman" w:cs="Times New Roman"/>
          <w:i/>
          <w:iCs/>
          <w:sz w:val="24"/>
          <w:szCs w:val="24"/>
        </w:rPr>
        <w:t>examining women’s health through psycho-social lens</w:t>
      </w:r>
      <w:r w:rsidR="00A043D5">
        <w:rPr>
          <w:rFonts w:ascii="Times New Roman" w:hAnsi="Times New Roman" w:cs="Times New Roman"/>
          <w:sz w:val="24"/>
          <w:szCs w:val="24"/>
        </w:rPr>
        <w:t xml:space="preserve"> provides a peek into the several other inter-related themes with in-depth deliberations by practitioners in the symposium. </w:t>
      </w:r>
    </w:p>
    <w:p w14:paraId="4D1EBD26" w14:textId="0EBF58E5" w:rsidR="00F329A9" w:rsidRPr="009B749D" w:rsidRDefault="00F329A9" w:rsidP="000E561C">
      <w:pPr>
        <w:pStyle w:val="Body"/>
        <w:spacing w:after="200" w:line="360" w:lineRule="auto"/>
        <w:jc w:val="both"/>
        <w:rPr>
          <w:rFonts w:ascii="Times New Roman" w:eastAsia="Times New Roman" w:hAnsi="Times New Roman" w:cs="Times New Roman"/>
          <w:sz w:val="24"/>
          <w:szCs w:val="24"/>
        </w:rPr>
      </w:pPr>
      <w:r w:rsidRPr="009B749D">
        <w:rPr>
          <w:rFonts w:ascii="Times New Roman" w:hAnsi="Times New Roman" w:cs="Times New Roman"/>
          <w:sz w:val="24"/>
          <w:szCs w:val="24"/>
        </w:rPr>
        <w:t xml:space="preserve">This issue focuses on the key learnings on the praxis of </w:t>
      </w:r>
      <w:r w:rsidR="009D186D" w:rsidRPr="009B749D">
        <w:rPr>
          <w:rFonts w:ascii="Times New Roman" w:hAnsi="Times New Roman" w:cs="Times New Roman"/>
          <w:sz w:val="24"/>
          <w:szCs w:val="24"/>
        </w:rPr>
        <w:t xml:space="preserve">such </w:t>
      </w:r>
      <w:r w:rsidRPr="009B749D">
        <w:rPr>
          <w:rFonts w:ascii="Times New Roman" w:hAnsi="Times New Roman" w:cs="Times New Roman"/>
          <w:sz w:val="24"/>
          <w:szCs w:val="24"/>
        </w:rPr>
        <w:t xml:space="preserve">accountability to enhance citizenship and governance towards strengthening the fundamental human right to health for all. </w:t>
      </w:r>
    </w:p>
    <w:p w14:paraId="34017D06" w14:textId="77777777" w:rsidR="00777D03" w:rsidRPr="009B749D" w:rsidRDefault="00777D03">
      <w:pPr>
        <w:rPr>
          <w:rFonts w:ascii="Times New Roman" w:hAnsi="Times New Roman" w:cs="Times New Roman"/>
          <w:sz w:val="24"/>
          <w:szCs w:val="24"/>
        </w:rPr>
      </w:pPr>
    </w:p>
    <w:sectPr w:rsidR="00777D03" w:rsidRPr="009B749D" w:rsidSect="00F36A0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94C566" w14:textId="77777777" w:rsidR="00CC2B83" w:rsidRDefault="00CC2B83" w:rsidP="00F277ED">
      <w:pPr>
        <w:spacing w:after="0" w:line="240" w:lineRule="auto"/>
      </w:pPr>
      <w:r>
        <w:separator/>
      </w:r>
    </w:p>
  </w:endnote>
  <w:endnote w:type="continuationSeparator" w:id="0">
    <w:p w14:paraId="48630481" w14:textId="77777777" w:rsidR="00CC2B83" w:rsidRDefault="00CC2B83" w:rsidP="00F277ED">
      <w:pPr>
        <w:spacing w:after="0" w:line="240" w:lineRule="auto"/>
      </w:pPr>
      <w:r>
        <w:continuationSeparator/>
      </w:r>
    </w:p>
  </w:endnote>
  <w:endnote w:id="1">
    <w:p w14:paraId="166E29AE" w14:textId="3200A4CC" w:rsidR="00F277ED" w:rsidRDefault="00F277ED">
      <w:pPr>
        <w:pStyle w:val="EndnoteText"/>
      </w:pPr>
      <w:r>
        <w:rPr>
          <w:rStyle w:val="EndnoteReference"/>
        </w:rPr>
        <w:endnoteRef/>
      </w:r>
      <w:r>
        <w:t xml:space="preserve"> United Nations Secretary-General’s Independent Accountability Panel (IAP) for Every Woman Every Child. 2020 report. Caught in the COVID-19 storm: women’s, children’s, and adolescents’ health in the context of UHC and the SDGs. Geneva: World Health Organization; 2020. </w:t>
      </w:r>
      <w:hyperlink r:id="rId1" w:history="1">
        <w:r>
          <w:rPr>
            <w:rStyle w:val="Hyperlink"/>
          </w:rPr>
          <w:t>https://iapewec.org/wp-content/uploads/2020/08/IAP2020Report_web_sp.pdf</w:t>
        </w:r>
      </w:hyperlink>
      <w:r>
        <w:t xml:space="preserve"> [retrieved 11 August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02AF7" w14:textId="77777777" w:rsidR="00CC2B83" w:rsidRDefault="00CC2B83" w:rsidP="00F277ED">
      <w:pPr>
        <w:spacing w:after="0" w:line="240" w:lineRule="auto"/>
      </w:pPr>
      <w:r>
        <w:separator/>
      </w:r>
    </w:p>
  </w:footnote>
  <w:footnote w:type="continuationSeparator" w:id="0">
    <w:p w14:paraId="18BD10C8" w14:textId="77777777" w:rsidR="00CC2B83" w:rsidRDefault="00CC2B83" w:rsidP="00F27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6F13" w14:textId="06088943" w:rsidR="00A161D0" w:rsidRPr="00A161D0" w:rsidRDefault="00A161D0">
    <w:pPr>
      <w:pStyle w:val="Header"/>
      <w:rPr>
        <w:i/>
        <w:iCs/>
      </w:rPr>
    </w:pPr>
    <w:r w:rsidRPr="00A161D0">
      <w:rPr>
        <w:i/>
        <w:iCs/>
      </w:rPr>
      <w:t>COPASAH SYMPOSIUM _Editorial</w:t>
    </w:r>
    <w:r w:rsidR="00AD4AEC">
      <w:rPr>
        <w:i/>
        <w:iCs/>
      </w:rPr>
      <w:t xml:space="preserve"> </w:t>
    </w:r>
    <w:r w:rsidR="0045139A">
      <w:rPr>
        <w:i/>
        <w:iCs/>
      </w:rPr>
      <w:t>-IJME issue</w:t>
    </w:r>
  </w:p>
  <w:p w14:paraId="7A2F3436" w14:textId="77777777" w:rsidR="00A161D0" w:rsidRDefault="00A161D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30"/>
    <w:rsid w:val="000E561C"/>
    <w:rsid w:val="001543C9"/>
    <w:rsid w:val="001E6609"/>
    <w:rsid w:val="00222D8A"/>
    <w:rsid w:val="00252C30"/>
    <w:rsid w:val="00401745"/>
    <w:rsid w:val="00420816"/>
    <w:rsid w:val="0045139A"/>
    <w:rsid w:val="006667D0"/>
    <w:rsid w:val="00707B7D"/>
    <w:rsid w:val="007113D2"/>
    <w:rsid w:val="00777D03"/>
    <w:rsid w:val="007C0471"/>
    <w:rsid w:val="00851279"/>
    <w:rsid w:val="0085626B"/>
    <w:rsid w:val="008A7780"/>
    <w:rsid w:val="008C78BA"/>
    <w:rsid w:val="008D452E"/>
    <w:rsid w:val="00927150"/>
    <w:rsid w:val="009B749D"/>
    <w:rsid w:val="009C7379"/>
    <w:rsid w:val="009D186D"/>
    <w:rsid w:val="00A043D5"/>
    <w:rsid w:val="00A06EB0"/>
    <w:rsid w:val="00A161D0"/>
    <w:rsid w:val="00A41539"/>
    <w:rsid w:val="00AD4AEC"/>
    <w:rsid w:val="00BA39DA"/>
    <w:rsid w:val="00BA4285"/>
    <w:rsid w:val="00BB1ADF"/>
    <w:rsid w:val="00C65D4D"/>
    <w:rsid w:val="00CC2B83"/>
    <w:rsid w:val="00CE360A"/>
    <w:rsid w:val="00DC0F53"/>
    <w:rsid w:val="00E56121"/>
    <w:rsid w:val="00EC5E26"/>
    <w:rsid w:val="00F277ED"/>
    <w:rsid w:val="00F329A9"/>
    <w:rsid w:val="00F36A06"/>
    <w:rsid w:val="00F527AF"/>
    <w:rsid w:val="00F81E1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1F01"/>
  <w15:chartTrackingRefBased/>
  <w15:docId w15:val="{B89C21C0-14F5-4456-A7B1-2294CCCE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27AF"/>
    <w:pPr>
      <w:pBdr>
        <w:top w:val="nil"/>
        <w:left w:val="nil"/>
        <w:bottom w:val="nil"/>
        <w:right w:val="nil"/>
        <w:between w:val="nil"/>
        <w:bar w:val="nil"/>
      </w:pBdr>
    </w:pPr>
    <w:rPr>
      <w:rFonts w:ascii="Calibri" w:eastAsia="Arial Unicode MS" w:hAnsi="Calibri" w:cs="Arial Unicode MS"/>
      <w:color w:val="000000"/>
      <w:szCs w:val="22"/>
      <w:u w:color="000000"/>
      <w:bdr w:val="nil"/>
      <w:lang w:val="en-US" w:eastAsia="en-GB"/>
      <w14:textOutline w14:w="0" w14:cap="flat" w14:cmpd="sng" w14:algn="ctr">
        <w14:noFill/>
        <w14:prstDash w14:val="solid"/>
        <w14:bevel/>
      </w14:textOutline>
    </w:rPr>
  </w:style>
  <w:style w:type="paragraph" w:styleId="CommentText">
    <w:name w:val="annotation text"/>
    <w:basedOn w:val="Normal"/>
    <w:link w:val="CommentTextChar"/>
    <w:uiPriority w:val="99"/>
    <w:semiHidden/>
    <w:unhideWhenUsed/>
    <w:rsid w:val="00F527AF"/>
    <w:pPr>
      <w:pBdr>
        <w:top w:val="nil"/>
        <w:left w:val="nil"/>
        <w:bottom w:val="nil"/>
        <w:right w:val="nil"/>
        <w:between w:val="nil"/>
        <w:bar w:val="nil"/>
      </w:pBdr>
      <w:spacing w:after="0" w:line="240" w:lineRule="auto"/>
    </w:pPr>
    <w:rPr>
      <w:rFonts w:ascii="Times New Roman" w:eastAsia="Arial Unicode MS" w:hAnsi="Times New Roman" w:cs="Times New Roman"/>
      <w:noProof w:val="0"/>
      <w:sz w:val="20"/>
      <w:bdr w:val="nil"/>
      <w:lang w:val="en-US" w:bidi="ar-SA"/>
    </w:rPr>
  </w:style>
  <w:style w:type="character" w:customStyle="1" w:styleId="CommentTextChar">
    <w:name w:val="Comment Text Char"/>
    <w:basedOn w:val="DefaultParagraphFont"/>
    <w:link w:val="CommentText"/>
    <w:uiPriority w:val="99"/>
    <w:semiHidden/>
    <w:rsid w:val="00F527AF"/>
    <w:rPr>
      <w:rFonts w:ascii="Times New Roman" w:eastAsia="Arial Unicode MS" w:hAnsi="Times New Roman" w:cs="Times New Roman"/>
      <w:sz w:val="20"/>
      <w:bdr w:val="nil"/>
      <w:lang w:val="en-US" w:bidi="ar-SA"/>
    </w:rPr>
  </w:style>
  <w:style w:type="character" w:styleId="CommentReference">
    <w:name w:val="annotation reference"/>
    <w:basedOn w:val="DefaultParagraphFont"/>
    <w:uiPriority w:val="99"/>
    <w:semiHidden/>
    <w:unhideWhenUsed/>
    <w:rsid w:val="00F527AF"/>
    <w:rPr>
      <w:sz w:val="16"/>
      <w:szCs w:val="16"/>
    </w:rPr>
  </w:style>
  <w:style w:type="paragraph" w:styleId="BalloonText">
    <w:name w:val="Balloon Text"/>
    <w:basedOn w:val="Normal"/>
    <w:link w:val="BalloonTextChar"/>
    <w:uiPriority w:val="99"/>
    <w:semiHidden/>
    <w:unhideWhenUsed/>
    <w:rsid w:val="00F527AF"/>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527AF"/>
    <w:rPr>
      <w:rFonts w:ascii="Segoe UI" w:hAnsi="Segoe UI" w:cs="Mangal"/>
      <w:noProof/>
      <w:sz w:val="18"/>
      <w:szCs w:val="16"/>
    </w:rPr>
  </w:style>
  <w:style w:type="paragraph" w:styleId="CommentSubject">
    <w:name w:val="annotation subject"/>
    <w:basedOn w:val="CommentText"/>
    <w:next w:val="CommentText"/>
    <w:link w:val="CommentSubjectChar"/>
    <w:uiPriority w:val="99"/>
    <w:semiHidden/>
    <w:unhideWhenUsed/>
    <w:rsid w:val="00DC0F53"/>
    <w:pPr>
      <w:pBdr>
        <w:top w:val="none" w:sz="0" w:space="0" w:color="auto"/>
        <w:left w:val="none" w:sz="0" w:space="0" w:color="auto"/>
        <w:bottom w:val="none" w:sz="0" w:space="0" w:color="auto"/>
        <w:right w:val="none" w:sz="0" w:space="0" w:color="auto"/>
        <w:between w:val="none" w:sz="0" w:space="0" w:color="auto"/>
        <w:bar w:val="none" w:sz="0" w:color="auto"/>
      </w:pBdr>
      <w:spacing w:after="160"/>
    </w:pPr>
    <w:rPr>
      <w:rFonts w:asciiTheme="minorHAnsi" w:eastAsiaTheme="minorHAnsi" w:hAnsiTheme="minorHAnsi" w:cstheme="minorBidi"/>
      <w:b/>
      <w:bCs/>
      <w:noProof/>
      <w:szCs w:val="18"/>
      <w:bdr w:val="none" w:sz="0" w:space="0" w:color="auto"/>
      <w:lang w:val="en-GB" w:bidi="hi-IN"/>
    </w:rPr>
  </w:style>
  <w:style w:type="character" w:customStyle="1" w:styleId="CommentSubjectChar">
    <w:name w:val="Comment Subject Char"/>
    <w:basedOn w:val="CommentTextChar"/>
    <w:link w:val="CommentSubject"/>
    <w:uiPriority w:val="99"/>
    <w:semiHidden/>
    <w:rsid w:val="00DC0F53"/>
    <w:rPr>
      <w:rFonts w:ascii="Times New Roman" w:eastAsia="Arial Unicode MS" w:hAnsi="Times New Roman" w:cs="Times New Roman"/>
      <w:b/>
      <w:bCs/>
      <w:noProof/>
      <w:sz w:val="20"/>
      <w:szCs w:val="18"/>
      <w:bdr w:val="nil"/>
      <w:lang w:val="en-US" w:bidi="ar-SA"/>
    </w:rPr>
  </w:style>
  <w:style w:type="paragraph" w:styleId="FootnoteText">
    <w:name w:val="footnote text"/>
    <w:basedOn w:val="Normal"/>
    <w:link w:val="FootnoteTextChar"/>
    <w:uiPriority w:val="99"/>
    <w:semiHidden/>
    <w:unhideWhenUsed/>
    <w:rsid w:val="00F277ED"/>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F277ED"/>
    <w:rPr>
      <w:noProof/>
      <w:sz w:val="20"/>
      <w:szCs w:val="18"/>
    </w:rPr>
  </w:style>
  <w:style w:type="character" w:styleId="FootnoteReference">
    <w:name w:val="footnote reference"/>
    <w:basedOn w:val="DefaultParagraphFont"/>
    <w:uiPriority w:val="99"/>
    <w:semiHidden/>
    <w:unhideWhenUsed/>
    <w:rsid w:val="00F277ED"/>
    <w:rPr>
      <w:vertAlign w:val="superscript"/>
    </w:rPr>
  </w:style>
  <w:style w:type="paragraph" w:styleId="EndnoteText">
    <w:name w:val="endnote text"/>
    <w:basedOn w:val="Normal"/>
    <w:link w:val="EndnoteTextChar"/>
    <w:uiPriority w:val="99"/>
    <w:semiHidden/>
    <w:unhideWhenUsed/>
    <w:rsid w:val="00F277ED"/>
    <w:pPr>
      <w:spacing w:after="0" w:line="240" w:lineRule="auto"/>
    </w:pPr>
    <w:rPr>
      <w:sz w:val="20"/>
      <w:szCs w:val="18"/>
    </w:rPr>
  </w:style>
  <w:style w:type="character" w:customStyle="1" w:styleId="EndnoteTextChar">
    <w:name w:val="Endnote Text Char"/>
    <w:basedOn w:val="DefaultParagraphFont"/>
    <w:link w:val="EndnoteText"/>
    <w:uiPriority w:val="99"/>
    <w:semiHidden/>
    <w:rsid w:val="00F277ED"/>
    <w:rPr>
      <w:noProof/>
      <w:sz w:val="20"/>
      <w:szCs w:val="18"/>
    </w:rPr>
  </w:style>
  <w:style w:type="character" w:styleId="EndnoteReference">
    <w:name w:val="endnote reference"/>
    <w:basedOn w:val="DefaultParagraphFont"/>
    <w:uiPriority w:val="99"/>
    <w:semiHidden/>
    <w:unhideWhenUsed/>
    <w:rsid w:val="00F277ED"/>
    <w:rPr>
      <w:vertAlign w:val="superscript"/>
    </w:rPr>
  </w:style>
  <w:style w:type="character" w:styleId="Hyperlink">
    <w:name w:val="Hyperlink"/>
    <w:basedOn w:val="DefaultParagraphFont"/>
    <w:uiPriority w:val="99"/>
    <w:semiHidden/>
    <w:unhideWhenUsed/>
    <w:rsid w:val="00F277ED"/>
    <w:rPr>
      <w:color w:val="0000FF"/>
      <w:u w:val="single"/>
    </w:rPr>
  </w:style>
  <w:style w:type="paragraph" w:styleId="Header">
    <w:name w:val="header"/>
    <w:basedOn w:val="Normal"/>
    <w:link w:val="HeaderChar"/>
    <w:uiPriority w:val="99"/>
    <w:unhideWhenUsed/>
    <w:rsid w:val="00A16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1D0"/>
    <w:rPr>
      <w:noProof/>
    </w:rPr>
  </w:style>
  <w:style w:type="paragraph" w:styleId="Footer">
    <w:name w:val="footer"/>
    <w:basedOn w:val="Normal"/>
    <w:link w:val="FooterChar"/>
    <w:uiPriority w:val="99"/>
    <w:unhideWhenUsed/>
    <w:rsid w:val="00A16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1D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hyperlink" Target="https://iapewec.org/wp-content/uploads/2020/08/IAP2020Report_web_s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43B3B-5B71-4AA9-81BB-5FC70CD2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Premdas</dc:creator>
  <cp:keywords/>
  <dc:description/>
  <cp:lastModifiedBy>MD</cp:lastModifiedBy>
  <cp:revision>2</cp:revision>
  <dcterms:created xsi:type="dcterms:W3CDTF">2020-09-04T06:09:00Z</dcterms:created>
  <dcterms:modified xsi:type="dcterms:W3CDTF">2020-09-04T06:09:00Z</dcterms:modified>
</cp:coreProperties>
</file>