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E11" w:rsidRDefault="000144BF">
      <w:pPr>
        <w:pStyle w:val="Body"/>
        <w:rPr>
          <w:b/>
          <w:bCs/>
        </w:rPr>
      </w:pPr>
      <w:bookmarkStart w:id="0" w:name="_GoBack"/>
      <w:bookmarkEnd w:id="0"/>
      <w:r>
        <w:t xml:space="preserve">                      </w:t>
      </w:r>
      <w:r>
        <w:rPr>
          <w:b/>
          <w:bCs/>
        </w:rPr>
        <w:t xml:space="preserve">  </w:t>
      </w:r>
      <w:r>
        <w:rPr>
          <w:b/>
          <w:bCs/>
          <w:sz w:val="30"/>
          <w:szCs w:val="30"/>
        </w:rPr>
        <w:t>Research in a Tertiary care centre  -  SWOT analysis</w:t>
      </w:r>
      <w:r>
        <w:rPr>
          <w:b/>
          <w:bCs/>
        </w:rPr>
        <w:t xml:space="preserve"> </w:t>
      </w:r>
    </w:p>
    <w:p w:rsidR="00D13E11" w:rsidRDefault="00D13E11">
      <w:pPr>
        <w:pStyle w:val="Body"/>
        <w:rPr>
          <w:b/>
          <w:bCs/>
        </w:rPr>
      </w:pPr>
    </w:p>
    <w:p w:rsidR="00D13E11" w:rsidRDefault="000144BF">
      <w:pPr>
        <w:pStyle w:val="Body"/>
        <w:rPr>
          <w:i/>
          <w:iCs/>
        </w:rPr>
      </w:pPr>
      <w:r>
        <w:rPr>
          <w:b/>
          <w:bCs/>
        </w:rPr>
        <w:t xml:space="preserve">                                                                 </w:t>
      </w:r>
      <w:r>
        <w:rPr>
          <w:i/>
          <w:iCs/>
        </w:rPr>
        <w:t>Dr.T.R.Ashok</w:t>
      </w:r>
    </w:p>
    <w:p w:rsidR="00D13E11" w:rsidRDefault="000144BF">
      <w:pPr>
        <w:pStyle w:val="Body"/>
        <w:rPr>
          <w:b/>
          <w:bCs/>
        </w:rPr>
      </w:pPr>
      <w:r>
        <w:rPr>
          <w:i/>
          <w:iCs/>
        </w:rPr>
        <w:t xml:space="preserve">                            Assistant professor in Orthopaedics, SRIHER, Porur, Chennai.</w:t>
      </w:r>
    </w:p>
    <w:p w:rsidR="00D13E11" w:rsidRDefault="00D13E11">
      <w:pPr>
        <w:pStyle w:val="Body"/>
        <w:rPr>
          <w:b/>
          <w:bCs/>
        </w:rPr>
      </w:pPr>
    </w:p>
    <w:p w:rsidR="00D13E11" w:rsidRDefault="00D13E11">
      <w:pPr>
        <w:pStyle w:val="Body"/>
        <w:rPr>
          <w:b/>
          <w:bCs/>
        </w:rPr>
      </w:pPr>
    </w:p>
    <w:p w:rsidR="00D13E11" w:rsidRDefault="000144BF">
      <w:pPr>
        <w:pStyle w:val="Body"/>
        <w:spacing w:after="40"/>
        <w:rPr>
          <w:b/>
          <w:bCs/>
        </w:rPr>
      </w:pPr>
      <w:r>
        <w:rPr>
          <w:b/>
          <w:bCs/>
        </w:rPr>
        <w:t>Abstract -</w:t>
      </w:r>
    </w:p>
    <w:p w:rsidR="00D13E11" w:rsidRDefault="000144BF">
      <w:pPr>
        <w:pStyle w:val="Body"/>
        <w:spacing w:after="40" w:line="312" w:lineRule="auto"/>
      </w:pPr>
      <w:r>
        <w:t>Research being considered as major criteria nowadays for Institutional upgradation and promotion for teaching faculties of health and allied health sciences amongst tertiary care centres throughout the country. MCI regulations from the recent pa</w:t>
      </w:r>
      <w:r>
        <w:t>st of 2018 with elimination of predatory journals and emphasis on indexing status of journals with UGC-CARE consortium throwed a light on  indexing agencies on publications, type of articles and guidelines of authorship but still persistence of confusion e</w:t>
      </w:r>
      <w:r>
        <w:t>xists among teachers till date on publishing an article.Teaching places utilise this area of confusion thereby keeping the faculties under immense pressure and burden towards their growth in career.</w:t>
      </w:r>
    </w:p>
    <w:p w:rsidR="00D13E11" w:rsidRDefault="00D13E11">
      <w:pPr>
        <w:pStyle w:val="Body"/>
        <w:spacing w:line="312" w:lineRule="auto"/>
        <w:rPr>
          <w:i/>
          <w:iCs/>
        </w:rPr>
      </w:pPr>
    </w:p>
    <w:p w:rsidR="00D13E11" w:rsidRDefault="000144BF">
      <w:pPr>
        <w:pStyle w:val="Body"/>
        <w:spacing w:line="312" w:lineRule="auto"/>
        <w:rPr>
          <w:i/>
          <w:iCs/>
        </w:rPr>
      </w:pPr>
      <w:r>
        <w:rPr>
          <w:b/>
          <w:bCs/>
          <w:i/>
          <w:iCs/>
        </w:rPr>
        <w:t>Keywords</w:t>
      </w:r>
      <w:r>
        <w:rPr>
          <w:i/>
          <w:iCs/>
        </w:rPr>
        <w:t xml:space="preserve"> - SWOT (Strength, weakness, opportunity and thr</w:t>
      </w:r>
      <w:r>
        <w:rPr>
          <w:i/>
          <w:iCs/>
        </w:rPr>
        <w:t>eat), Research, academic promotion, teaching faculty, tertiary care centre and teaching institution.</w:t>
      </w:r>
    </w:p>
    <w:p w:rsidR="00D13E11" w:rsidRDefault="00D13E11">
      <w:pPr>
        <w:pStyle w:val="Body"/>
        <w:spacing w:line="312" w:lineRule="auto"/>
        <w:rPr>
          <w:b/>
          <w:bCs/>
        </w:rPr>
      </w:pPr>
    </w:p>
    <w:p w:rsidR="00D13E11" w:rsidRDefault="000144BF">
      <w:pPr>
        <w:pStyle w:val="Body"/>
        <w:spacing w:after="40" w:line="312" w:lineRule="auto"/>
        <w:rPr>
          <w:b/>
          <w:bCs/>
        </w:rPr>
      </w:pPr>
      <w:r>
        <w:rPr>
          <w:b/>
          <w:bCs/>
        </w:rPr>
        <w:t xml:space="preserve">Introduction - </w:t>
      </w:r>
    </w:p>
    <w:p w:rsidR="00D13E11" w:rsidRDefault="000144BF">
      <w:pPr>
        <w:pStyle w:val="Body"/>
        <w:spacing w:after="40" w:line="312" w:lineRule="auto"/>
      </w:pPr>
      <w:r>
        <w:t xml:space="preserve">Research need resources with self-thinking brains of potential power to formulate hypothetical work, accumulate findings with statistical </w:t>
      </w:r>
      <w:r>
        <w:t>application on scientific data. As of to present scenario, Faculties with only high age number in teaching centres without publication experiences till date  occupy chairs of high command and cultivate a psychological stress to their younger colleagues and</w:t>
      </w:r>
      <w:r>
        <w:t xml:space="preserve"> upcoming generations making their life miserable besides running the race to the need of hour. Lack of eligibility and experience on current MCI requirements for teaching faculties with only high age number were a potential threat to institution and as we</w:t>
      </w:r>
      <w:r>
        <w:t>ll as working culture.</w:t>
      </w:r>
    </w:p>
    <w:p w:rsidR="00D13E11" w:rsidRDefault="00D13E11">
      <w:pPr>
        <w:pStyle w:val="Body"/>
        <w:spacing w:after="40" w:line="312" w:lineRule="auto"/>
      </w:pPr>
    </w:p>
    <w:p w:rsidR="00D13E11" w:rsidRDefault="000144BF">
      <w:pPr>
        <w:pStyle w:val="Body"/>
        <w:spacing w:after="40" w:line="312" w:lineRule="auto"/>
        <w:rPr>
          <w:b/>
          <w:bCs/>
        </w:rPr>
      </w:pPr>
      <w:r>
        <w:rPr>
          <w:b/>
          <w:bCs/>
        </w:rPr>
        <w:t>New Era of indexing for Research and Publications</w:t>
      </w:r>
    </w:p>
    <w:p w:rsidR="00D13E11" w:rsidRDefault="000144BF">
      <w:pPr>
        <w:pStyle w:val="Body"/>
        <w:spacing w:after="40" w:line="312" w:lineRule="auto"/>
        <w:rPr>
          <w:vertAlign w:val="superscript"/>
        </w:rPr>
      </w:pPr>
      <w:r>
        <w:t>It was started in July 2009 by Medical Council of India (MCI) with defining of minimum number of publications in indexed/national journal along with teaching experience</w:t>
      </w:r>
      <w:r>
        <w:rPr>
          <w:vertAlign w:val="superscript"/>
        </w:rPr>
        <w:t>1.</w:t>
      </w:r>
      <w:r>
        <w:t>Subsequently</w:t>
      </w:r>
      <w:r>
        <w:t>, MCI defined the publication requirement in December 2009 and November 2010 in regards to authors to be considered and journal of national/representative association</w:t>
      </w:r>
      <w:r>
        <w:rPr>
          <w:vertAlign w:val="superscript"/>
        </w:rPr>
        <w:t xml:space="preserve">2,3. </w:t>
      </w:r>
      <w:r>
        <w:t>In September 2015, more clarification on publication criteria for promotion of teachi</w:t>
      </w:r>
      <w:r>
        <w:t xml:space="preserve">ng faculty of medical colleges in India was issued by </w:t>
      </w:r>
      <w:r>
        <w:t>MCI</w:t>
      </w:r>
      <w:r>
        <w:rPr>
          <w:vertAlign w:val="superscript"/>
        </w:rPr>
        <w:t>4.</w:t>
      </w:r>
      <w:r>
        <w:t xml:space="preserve"> According to this clarification, a scientific manuscript meeting following criteria of indexing agencies (Scopus, PubMed, Medline, Embase/ Excerpta Medica, Index Medicus and Index Copernicus), typ</w:t>
      </w:r>
      <w:r>
        <w:t>es of articles (Original research articles), published by National/International journal society or subject association, authorship (First and Second author; then, updated as First and Corresponding author) and no E-journals (only print journals) should be</w:t>
      </w:r>
      <w:r>
        <w:t xml:space="preserve"> considered into the account for promotion of a medical teacher. After this clarification, medical colleges of India started following it while giving new appointment or promotion. MCI must have decided considering publication to </w:t>
      </w:r>
      <w:r>
        <w:lastRenderedPageBreak/>
        <w:t>promote the research activ</w:t>
      </w:r>
      <w:r>
        <w:t>ities and provided the criteria to improve upon quality of research in medical colleges. Mandatory publication for promotion has led to scientific misconduct. The provided criteria have increased the number of publications. However, several issues have bee</w:t>
      </w:r>
      <w:r>
        <w:t>n highlighted by many critics. It has raised issues of predatory journals, confrontation between authors, discouragement of multidisciplinary research work, not considering reputed E- journals, no clear cut demarcation between National and International jo</w:t>
      </w:r>
      <w:r>
        <w:t>urnal, and questionable comparison between two research papers.</w:t>
      </w:r>
      <w:r>
        <w:rPr>
          <w:vertAlign w:val="superscript"/>
        </w:rPr>
        <w:t>5-9</w:t>
      </w:r>
    </w:p>
    <w:p w:rsidR="00D13E11" w:rsidRDefault="00D13E11">
      <w:pPr>
        <w:pStyle w:val="Body"/>
        <w:spacing w:after="40" w:line="312" w:lineRule="auto"/>
        <w:rPr>
          <w:vertAlign w:val="superscript"/>
        </w:rPr>
      </w:pPr>
    </w:p>
    <w:p w:rsidR="00D13E11" w:rsidRDefault="000144BF">
      <w:pPr>
        <w:pStyle w:val="Body"/>
        <w:spacing w:line="312" w:lineRule="auto"/>
      </w:pPr>
      <w:r>
        <w:rPr>
          <w:b/>
          <w:bCs/>
        </w:rPr>
        <w:t>SWOT Analysis</w:t>
      </w:r>
      <w:r>
        <w:rPr>
          <w:b/>
          <w:bCs/>
          <w:vertAlign w:val="superscript"/>
        </w:rPr>
        <w:t xml:space="preserve"> </w:t>
      </w:r>
      <w:r>
        <w:rPr>
          <w:b/>
          <w:bCs/>
        </w:rPr>
        <w:t>-</w:t>
      </w:r>
      <w:r>
        <w:rPr>
          <w:b/>
          <w:bCs/>
          <w:vertAlign w:val="superscript"/>
        </w:rPr>
        <w:t xml:space="preserve"> </w:t>
      </w:r>
      <w:r>
        <w:t xml:space="preserve">tool used for strategic planning and strategic management in organizations/Institutions used effectively to build organised and competitive strategy towards implementation </w:t>
      </w:r>
      <w:r>
        <w:t>of requirements like NIRF ranking, NABH accreditation and Research promotion. In accordance with the s</w:t>
      </w:r>
      <w:r>
        <w:t>ystem</w:t>
      </w:r>
      <w:r>
        <w:t>atic</w:t>
      </w:r>
      <w:r>
        <w:t xml:space="preserve"> </w:t>
      </w:r>
      <w:r>
        <w:t>approach and interaction with their environments and consist of various sub-systems. In this sense, an institution exists in two environments, o</w:t>
      </w:r>
      <w:r>
        <w:t>ne being in itself and the other being outside.</w:t>
      </w:r>
      <w:r>
        <w:rPr>
          <w:vertAlign w:val="superscript"/>
        </w:rPr>
        <w:t>10</w:t>
      </w:r>
      <w:r>
        <w:t xml:space="preserve"> It is a necessity to analyse these environments for strategic management practices towards  research activities and indexed publication. </w:t>
      </w:r>
      <w:r>
        <w:rPr>
          <w:noProof/>
          <w:lang w:val="en-IN"/>
        </w:rPr>
        <w:drawing>
          <wp:anchor distT="152400" distB="152400" distL="152400" distR="152400" simplePos="0" relativeHeight="251659264" behindDoc="0" locked="0" layoutInCell="1" allowOverlap="1">
            <wp:simplePos x="0" y="0"/>
            <wp:positionH relativeFrom="margin">
              <wp:posOffset>2251676</wp:posOffset>
            </wp:positionH>
            <wp:positionV relativeFrom="line">
              <wp:posOffset>341022</wp:posOffset>
            </wp:positionV>
            <wp:extent cx="1604005" cy="160101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09-12 at 12.26.35 PM.png"/>
                    <pic:cNvPicPr>
                      <a:picLocks noChangeAspect="1"/>
                    </pic:cNvPicPr>
                  </pic:nvPicPr>
                  <pic:blipFill>
                    <a:blip r:embed="rId7">
                      <a:extLst/>
                    </a:blip>
                    <a:stretch>
                      <a:fillRect/>
                    </a:stretch>
                  </pic:blipFill>
                  <pic:spPr>
                    <a:xfrm>
                      <a:off x="0" y="0"/>
                      <a:ext cx="1604005" cy="1601012"/>
                    </a:xfrm>
                    <a:prstGeom prst="rect">
                      <a:avLst/>
                    </a:prstGeom>
                    <a:ln w="12700" cap="flat">
                      <a:noFill/>
                      <a:miter lim="400000"/>
                    </a:ln>
                    <a:effectLst/>
                  </pic:spPr>
                </pic:pic>
              </a:graphicData>
            </a:graphic>
          </wp:anchor>
        </w:drawing>
      </w:r>
    </w:p>
    <w:p w:rsidR="00D13E11" w:rsidRDefault="00D13E11">
      <w:pPr>
        <w:pStyle w:val="Body"/>
        <w:spacing w:after="40" w:line="312" w:lineRule="auto"/>
      </w:pPr>
    </w:p>
    <w:p w:rsidR="00D13E11" w:rsidRDefault="000144BF">
      <w:pPr>
        <w:pStyle w:val="Default"/>
        <w:spacing w:before="0" w:line="280" w:lineRule="atLeast"/>
        <w:rPr>
          <w:rFonts w:ascii="Times Roman" w:eastAsia="Times Roman" w:hAnsi="Times Roman" w:cs="Times Roman"/>
        </w:rPr>
      </w:pPr>
      <w:r>
        <w:rPr>
          <w:rFonts w:ascii="Times Roman" w:hAnsi="Times Roman"/>
        </w:rPr>
        <w:t xml:space="preserve"> </w:t>
      </w:r>
      <w:r>
        <w:rPr>
          <w:rFonts w:ascii="Times Roman" w:eastAsia="Times Roman" w:hAnsi="Times Roman" w:cs="Times Roman"/>
          <w:noProof/>
        </w:rPr>
        <w:drawing>
          <wp:inline distT="0" distB="0" distL="0" distR="0">
            <wp:extent cx="1828800" cy="12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2image19037568.png"/>
                    <pic:cNvPicPr>
                      <a:picLocks noChangeAspect="1"/>
                    </pic:cNvPicPr>
                  </pic:nvPicPr>
                  <pic:blipFill>
                    <a:blip r:embed="rId8">
                      <a:extLst/>
                    </a:blip>
                    <a:stretch>
                      <a:fillRect/>
                    </a:stretch>
                  </pic:blipFill>
                  <pic:spPr>
                    <a:xfrm>
                      <a:off x="0" y="0"/>
                      <a:ext cx="1828800" cy="12700"/>
                    </a:xfrm>
                    <a:prstGeom prst="rect">
                      <a:avLst/>
                    </a:prstGeom>
                    <a:ln w="12700" cap="flat">
                      <a:noFill/>
                      <a:miter lim="400000"/>
                    </a:ln>
                    <a:effectLst/>
                  </pic:spPr>
                </pic:pic>
              </a:graphicData>
            </a:graphic>
          </wp:inline>
        </w:drawing>
      </w:r>
      <w:r>
        <w:rPr>
          <w:rFonts w:ascii="Times Roman" w:hAnsi="Times Roman"/>
        </w:rPr>
        <w:t xml:space="preserve"> </w:t>
      </w:r>
    </w:p>
    <w:p w:rsidR="00D13E11" w:rsidRDefault="000144BF">
      <w:pPr>
        <w:pStyle w:val="Default"/>
        <w:spacing w:before="0" w:line="280" w:lineRule="atLeast"/>
        <w:rPr>
          <w:rFonts w:ascii="Times Roman" w:eastAsia="Times Roman" w:hAnsi="Times Roman" w:cs="Times Roman"/>
        </w:rPr>
      </w:pPr>
      <w:r>
        <w:rPr>
          <w:rFonts w:ascii="Times Roman" w:hAnsi="Times Roman"/>
        </w:rPr>
        <w:t xml:space="preserve"> </w:t>
      </w:r>
    </w:p>
    <w:p w:rsidR="00D13E11" w:rsidRDefault="00D13E11">
      <w:pPr>
        <w:pStyle w:val="Default"/>
        <w:spacing w:before="0" w:after="240" w:line="20" w:lineRule="atLeast"/>
        <w:jc w:val="both"/>
        <w:rPr>
          <w:rFonts w:ascii="Times Roman" w:eastAsia="Times Roman" w:hAnsi="Times Roman" w:cs="Times Roman"/>
          <w:b/>
          <w:bCs/>
        </w:rPr>
      </w:pPr>
    </w:p>
    <w:p w:rsidR="00D13E11" w:rsidRDefault="00D13E11">
      <w:pPr>
        <w:pStyle w:val="Default"/>
        <w:spacing w:before="0" w:after="240" w:line="20" w:lineRule="atLeast"/>
        <w:jc w:val="both"/>
        <w:rPr>
          <w:rFonts w:ascii="Times Roman" w:eastAsia="Times Roman" w:hAnsi="Times Roman" w:cs="Times Roman"/>
          <w:b/>
          <w:bCs/>
        </w:rPr>
      </w:pPr>
    </w:p>
    <w:p w:rsidR="00D13E11" w:rsidRDefault="00D13E11">
      <w:pPr>
        <w:pStyle w:val="Default"/>
        <w:spacing w:before="0" w:after="240" w:line="20" w:lineRule="atLeast"/>
        <w:jc w:val="both"/>
        <w:rPr>
          <w:rFonts w:ascii="Times Roman" w:eastAsia="Times Roman" w:hAnsi="Times Roman" w:cs="Times Roman"/>
          <w:b/>
          <w:bCs/>
        </w:rPr>
      </w:pPr>
    </w:p>
    <w:p w:rsidR="00D13E11" w:rsidRDefault="00D13E11">
      <w:pPr>
        <w:pStyle w:val="Default"/>
        <w:spacing w:before="0" w:after="240" w:line="20" w:lineRule="atLeast"/>
        <w:jc w:val="both"/>
        <w:rPr>
          <w:rFonts w:ascii="Times Roman" w:eastAsia="Times Roman" w:hAnsi="Times Roman" w:cs="Times Roman"/>
          <w:b/>
          <w:bCs/>
        </w:rPr>
      </w:pPr>
    </w:p>
    <w:p w:rsidR="00D13E11" w:rsidRDefault="00D13E11">
      <w:pPr>
        <w:pStyle w:val="Default"/>
        <w:spacing w:before="0" w:after="240" w:line="300" w:lineRule="atLeast"/>
        <w:rPr>
          <w:rFonts w:ascii="Times Roman" w:eastAsia="Times Roman" w:hAnsi="Times Roman" w:cs="Times Roman"/>
        </w:rPr>
      </w:pPr>
    </w:p>
    <w:p w:rsidR="00D13E11" w:rsidRDefault="000144BF">
      <w:pPr>
        <w:pStyle w:val="Body"/>
        <w:spacing w:line="312" w:lineRule="auto"/>
      </w:pPr>
      <w:r>
        <w:t xml:space="preserve">SWOT Analysis has two dimensions - Internal and </w:t>
      </w:r>
      <w:r>
        <w:t xml:space="preserve">external. Internal dimension includes organizational factors also strengths and weaknesses whereas external dimension includes environmental factors, also opportunities towards research promotional activities and threat over employee job security. </w:t>
      </w:r>
      <w:r>
        <w:t>Hencefor</w:t>
      </w:r>
      <w:r>
        <w:t>th, SWOT implementation towards research promotion in teaching institutions amongst teaching faculties requires strategic stress free approach with meaningful resources of manpower, structural assets and instruments, standardised cadaver and animal labs, e</w:t>
      </w:r>
      <w:r>
        <w:t>thics committee with sensible personnel, less time consuming approvals with online submissions moreover with utmost importance is the financial assistance from the host institution to support teaching faculties in achieving future goals and objectives towa</w:t>
      </w:r>
      <w:r>
        <w:t>rds research publications.</w:t>
      </w:r>
    </w:p>
    <w:p w:rsidR="00D13E11" w:rsidRDefault="000144BF">
      <w:pPr>
        <w:pStyle w:val="Body"/>
        <w:spacing w:line="312" w:lineRule="auto"/>
      </w:pPr>
      <w:r>
        <w:t xml:space="preserve">                                                                      </w:t>
      </w:r>
    </w:p>
    <w:p w:rsidR="00D13E11" w:rsidRDefault="000144BF">
      <w:pPr>
        <w:pStyle w:val="Body"/>
        <w:spacing w:line="312" w:lineRule="auto"/>
        <w:rPr>
          <w:b/>
          <w:bCs/>
        </w:rPr>
      </w:pPr>
      <w:r>
        <w:t xml:space="preserve">                                                                       </w:t>
      </w:r>
      <w:r>
        <w:rPr>
          <w:b/>
          <w:bCs/>
        </w:rPr>
        <w:t>Table - 1</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D13E11">
        <w:trPr>
          <w:trHeight w:val="29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3E11" w:rsidRDefault="000144BF">
            <w:pPr>
              <w:pStyle w:val="TableStyle2"/>
              <w:rPr>
                <w:rFonts w:hint="eastAsia"/>
              </w:rPr>
            </w:pPr>
            <w:r>
              <w:t xml:space="preserve">                                 </w:t>
            </w:r>
            <w:r>
              <w:rPr>
                <w:rFonts w:ascii="Times New Roman" w:hAnsi="Times New Roman"/>
                <w:sz w:val="24"/>
                <w:szCs w:val="24"/>
              </w:rPr>
              <w:t xml:space="preserve"> </w:t>
            </w:r>
            <w:r>
              <w:rPr>
                <w:rFonts w:ascii="Times New Roman" w:hAnsi="Times New Roman"/>
                <w:b/>
                <w:bCs/>
                <w:sz w:val="24"/>
                <w:szCs w:val="24"/>
                <w:lang w:val="en-US"/>
              </w:rPr>
              <w:t xml:space="preserve"> Strength</w:t>
            </w:r>
            <w:r>
              <w:rPr>
                <w:rFonts w:ascii="Times New Roman" w:hAnsi="Times New Roman"/>
                <w:sz w:val="24"/>
                <w:szCs w:val="24"/>
              </w:rPr>
              <w:t xml:space="preserve"> </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3E11" w:rsidRDefault="000144BF">
            <w:pPr>
              <w:pStyle w:val="Body"/>
              <w:jc w:val="left"/>
            </w:pPr>
            <w:r>
              <w:rPr>
                <w:rFonts w:ascii="Helvetica Neue" w:hAnsi="Helvetica Neue"/>
                <w:sz w:val="22"/>
                <w:szCs w:val="22"/>
              </w:rPr>
              <w:t xml:space="preserve">                               </w:t>
            </w:r>
            <w:r>
              <w:rPr>
                <w:b/>
                <w:bCs/>
              </w:rPr>
              <w:t>W</w:t>
            </w:r>
            <w:r>
              <w:rPr>
                <w:b/>
                <w:bCs/>
              </w:rPr>
              <w:t>eakness</w:t>
            </w:r>
          </w:p>
        </w:tc>
      </w:tr>
      <w:tr w:rsidR="00D13E11">
        <w:trPr>
          <w:trHeight w:val="359"/>
        </w:trPr>
        <w:tc>
          <w:tcPr>
            <w:tcW w:w="4815"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13E11" w:rsidRDefault="000144BF">
            <w:pPr>
              <w:pStyle w:val="Body"/>
              <w:numPr>
                <w:ilvl w:val="0"/>
                <w:numId w:val="1"/>
              </w:numPr>
              <w:spacing w:line="312" w:lineRule="auto"/>
            </w:pPr>
            <w:r>
              <w:t>Infrastructure facilties / in-campus activities / instrumentation availability</w:t>
            </w:r>
          </w:p>
          <w:p w:rsidR="00D13E11" w:rsidRDefault="000144BF">
            <w:pPr>
              <w:pStyle w:val="Body"/>
              <w:numPr>
                <w:ilvl w:val="0"/>
                <w:numId w:val="1"/>
              </w:numPr>
              <w:spacing w:line="312" w:lineRule="auto"/>
            </w:pPr>
            <w:r>
              <w:lastRenderedPageBreak/>
              <w:t>Environment facilities and adequate resources with round the clock power and water supply with accommodation</w:t>
            </w:r>
          </w:p>
          <w:p w:rsidR="00D13E11" w:rsidRDefault="000144BF">
            <w:pPr>
              <w:pStyle w:val="Body"/>
              <w:numPr>
                <w:ilvl w:val="0"/>
                <w:numId w:val="1"/>
              </w:numPr>
              <w:spacing w:line="312" w:lineRule="auto"/>
            </w:pPr>
            <w:r>
              <w:t>Faculty research promotion committee / ethics committee / r</w:t>
            </w:r>
            <w:r>
              <w:t xml:space="preserve">esearch facility </w:t>
            </w:r>
          </w:p>
          <w:p w:rsidR="00D13E11" w:rsidRDefault="000144BF">
            <w:pPr>
              <w:pStyle w:val="Body"/>
              <w:numPr>
                <w:ilvl w:val="0"/>
                <w:numId w:val="1"/>
              </w:numPr>
              <w:spacing w:line="312" w:lineRule="auto"/>
            </w:pPr>
            <w:r>
              <w:t xml:space="preserve">Library facilities with online free journals </w:t>
            </w:r>
          </w:p>
          <w:p w:rsidR="00D13E11" w:rsidRDefault="000144BF">
            <w:pPr>
              <w:pStyle w:val="Body"/>
              <w:numPr>
                <w:ilvl w:val="0"/>
                <w:numId w:val="1"/>
              </w:numPr>
              <w:spacing w:line="312" w:lineRule="auto"/>
            </w:pPr>
            <w:r>
              <w:t>Research facility</w:t>
            </w:r>
          </w:p>
          <w:p w:rsidR="00D13E11" w:rsidRDefault="000144BF">
            <w:pPr>
              <w:pStyle w:val="Body"/>
              <w:numPr>
                <w:ilvl w:val="0"/>
                <w:numId w:val="1"/>
              </w:numPr>
              <w:spacing w:line="312" w:lineRule="auto"/>
            </w:pPr>
            <w:r>
              <w:t>Medical education unit / Faculty development programme</w:t>
            </w:r>
          </w:p>
        </w:tc>
        <w:tc>
          <w:tcPr>
            <w:tcW w:w="4815"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13E11" w:rsidRDefault="000144BF">
            <w:pPr>
              <w:pStyle w:val="Body"/>
              <w:numPr>
                <w:ilvl w:val="0"/>
                <w:numId w:val="2"/>
              </w:numPr>
              <w:spacing w:line="288" w:lineRule="auto"/>
            </w:pPr>
            <w:r>
              <w:lastRenderedPageBreak/>
              <w:t xml:space="preserve">Senior faculties with lack of experience towards research and publications occupying </w:t>
            </w:r>
            <w:r>
              <w:lastRenderedPageBreak/>
              <w:t xml:space="preserve">high command positions with zero </w:t>
            </w:r>
            <w:r>
              <w:t>self-effort towards research activity.</w:t>
            </w:r>
          </w:p>
          <w:p w:rsidR="00D13E11" w:rsidRDefault="000144BF">
            <w:pPr>
              <w:pStyle w:val="Body"/>
              <w:numPr>
                <w:ilvl w:val="0"/>
                <w:numId w:val="2"/>
              </w:numPr>
              <w:spacing w:line="288" w:lineRule="auto"/>
            </w:pPr>
            <w:r>
              <w:t>Self demands and pressurisation on younger faculties for authorship from senior colleagues  without assistance</w:t>
            </w:r>
          </w:p>
          <w:p w:rsidR="00D13E11" w:rsidRDefault="000144BF">
            <w:pPr>
              <w:pStyle w:val="Body"/>
              <w:numPr>
                <w:ilvl w:val="0"/>
                <w:numId w:val="2"/>
              </w:numPr>
              <w:spacing w:line="288" w:lineRule="auto"/>
            </w:pPr>
            <w:r>
              <w:t>Non allotment of funds towards indexed publications for faculties from host institutions</w:t>
            </w:r>
          </w:p>
          <w:p w:rsidR="00D13E11" w:rsidRDefault="000144BF">
            <w:pPr>
              <w:pStyle w:val="Body"/>
              <w:numPr>
                <w:ilvl w:val="0"/>
                <w:numId w:val="2"/>
              </w:numPr>
              <w:spacing w:line="288" w:lineRule="auto"/>
            </w:pPr>
            <w:r>
              <w:t>Profit oriented a</w:t>
            </w:r>
            <w:r>
              <w:t>nd OP/IP census based objective of HRD department towards research and teaching faculties</w:t>
            </w:r>
          </w:p>
          <w:p w:rsidR="00D13E11" w:rsidRDefault="000144BF">
            <w:pPr>
              <w:pStyle w:val="Default"/>
              <w:numPr>
                <w:ilvl w:val="0"/>
                <w:numId w:val="2"/>
              </w:numPr>
              <w:spacing w:before="0" w:line="288" w:lineRule="auto"/>
              <w:jc w:val="both"/>
              <w:rPr>
                <w:rFonts w:ascii="Times New Roman" w:hAnsi="Times New Roman"/>
                <w:lang w:val="en-US"/>
              </w:rPr>
            </w:pPr>
            <w:r>
              <w:rPr>
                <w:rFonts w:ascii="Times New Roman" w:hAnsi="Times New Roman"/>
                <w:lang w:val="en-US"/>
              </w:rPr>
              <w:t xml:space="preserve">Self-centered motives with focus only on institution ranking </w:t>
            </w:r>
          </w:p>
          <w:p w:rsidR="00D13E11" w:rsidRDefault="000144BF">
            <w:pPr>
              <w:pStyle w:val="Default"/>
              <w:numPr>
                <w:ilvl w:val="0"/>
                <w:numId w:val="2"/>
              </w:numPr>
              <w:spacing w:before="0" w:line="288" w:lineRule="auto"/>
              <w:jc w:val="both"/>
              <w:rPr>
                <w:rFonts w:ascii="Times New Roman" w:hAnsi="Times New Roman"/>
                <w:lang w:val="en-US"/>
              </w:rPr>
            </w:pPr>
            <w:r>
              <w:rPr>
                <w:rFonts w:ascii="Times New Roman" w:hAnsi="Times New Roman"/>
                <w:lang w:val="en-US"/>
              </w:rPr>
              <w:t xml:space="preserve">Considering medical research belong to one particular discipline only </w:t>
            </w:r>
          </w:p>
          <w:p w:rsidR="00D13E11" w:rsidRDefault="000144BF">
            <w:pPr>
              <w:pStyle w:val="Body"/>
              <w:numPr>
                <w:ilvl w:val="0"/>
                <w:numId w:val="2"/>
              </w:numPr>
              <w:spacing w:line="288" w:lineRule="auto"/>
            </w:pPr>
            <w:r>
              <w:t xml:space="preserve">Lack of encouragement for Research on inter/intra disciplinary nature </w:t>
            </w:r>
          </w:p>
          <w:p w:rsidR="00D13E11" w:rsidRDefault="000144BF">
            <w:pPr>
              <w:pStyle w:val="Body"/>
              <w:numPr>
                <w:ilvl w:val="0"/>
                <w:numId w:val="2"/>
              </w:numPr>
              <w:spacing w:line="288" w:lineRule="auto"/>
              <w:rPr>
                <w:lang w:val="es-ES_tradnl"/>
              </w:rPr>
            </w:pPr>
            <w:r>
              <w:rPr>
                <w:lang w:val="es-ES_tradnl"/>
              </w:rPr>
              <w:t>No clarit</w:t>
            </w:r>
            <w:r>
              <w:t>y of information / guidance of host institution committees on publications based on multidisciplinary work.</w:t>
            </w:r>
          </w:p>
          <w:p w:rsidR="00D13E11" w:rsidRDefault="000144BF">
            <w:pPr>
              <w:pStyle w:val="Body"/>
              <w:numPr>
                <w:ilvl w:val="0"/>
                <w:numId w:val="2"/>
              </w:numPr>
              <w:spacing w:line="288" w:lineRule="auto"/>
            </w:pPr>
            <w:r>
              <w:t>No clarity on categorization of national or international journal</w:t>
            </w:r>
          </w:p>
          <w:p w:rsidR="00D13E11" w:rsidRDefault="000144BF">
            <w:pPr>
              <w:pStyle w:val="Body"/>
              <w:numPr>
                <w:ilvl w:val="0"/>
                <w:numId w:val="2"/>
              </w:numPr>
              <w:spacing w:line="288" w:lineRule="auto"/>
            </w:pPr>
            <w:r>
              <w:t>Co</w:t>
            </w:r>
            <w:r>
              <w:t>nfrontations between researchers for authorship number</w:t>
            </w:r>
          </w:p>
          <w:p w:rsidR="00D13E11" w:rsidRDefault="000144BF">
            <w:pPr>
              <w:pStyle w:val="Body"/>
              <w:numPr>
                <w:ilvl w:val="0"/>
                <w:numId w:val="2"/>
              </w:numPr>
              <w:spacing w:line="288" w:lineRule="auto"/>
            </w:pPr>
            <w:r>
              <w:t>No difference in giving credit to the researcher having publication in high and low impact factor journals.</w:t>
            </w:r>
          </w:p>
          <w:p w:rsidR="00D13E11" w:rsidRDefault="000144BF">
            <w:pPr>
              <w:pStyle w:val="Body"/>
              <w:numPr>
                <w:ilvl w:val="0"/>
                <w:numId w:val="2"/>
              </w:numPr>
              <w:spacing w:line="288" w:lineRule="auto"/>
            </w:pPr>
            <w:r>
              <w:t>Frequent changes in MCI promotion criteria with less information on indexed journals to be co</w:t>
            </w:r>
            <w:r>
              <w:t>nsidered across various disciplines.</w:t>
            </w:r>
          </w:p>
        </w:tc>
      </w:tr>
      <w:tr w:rsidR="00D13E11">
        <w:trPr>
          <w:trHeight w:val="433"/>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433"/>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433"/>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433"/>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9848"/>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bl>
    <w:p w:rsidR="00D13E11" w:rsidRDefault="00D13E11">
      <w:pPr>
        <w:pStyle w:val="Body"/>
        <w:spacing w:line="312" w:lineRule="auto"/>
        <w:rPr>
          <w:b/>
          <w:bCs/>
        </w:rPr>
      </w:pPr>
    </w:p>
    <w:p w:rsidR="00D13E11" w:rsidRDefault="00D13E11">
      <w:pPr>
        <w:pStyle w:val="Body"/>
        <w:spacing w:line="312" w:lineRule="auto"/>
        <w:rPr>
          <w:b/>
          <w:bCs/>
        </w:rPr>
      </w:pPr>
    </w:p>
    <w:p w:rsidR="00D13E11" w:rsidRDefault="00D13E11">
      <w:pPr>
        <w:pStyle w:val="Body"/>
        <w:spacing w:line="312" w:lineRule="auto"/>
        <w:rPr>
          <w:b/>
          <w:bCs/>
        </w:rPr>
      </w:pPr>
    </w:p>
    <w:p w:rsidR="00D13E11" w:rsidRDefault="00D13E11">
      <w:pPr>
        <w:pStyle w:val="Body"/>
        <w:spacing w:line="312" w:lineRule="auto"/>
        <w:rPr>
          <w:b/>
          <w:bCs/>
        </w:rPr>
      </w:pPr>
    </w:p>
    <w:p w:rsidR="00D13E11" w:rsidRDefault="00D13E11">
      <w:pPr>
        <w:pStyle w:val="Body"/>
        <w:spacing w:line="312" w:lineRule="auto"/>
        <w:rPr>
          <w:b/>
          <w:bCs/>
        </w:rPr>
      </w:pPr>
    </w:p>
    <w:p w:rsidR="00D13E11" w:rsidRDefault="00D13E11">
      <w:pPr>
        <w:pStyle w:val="Default"/>
        <w:spacing w:before="0" w:after="40"/>
        <w:jc w:val="both"/>
        <w:rPr>
          <w:rFonts w:ascii="Times New Roman" w:eastAsia="Times New Roman" w:hAnsi="Times New Roman" w:cs="Times New Roman"/>
        </w:rPr>
      </w:pPr>
    </w:p>
    <w:p w:rsidR="00D13E11" w:rsidRDefault="000144BF">
      <w:pPr>
        <w:pStyle w:val="Default"/>
        <w:spacing w:before="0" w:after="40"/>
        <w:jc w:val="both"/>
        <w:rPr>
          <w:rFonts w:ascii="Times New Roman" w:eastAsia="Times New Roman" w:hAnsi="Times New Roman" w:cs="Times New Roman"/>
          <w:b/>
          <w:bCs/>
        </w:rPr>
      </w:pPr>
      <w:r>
        <w:rPr>
          <w:rFonts w:ascii="Times New Roman" w:hAnsi="Times New Roman"/>
          <w:lang w:val="en-US"/>
        </w:rPr>
        <w:t xml:space="preserve">                                                                         </w:t>
      </w:r>
      <w:r>
        <w:rPr>
          <w:rFonts w:ascii="Times New Roman" w:hAnsi="Times New Roman"/>
          <w:b/>
          <w:bCs/>
          <w:lang w:val="en-US"/>
        </w:rPr>
        <w:t>Table - 2</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D13E11">
        <w:trPr>
          <w:trHeight w:val="29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3E11" w:rsidRDefault="000144BF">
            <w:pPr>
              <w:pStyle w:val="TableStyle2"/>
              <w:rPr>
                <w:rFonts w:hint="eastAsia"/>
              </w:rPr>
            </w:pPr>
            <w:r>
              <w:t xml:space="preserve">                                 </w:t>
            </w:r>
            <w:r>
              <w:rPr>
                <w:rFonts w:ascii="Times New Roman" w:hAnsi="Times New Roman"/>
                <w:sz w:val="24"/>
                <w:szCs w:val="24"/>
              </w:rPr>
              <w:t xml:space="preserve"> </w:t>
            </w:r>
            <w:r>
              <w:rPr>
                <w:rFonts w:ascii="Times New Roman" w:hAnsi="Times New Roman"/>
                <w:b/>
                <w:bCs/>
                <w:sz w:val="24"/>
                <w:szCs w:val="24"/>
                <w:lang w:val="en-US"/>
              </w:rPr>
              <w:t>Opportunities</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3E11" w:rsidRDefault="000144BF">
            <w:pPr>
              <w:pStyle w:val="Body"/>
              <w:jc w:val="left"/>
            </w:pPr>
            <w:r>
              <w:rPr>
                <w:rFonts w:ascii="Helvetica Neue" w:hAnsi="Helvetica Neue"/>
                <w:sz w:val="22"/>
                <w:szCs w:val="22"/>
              </w:rPr>
              <w:t xml:space="preserve">                               </w:t>
            </w:r>
            <w:r>
              <w:rPr>
                <w:b/>
                <w:bCs/>
              </w:rPr>
              <w:t>Threat</w:t>
            </w:r>
          </w:p>
        </w:tc>
      </w:tr>
      <w:tr w:rsidR="00D13E11">
        <w:trPr>
          <w:trHeight w:val="336"/>
        </w:trPr>
        <w:tc>
          <w:tcPr>
            <w:tcW w:w="4815"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13E11" w:rsidRDefault="000144BF">
            <w:pPr>
              <w:pStyle w:val="Default"/>
              <w:numPr>
                <w:ilvl w:val="0"/>
                <w:numId w:val="3"/>
              </w:numPr>
              <w:spacing w:before="0" w:after="60" w:line="288" w:lineRule="auto"/>
              <w:jc w:val="both"/>
              <w:rPr>
                <w:rFonts w:ascii="Times New Roman" w:hAnsi="Times New Roman"/>
                <w:lang w:val="en-US"/>
              </w:rPr>
            </w:pPr>
            <w:r>
              <w:rPr>
                <w:rFonts w:ascii="Times New Roman" w:hAnsi="Times New Roman"/>
                <w:lang w:val="en-US"/>
              </w:rPr>
              <w:t>Central research facility</w:t>
            </w:r>
          </w:p>
          <w:p w:rsidR="00D13E11" w:rsidRDefault="000144BF">
            <w:pPr>
              <w:pStyle w:val="Default"/>
              <w:numPr>
                <w:ilvl w:val="0"/>
                <w:numId w:val="3"/>
              </w:numPr>
              <w:spacing w:before="0" w:after="60" w:line="20" w:lineRule="atLeast"/>
              <w:jc w:val="both"/>
              <w:rPr>
                <w:rFonts w:ascii="Times New Roman" w:hAnsi="Times New Roman"/>
                <w:lang w:val="en-US"/>
              </w:rPr>
            </w:pPr>
            <w:r>
              <w:rPr>
                <w:rFonts w:ascii="Times New Roman" w:hAnsi="Times New Roman"/>
                <w:lang w:val="en-US"/>
              </w:rPr>
              <w:t>Grants allocation</w:t>
            </w:r>
          </w:p>
          <w:p w:rsidR="00D13E11" w:rsidRDefault="000144BF">
            <w:pPr>
              <w:pStyle w:val="Default"/>
              <w:numPr>
                <w:ilvl w:val="0"/>
                <w:numId w:val="3"/>
              </w:numPr>
              <w:spacing w:before="0" w:after="60" w:line="20" w:lineRule="atLeast"/>
              <w:jc w:val="both"/>
              <w:rPr>
                <w:rFonts w:ascii="Times New Roman" w:hAnsi="Times New Roman"/>
                <w:lang w:val="en-US"/>
              </w:rPr>
            </w:pPr>
            <w:r>
              <w:rPr>
                <w:rFonts w:ascii="Times New Roman" w:hAnsi="Times New Roman"/>
                <w:lang w:val="en-US"/>
              </w:rPr>
              <w:t>Separate space to work on research motives, ideas and discussion</w:t>
            </w:r>
          </w:p>
          <w:p w:rsidR="00D13E11" w:rsidRDefault="000144BF">
            <w:pPr>
              <w:pStyle w:val="Default"/>
              <w:numPr>
                <w:ilvl w:val="0"/>
                <w:numId w:val="3"/>
              </w:numPr>
              <w:spacing w:before="0" w:after="60" w:line="20" w:lineRule="atLeast"/>
              <w:jc w:val="both"/>
              <w:rPr>
                <w:rFonts w:ascii="Times New Roman" w:hAnsi="Times New Roman"/>
                <w:lang w:val="en-US"/>
              </w:rPr>
            </w:pPr>
            <w:r>
              <w:rPr>
                <w:rFonts w:ascii="Times New Roman" w:hAnsi="Times New Roman"/>
                <w:lang w:val="en-US"/>
              </w:rPr>
              <w:t>Interdepartmental collaboration</w:t>
            </w:r>
          </w:p>
          <w:p w:rsidR="00D13E11" w:rsidRDefault="000144BF">
            <w:pPr>
              <w:pStyle w:val="Default"/>
              <w:numPr>
                <w:ilvl w:val="0"/>
                <w:numId w:val="3"/>
              </w:numPr>
              <w:spacing w:before="0" w:after="60" w:line="20" w:lineRule="atLeast"/>
              <w:jc w:val="both"/>
              <w:rPr>
                <w:rFonts w:ascii="Times New Roman" w:hAnsi="Times New Roman"/>
                <w:lang w:val="en-US"/>
              </w:rPr>
            </w:pPr>
            <w:r>
              <w:rPr>
                <w:rFonts w:ascii="Times New Roman" w:hAnsi="Times New Roman"/>
                <w:lang w:val="en-US"/>
              </w:rPr>
              <w:t>Funded projects and other institutions collaborations</w:t>
            </w:r>
          </w:p>
          <w:p w:rsidR="00D13E11" w:rsidRDefault="000144BF">
            <w:pPr>
              <w:pStyle w:val="Default"/>
              <w:numPr>
                <w:ilvl w:val="0"/>
                <w:numId w:val="3"/>
              </w:numPr>
              <w:spacing w:before="0" w:after="60" w:line="20" w:lineRule="atLeast"/>
              <w:jc w:val="both"/>
              <w:rPr>
                <w:rFonts w:ascii="Times New Roman" w:hAnsi="Times New Roman"/>
                <w:lang w:val="en-US"/>
              </w:rPr>
            </w:pPr>
            <w:r>
              <w:rPr>
                <w:rFonts w:ascii="Times New Roman" w:hAnsi="Times New Roman"/>
                <w:lang w:val="en-US"/>
              </w:rPr>
              <w:t xml:space="preserve">PhD fulltime and part-time courses </w:t>
            </w:r>
          </w:p>
        </w:tc>
        <w:tc>
          <w:tcPr>
            <w:tcW w:w="4815"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13E11" w:rsidRDefault="000144BF">
            <w:pPr>
              <w:pStyle w:val="Body"/>
              <w:numPr>
                <w:ilvl w:val="0"/>
                <w:numId w:val="4"/>
              </w:numPr>
              <w:spacing w:after="60" w:line="288" w:lineRule="auto"/>
            </w:pPr>
            <w:r>
              <w:t>Psychological and emotional stress towards publicat</w:t>
            </w:r>
            <w:r>
              <w:t>ions without guidance and financial assistance from host institution</w:t>
            </w:r>
          </w:p>
          <w:p w:rsidR="00D13E11" w:rsidRDefault="000144BF">
            <w:pPr>
              <w:pStyle w:val="Body"/>
              <w:numPr>
                <w:ilvl w:val="0"/>
                <w:numId w:val="4"/>
              </w:numPr>
              <w:spacing w:after="60"/>
            </w:pPr>
            <w:r>
              <w:t>Non recognition of work-efforts and timely help to teaching faculties on frequent MCI circulars.</w:t>
            </w:r>
          </w:p>
          <w:p w:rsidR="00D13E11" w:rsidRDefault="000144BF">
            <w:pPr>
              <w:pStyle w:val="Body"/>
              <w:numPr>
                <w:ilvl w:val="0"/>
                <w:numId w:val="4"/>
              </w:numPr>
              <w:spacing w:after="60"/>
            </w:pPr>
            <w:r>
              <w:t>Pressurising junior faculties besides overdoing of clinical and covid work</w:t>
            </w:r>
          </w:p>
          <w:p w:rsidR="00D13E11" w:rsidRDefault="000144BF">
            <w:pPr>
              <w:pStyle w:val="Body"/>
              <w:numPr>
                <w:ilvl w:val="0"/>
                <w:numId w:val="4"/>
              </w:numPr>
              <w:spacing w:after="60"/>
            </w:pPr>
            <w:r>
              <w:t xml:space="preserve">Chronic employment of elder brains outlying the race with lack of research interest </w:t>
            </w:r>
          </w:p>
          <w:p w:rsidR="00D13E11" w:rsidRDefault="000144BF">
            <w:pPr>
              <w:pStyle w:val="Default"/>
              <w:numPr>
                <w:ilvl w:val="0"/>
                <w:numId w:val="4"/>
              </w:numPr>
              <w:spacing w:before="0" w:after="60"/>
              <w:jc w:val="both"/>
              <w:rPr>
                <w:rFonts w:ascii="Times New Roman" w:hAnsi="Times New Roman"/>
                <w:lang w:val="en-US"/>
              </w:rPr>
            </w:pPr>
            <w:r>
              <w:rPr>
                <w:rFonts w:ascii="Times New Roman" w:hAnsi="Times New Roman"/>
                <w:lang w:val="en-US"/>
              </w:rPr>
              <w:t>Changing Indexing status of journals.</w:t>
            </w:r>
          </w:p>
        </w:tc>
      </w:tr>
      <w:tr w:rsidR="00D13E11">
        <w:trPr>
          <w:trHeight w:val="276"/>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276"/>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276"/>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276"/>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r w:rsidR="00D13E11">
        <w:trPr>
          <w:trHeight w:val="3586"/>
        </w:trPr>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c>
          <w:tcPr>
            <w:tcW w:w="4815" w:type="dxa"/>
            <w:vMerge/>
            <w:tcBorders>
              <w:top w:val="single" w:sz="2" w:space="0" w:color="000000"/>
              <w:left w:val="single" w:sz="2" w:space="0" w:color="000000"/>
              <w:bottom w:val="single" w:sz="2" w:space="0" w:color="000000"/>
              <w:right w:val="single" w:sz="2" w:space="0" w:color="000000"/>
            </w:tcBorders>
            <w:shd w:val="clear" w:color="auto" w:fill="F5F5F5"/>
          </w:tcPr>
          <w:p w:rsidR="00D13E11" w:rsidRDefault="00D13E11"/>
        </w:tc>
      </w:tr>
    </w:tbl>
    <w:p w:rsidR="00D13E11" w:rsidRDefault="00D13E11">
      <w:pPr>
        <w:pStyle w:val="Default"/>
        <w:spacing w:before="0" w:after="40"/>
        <w:jc w:val="both"/>
        <w:rPr>
          <w:rFonts w:ascii="Times New Roman" w:eastAsia="Times New Roman" w:hAnsi="Times New Roman" w:cs="Times New Roman"/>
        </w:rPr>
      </w:pPr>
    </w:p>
    <w:p w:rsidR="00D13E11" w:rsidRDefault="00D13E11">
      <w:pPr>
        <w:pStyle w:val="Default"/>
        <w:spacing w:before="0" w:after="40"/>
        <w:jc w:val="both"/>
        <w:rPr>
          <w:rFonts w:ascii="Times New Roman" w:eastAsia="Times New Roman" w:hAnsi="Times New Roman" w:cs="Times New Roman"/>
        </w:rPr>
      </w:pPr>
    </w:p>
    <w:p w:rsidR="00D13E11" w:rsidRDefault="00D13E11">
      <w:pPr>
        <w:pStyle w:val="Default"/>
        <w:spacing w:before="0" w:after="40"/>
        <w:jc w:val="both"/>
        <w:rPr>
          <w:rFonts w:ascii="Times New Roman" w:eastAsia="Times New Roman" w:hAnsi="Times New Roman" w:cs="Times New Roman"/>
        </w:rPr>
      </w:pPr>
    </w:p>
    <w:p w:rsidR="00D13E11" w:rsidRDefault="000144BF">
      <w:pPr>
        <w:pStyle w:val="Default"/>
        <w:spacing w:before="0" w:after="40"/>
        <w:jc w:val="both"/>
        <w:rPr>
          <w:rFonts w:ascii="Times New Roman" w:eastAsia="Times New Roman" w:hAnsi="Times New Roman" w:cs="Times New Roman"/>
        </w:rPr>
      </w:pPr>
      <w:r>
        <w:rPr>
          <w:rFonts w:ascii="Times New Roman" w:hAnsi="Times New Roman"/>
          <w:b/>
          <w:bCs/>
          <w:lang w:val="en-US"/>
        </w:rPr>
        <w:t>Recommendations -</w:t>
      </w:r>
      <w:r>
        <w:rPr>
          <w:rFonts w:ascii="Times New Roman" w:hAnsi="Times New Roman"/>
          <w:lang w:val="en-US"/>
        </w:rPr>
        <w:t xml:space="preserve"> </w:t>
      </w:r>
    </w:p>
    <w:p w:rsidR="00D13E11" w:rsidRDefault="00D13E11">
      <w:pPr>
        <w:pStyle w:val="Default"/>
        <w:spacing w:before="0" w:after="40" w:line="288" w:lineRule="auto"/>
        <w:jc w:val="both"/>
        <w:rPr>
          <w:rFonts w:ascii="Times New Roman" w:eastAsia="Times New Roman" w:hAnsi="Times New Roman" w:cs="Times New Roman"/>
        </w:rPr>
      </w:pPr>
    </w:p>
    <w:p w:rsidR="00D13E11" w:rsidRDefault="000144BF">
      <w:pPr>
        <w:pStyle w:val="Default"/>
        <w:numPr>
          <w:ilvl w:val="0"/>
          <w:numId w:val="6"/>
        </w:numPr>
        <w:spacing w:before="0" w:after="40" w:line="288" w:lineRule="auto"/>
        <w:jc w:val="both"/>
        <w:rPr>
          <w:rFonts w:ascii="Times New Roman" w:hAnsi="Times New Roman"/>
          <w:lang w:val="en-US"/>
        </w:rPr>
      </w:pPr>
      <w:r>
        <w:rPr>
          <w:rFonts w:ascii="Times New Roman" w:hAnsi="Times New Roman"/>
          <w:lang w:val="en-US"/>
        </w:rPr>
        <w:t xml:space="preserve">To Provide the list of approved journal / list of predatory journal to be avoided/ ensure </w:t>
      </w:r>
      <w:r>
        <w:rPr>
          <w:rFonts w:ascii="Times New Roman" w:hAnsi="Times New Roman"/>
          <w:lang w:val="en-US"/>
        </w:rPr>
        <w:t>mechanism to check predatory journal.</w:t>
      </w:r>
      <w:r>
        <w:rPr>
          <w:rFonts w:ascii="Times New Roman" w:hAnsi="Times New Roman"/>
        </w:rPr>
        <w:t xml:space="preserve"> </w:t>
      </w:r>
    </w:p>
    <w:p w:rsidR="00D13E11" w:rsidRDefault="000144BF">
      <w:pPr>
        <w:pStyle w:val="Body"/>
        <w:numPr>
          <w:ilvl w:val="0"/>
          <w:numId w:val="6"/>
        </w:numPr>
        <w:spacing w:line="312" w:lineRule="auto"/>
      </w:pPr>
      <w:r>
        <w:t>Ensure proper research facilities at each institute (e.g, funds, computerised medical records of patients).</w:t>
      </w:r>
    </w:p>
    <w:p w:rsidR="00D13E11" w:rsidRDefault="000144BF">
      <w:pPr>
        <w:pStyle w:val="Body"/>
        <w:numPr>
          <w:ilvl w:val="0"/>
          <w:numId w:val="6"/>
        </w:numPr>
        <w:spacing w:line="312" w:lineRule="auto"/>
      </w:pPr>
      <w:r>
        <w:t>Make compulsory publications as a continuous process irrespective of academic position.</w:t>
      </w:r>
    </w:p>
    <w:p w:rsidR="00D13E11" w:rsidRDefault="000144BF">
      <w:pPr>
        <w:pStyle w:val="Body"/>
        <w:numPr>
          <w:ilvl w:val="0"/>
          <w:numId w:val="6"/>
        </w:numPr>
        <w:spacing w:line="312" w:lineRule="auto"/>
      </w:pPr>
      <w:r>
        <w:t>Provide incentives to</w:t>
      </w:r>
      <w:r>
        <w:t xml:space="preserve"> faculties doing research and on-time promotions instead of mandatory publications. </w:t>
      </w:r>
    </w:p>
    <w:p w:rsidR="00D13E11" w:rsidRDefault="000144BF">
      <w:pPr>
        <w:pStyle w:val="Body"/>
        <w:numPr>
          <w:ilvl w:val="0"/>
          <w:numId w:val="6"/>
        </w:numPr>
        <w:spacing w:line="312" w:lineRule="auto"/>
      </w:pPr>
      <w:r>
        <w:t>Frequent communication with MCI on Research activities and faculty promotions.</w:t>
      </w:r>
    </w:p>
    <w:p w:rsidR="00D13E11" w:rsidRDefault="000144BF">
      <w:pPr>
        <w:pStyle w:val="Body"/>
        <w:numPr>
          <w:ilvl w:val="0"/>
          <w:numId w:val="6"/>
        </w:numPr>
        <w:spacing w:line="312" w:lineRule="auto"/>
      </w:pPr>
      <w:r>
        <w:t>Do not take the pride of self induced faculty achievements without providing adequate suppor</w:t>
      </w:r>
      <w:r>
        <w:t>t.</w:t>
      </w:r>
    </w:p>
    <w:p w:rsidR="00D13E11" w:rsidRDefault="000144BF">
      <w:pPr>
        <w:pStyle w:val="Body"/>
        <w:numPr>
          <w:ilvl w:val="0"/>
          <w:numId w:val="6"/>
        </w:numPr>
        <w:spacing w:line="312" w:lineRule="auto"/>
      </w:pPr>
      <w:r>
        <w:t>Stop forcing  to work outside areas of interest to full-fill the target</w:t>
      </w:r>
    </w:p>
    <w:p w:rsidR="00D13E11" w:rsidRDefault="000144BF">
      <w:pPr>
        <w:pStyle w:val="Body"/>
        <w:numPr>
          <w:ilvl w:val="0"/>
          <w:numId w:val="6"/>
        </w:numPr>
        <w:spacing w:line="312" w:lineRule="auto"/>
      </w:pPr>
      <w:r>
        <w:t xml:space="preserve">Subject specific journal: Remove such provision or define meaning of subject specific journal considering multidisciplinary and medical education research </w:t>
      </w:r>
    </w:p>
    <w:p w:rsidR="00D13E11" w:rsidRDefault="000144BF">
      <w:pPr>
        <w:pStyle w:val="Body"/>
        <w:numPr>
          <w:ilvl w:val="0"/>
          <w:numId w:val="6"/>
        </w:numPr>
        <w:spacing w:line="312" w:lineRule="auto"/>
      </w:pPr>
      <w:r>
        <w:t xml:space="preserve">Electronic versus print version of journal: Remove this criterion </w:t>
      </w:r>
    </w:p>
    <w:p w:rsidR="00D13E11" w:rsidRDefault="000144BF">
      <w:pPr>
        <w:pStyle w:val="Body"/>
        <w:numPr>
          <w:ilvl w:val="0"/>
          <w:numId w:val="6"/>
        </w:numPr>
        <w:spacing w:line="312" w:lineRule="auto"/>
      </w:pPr>
      <w:r>
        <w:t xml:space="preserve">National vs International journal: Remove such demarcation or define criteria on which </w:t>
      </w:r>
      <w:r>
        <w:br/>
      </w:r>
      <w:r>
        <w:t xml:space="preserve">journal to be considered as international or demarcate journal based on impact factor </w:t>
      </w:r>
    </w:p>
    <w:p w:rsidR="00D13E11" w:rsidRDefault="000144BF">
      <w:pPr>
        <w:pStyle w:val="Body"/>
        <w:numPr>
          <w:ilvl w:val="0"/>
          <w:numId w:val="6"/>
        </w:numPr>
        <w:spacing w:line="312" w:lineRule="auto"/>
      </w:pPr>
      <w:r>
        <w:t>Journal indexa</w:t>
      </w:r>
      <w:r>
        <w:t xml:space="preserve">tion: Consider only Medline/ PubMed indexation and /or remove Index </w:t>
      </w:r>
      <w:r>
        <w:br/>
      </w:r>
      <w:r>
        <w:t xml:space="preserve">Copernicus </w:t>
      </w:r>
    </w:p>
    <w:p w:rsidR="00D13E11" w:rsidRDefault="000144BF">
      <w:pPr>
        <w:pStyle w:val="Body"/>
        <w:numPr>
          <w:ilvl w:val="0"/>
          <w:numId w:val="6"/>
        </w:numPr>
        <w:spacing w:line="312" w:lineRule="auto"/>
      </w:pPr>
      <w:r>
        <w:t xml:space="preserve">Transparent and non biased eligiblity based  system of promotion of teaching faculties </w:t>
      </w:r>
    </w:p>
    <w:p w:rsidR="00D13E11" w:rsidRDefault="000144BF">
      <w:pPr>
        <w:pStyle w:val="Body"/>
        <w:numPr>
          <w:ilvl w:val="0"/>
          <w:numId w:val="6"/>
        </w:numPr>
        <w:spacing w:line="312" w:lineRule="auto"/>
      </w:pPr>
      <w:r>
        <w:t>Use university Grant Commission (UGC) scoring pattern of research.</w:t>
      </w:r>
    </w:p>
    <w:p w:rsidR="00D13E11" w:rsidRDefault="000144BF">
      <w:pPr>
        <w:pStyle w:val="Body"/>
        <w:numPr>
          <w:ilvl w:val="0"/>
          <w:numId w:val="6"/>
        </w:numPr>
        <w:spacing w:line="312" w:lineRule="auto"/>
      </w:pPr>
      <w:r>
        <w:t>Promotion criteria t</w:t>
      </w:r>
      <w:r>
        <w:t xml:space="preserve">o be based on years of experience in academic positions only with </w:t>
      </w:r>
      <w:r>
        <w:br/>
      </w:r>
      <w:r>
        <w:t>relaxation of 1 or 2 years for publications.</w:t>
      </w:r>
    </w:p>
    <w:p w:rsidR="00D13E11" w:rsidRDefault="000144BF">
      <w:pPr>
        <w:pStyle w:val="Body"/>
        <w:numPr>
          <w:ilvl w:val="0"/>
          <w:numId w:val="6"/>
        </w:numPr>
        <w:spacing w:line="312" w:lineRule="auto"/>
      </w:pPr>
      <w:r>
        <w:t>Keep promotion exam instead of publications only.</w:t>
      </w:r>
    </w:p>
    <w:p w:rsidR="00D13E11" w:rsidRDefault="000144BF">
      <w:pPr>
        <w:pStyle w:val="Body"/>
        <w:numPr>
          <w:ilvl w:val="0"/>
          <w:numId w:val="6"/>
        </w:numPr>
        <w:spacing w:line="312" w:lineRule="auto"/>
      </w:pPr>
      <w:r>
        <w:lastRenderedPageBreak/>
        <w:t>Prevent Step-motherly behaviour towards host favourable, non-eligible faculties from capable s</w:t>
      </w:r>
      <w:r>
        <w:t xml:space="preserve">kill-oriented and working faculties. </w:t>
      </w:r>
      <w:r>
        <w:br/>
      </w:r>
    </w:p>
    <w:p w:rsidR="00D13E11" w:rsidRDefault="000144BF">
      <w:pPr>
        <w:pStyle w:val="Default"/>
        <w:spacing w:before="0" w:after="240" w:line="20" w:lineRule="atLeast"/>
        <w:jc w:val="both"/>
        <w:rPr>
          <w:rFonts w:ascii="Times Roman" w:eastAsia="Times Roman" w:hAnsi="Times Roman" w:cs="Times Roman"/>
          <w:b/>
          <w:bCs/>
        </w:rPr>
      </w:pPr>
      <w:r>
        <w:rPr>
          <w:rFonts w:ascii="Times Roman" w:hAnsi="Times Roman"/>
          <w:b/>
          <w:bCs/>
          <w:lang w:val="en-US"/>
        </w:rPr>
        <w:t xml:space="preserve">Conclusion - </w:t>
      </w:r>
    </w:p>
    <w:p w:rsidR="00D13E11" w:rsidRDefault="000144BF">
      <w:pPr>
        <w:pStyle w:val="Default"/>
        <w:numPr>
          <w:ilvl w:val="0"/>
          <w:numId w:val="8"/>
        </w:numPr>
        <w:spacing w:before="0" w:line="312" w:lineRule="auto"/>
        <w:jc w:val="both"/>
        <w:rPr>
          <w:rFonts w:ascii="Times New Roman" w:hAnsi="Times New Roman"/>
          <w:lang w:val="en-US"/>
        </w:rPr>
      </w:pPr>
      <w:r>
        <w:rPr>
          <w:rFonts w:ascii="Times New Roman" w:hAnsi="Times New Roman"/>
          <w:lang w:val="en-US"/>
        </w:rPr>
        <w:t>Research need resources with fresh minds of interest, guidance and support.</w:t>
      </w:r>
    </w:p>
    <w:p w:rsidR="00D13E11" w:rsidRDefault="000144BF">
      <w:pPr>
        <w:pStyle w:val="Default"/>
        <w:numPr>
          <w:ilvl w:val="0"/>
          <w:numId w:val="8"/>
        </w:numPr>
        <w:spacing w:before="0" w:line="312" w:lineRule="auto"/>
        <w:jc w:val="both"/>
        <w:rPr>
          <w:rFonts w:ascii="Times New Roman" w:hAnsi="Times New Roman"/>
          <w:lang w:val="en-US"/>
        </w:rPr>
      </w:pPr>
      <w:r>
        <w:rPr>
          <w:rFonts w:ascii="Times New Roman" w:hAnsi="Times New Roman"/>
          <w:lang w:val="en-US"/>
        </w:rPr>
        <w:t>Mentoring is different from Mastering, to be understood by senior colleagues.</w:t>
      </w:r>
    </w:p>
    <w:p w:rsidR="00D13E11" w:rsidRDefault="000144BF">
      <w:pPr>
        <w:pStyle w:val="Default"/>
        <w:numPr>
          <w:ilvl w:val="0"/>
          <w:numId w:val="8"/>
        </w:numPr>
        <w:spacing w:before="0" w:line="312" w:lineRule="auto"/>
        <w:jc w:val="both"/>
        <w:rPr>
          <w:rFonts w:ascii="Times New Roman" w:hAnsi="Times New Roman"/>
          <w:lang w:val="en-US"/>
        </w:rPr>
      </w:pPr>
      <w:r>
        <w:rPr>
          <w:rFonts w:ascii="Times New Roman" w:hAnsi="Times New Roman"/>
          <w:lang w:val="en-US"/>
        </w:rPr>
        <w:t>Placing of elder faculties for chronic duration w</w:t>
      </w:r>
      <w:r>
        <w:rPr>
          <w:rFonts w:ascii="Times New Roman" w:hAnsi="Times New Roman"/>
          <w:lang w:val="en-US"/>
        </w:rPr>
        <w:t>ith no experience or interest towards publication is a disaster.</w:t>
      </w:r>
    </w:p>
    <w:p w:rsidR="00D13E11" w:rsidRDefault="000144BF">
      <w:pPr>
        <w:pStyle w:val="Default"/>
        <w:numPr>
          <w:ilvl w:val="0"/>
          <w:numId w:val="8"/>
        </w:numPr>
        <w:spacing w:before="0" w:line="312" w:lineRule="auto"/>
        <w:jc w:val="both"/>
        <w:rPr>
          <w:rFonts w:ascii="Times New Roman" w:hAnsi="Times New Roman"/>
          <w:lang w:val="en-US"/>
        </w:rPr>
      </w:pPr>
      <w:r>
        <w:rPr>
          <w:rFonts w:ascii="Times New Roman" w:hAnsi="Times New Roman"/>
          <w:lang w:val="en-US"/>
        </w:rPr>
        <w:t xml:space="preserve">Research Committee of institution should create guided pathway to be feasible, accessible, funding support and indexed journal metrics for each discipline to promote and encourage  interest </w:t>
      </w:r>
      <w:r>
        <w:rPr>
          <w:rFonts w:ascii="Times New Roman" w:hAnsi="Times New Roman"/>
          <w:lang w:val="en-US"/>
        </w:rPr>
        <w:t>for teaching faculties towards research publication.</w:t>
      </w:r>
    </w:p>
    <w:p w:rsidR="00D13E11" w:rsidRDefault="00D13E11">
      <w:pPr>
        <w:pStyle w:val="Default"/>
        <w:spacing w:before="0" w:line="20" w:lineRule="atLeast"/>
        <w:jc w:val="both"/>
        <w:rPr>
          <w:rFonts w:ascii="Times New Roman" w:eastAsia="Times New Roman" w:hAnsi="Times New Roman" w:cs="Times New Roman"/>
          <w:i/>
          <w:iCs/>
        </w:rPr>
      </w:pPr>
    </w:p>
    <w:p w:rsidR="00D13E11" w:rsidRDefault="00D13E11">
      <w:pPr>
        <w:pStyle w:val="Default"/>
        <w:spacing w:before="0" w:line="20" w:lineRule="atLeast"/>
        <w:jc w:val="both"/>
        <w:rPr>
          <w:rFonts w:ascii="Times New Roman" w:eastAsia="Times New Roman" w:hAnsi="Times New Roman" w:cs="Times New Roman"/>
          <w:i/>
          <w:iCs/>
        </w:rPr>
      </w:pPr>
    </w:p>
    <w:p w:rsidR="00D13E11" w:rsidRDefault="000144BF">
      <w:pPr>
        <w:pStyle w:val="Default"/>
        <w:spacing w:before="0" w:line="20" w:lineRule="atLeast"/>
        <w:jc w:val="both"/>
        <w:rPr>
          <w:rFonts w:ascii="Times New Roman" w:eastAsia="Times New Roman" w:hAnsi="Times New Roman" w:cs="Times New Roman"/>
          <w:i/>
          <w:iCs/>
        </w:rPr>
      </w:pPr>
      <w:r>
        <w:rPr>
          <w:rFonts w:ascii="Times New Roman" w:hAnsi="Times New Roman"/>
          <w:i/>
          <w:iCs/>
          <w:lang w:val="en-US"/>
        </w:rPr>
        <w:t>Conflict of interest - nil</w:t>
      </w:r>
    </w:p>
    <w:p w:rsidR="00D13E11" w:rsidRDefault="000144BF">
      <w:pPr>
        <w:pStyle w:val="Default"/>
        <w:spacing w:before="0" w:line="20" w:lineRule="atLeast"/>
        <w:jc w:val="both"/>
        <w:rPr>
          <w:rFonts w:ascii="Times New Roman" w:eastAsia="Times New Roman" w:hAnsi="Times New Roman" w:cs="Times New Roman"/>
          <w:i/>
          <w:iCs/>
        </w:rPr>
      </w:pPr>
      <w:r>
        <w:rPr>
          <w:rFonts w:ascii="Times New Roman" w:hAnsi="Times New Roman"/>
          <w:i/>
          <w:iCs/>
          <w:lang w:val="en-US"/>
        </w:rPr>
        <w:t>Funding - nil</w:t>
      </w:r>
    </w:p>
    <w:p w:rsidR="00D13E11" w:rsidRDefault="00D13E11">
      <w:pPr>
        <w:pStyle w:val="Body"/>
        <w:rPr>
          <w:i/>
          <w:iCs/>
        </w:rPr>
      </w:pPr>
    </w:p>
    <w:p w:rsidR="00D13E11" w:rsidRDefault="000144BF">
      <w:pPr>
        <w:pStyle w:val="Body"/>
        <w:rPr>
          <w:i/>
          <w:iCs/>
        </w:rPr>
      </w:pPr>
      <w:r>
        <w:rPr>
          <w:i/>
          <w:iCs/>
        </w:rPr>
        <w:t>*Authorship status - (First and corresponding author)</w:t>
      </w:r>
    </w:p>
    <w:p w:rsidR="00D13E11" w:rsidRDefault="000144BF">
      <w:pPr>
        <w:pStyle w:val="Body"/>
        <w:rPr>
          <w:i/>
          <w:iCs/>
        </w:rPr>
      </w:pPr>
      <w:r>
        <w:rPr>
          <w:i/>
          <w:iCs/>
        </w:rPr>
        <w:t>Dr.T.R.Ashok,</w:t>
      </w:r>
    </w:p>
    <w:p w:rsidR="00D13E11" w:rsidRDefault="000144BF">
      <w:pPr>
        <w:pStyle w:val="Body"/>
        <w:rPr>
          <w:i/>
          <w:iCs/>
        </w:rPr>
      </w:pPr>
      <w:r>
        <w:rPr>
          <w:i/>
          <w:iCs/>
        </w:rPr>
        <w:t>Assistant professor in Orthopaedics,</w:t>
      </w:r>
    </w:p>
    <w:p w:rsidR="00D13E11" w:rsidRDefault="000144BF">
      <w:pPr>
        <w:pStyle w:val="Body"/>
        <w:rPr>
          <w:i/>
          <w:iCs/>
        </w:rPr>
      </w:pPr>
      <w:r>
        <w:rPr>
          <w:i/>
          <w:iCs/>
        </w:rPr>
        <w:t>Sri Ramachandra University,Porur,Chennai-600116.</w:t>
      </w:r>
    </w:p>
    <w:p w:rsidR="00D13E11" w:rsidRDefault="000144BF">
      <w:pPr>
        <w:pStyle w:val="Body"/>
        <w:rPr>
          <w:i/>
          <w:iCs/>
        </w:rPr>
      </w:pPr>
      <w:r>
        <w:rPr>
          <w:i/>
          <w:iCs/>
        </w:rPr>
        <w:t>Tamil</w:t>
      </w:r>
      <w:r>
        <w:rPr>
          <w:i/>
          <w:iCs/>
        </w:rPr>
        <w:t>nadu.</w:t>
      </w:r>
    </w:p>
    <w:p w:rsidR="00D13E11" w:rsidRDefault="000144BF">
      <w:pPr>
        <w:pStyle w:val="Body"/>
        <w:rPr>
          <w:i/>
          <w:iCs/>
        </w:rPr>
      </w:pPr>
      <w:r>
        <w:rPr>
          <w:i/>
          <w:iCs/>
        </w:rPr>
        <w:t>email -</w:t>
      </w:r>
      <w:hyperlink r:id="rId9" w:history="1">
        <w:r>
          <w:rPr>
            <w:rStyle w:val="Hyperlink0"/>
            <w:i/>
            <w:iCs/>
          </w:rPr>
          <w:t>trashok83@gmail.com</w:t>
        </w:r>
      </w:hyperlink>
      <w:r>
        <w:rPr>
          <w:i/>
          <w:iCs/>
        </w:rPr>
        <w:t xml:space="preserve"> </w:t>
      </w:r>
    </w:p>
    <w:p w:rsidR="00D13E11" w:rsidRDefault="00D13E11">
      <w:pPr>
        <w:pStyle w:val="Default"/>
        <w:spacing w:before="0" w:after="240" w:line="20" w:lineRule="atLeast"/>
        <w:jc w:val="both"/>
        <w:rPr>
          <w:rFonts w:ascii="Times Roman" w:eastAsia="Times Roman" w:hAnsi="Times Roman" w:cs="Times Roman"/>
          <w:b/>
          <w:bCs/>
        </w:rPr>
      </w:pPr>
    </w:p>
    <w:p w:rsidR="00D13E11" w:rsidRDefault="000144BF">
      <w:pPr>
        <w:pStyle w:val="Default"/>
        <w:spacing w:before="0" w:after="240" w:line="20" w:lineRule="atLeast"/>
        <w:jc w:val="both"/>
        <w:rPr>
          <w:rFonts w:ascii="Times Roman" w:eastAsia="Times Roman" w:hAnsi="Times Roman" w:cs="Times Roman"/>
          <w:b/>
          <w:bCs/>
        </w:rPr>
      </w:pPr>
      <w:r>
        <w:rPr>
          <w:rFonts w:ascii="Times Roman" w:hAnsi="Times Roman"/>
          <w:b/>
          <w:bCs/>
          <w:lang w:val="fr-FR"/>
        </w:rPr>
        <w:t>References</w:t>
      </w:r>
      <w:r>
        <w:rPr>
          <w:rFonts w:ascii="Times Roman" w:hAnsi="Times Roman"/>
          <w:b/>
          <w:bCs/>
          <w:lang w:val="en-US"/>
        </w:rPr>
        <w:t xml:space="preserve"> -</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rPr>
        <w:t>1.</w:t>
      </w:r>
      <w:r>
        <w:rPr>
          <w:rFonts w:ascii="Times New Roman" w:hAnsi="Times New Roman"/>
          <w:lang w:val="en-US"/>
        </w:rPr>
        <w:t xml:space="preserve"> </w:t>
      </w:r>
      <w:r>
        <w:rPr>
          <w:rFonts w:ascii="Times New Roman" w:hAnsi="Times New Roman"/>
          <w:lang w:val="en-US"/>
        </w:rPr>
        <w:t xml:space="preserve">Medical Council of India. Notification. No. MCI-12(2)/2009-MED-22654. [Last accessed on 2019 Jan 5]. Available from: https://old.mciindia.org/Rules-and- Regulation/Gazette%20Notifications%20- %20Amendments/teq-21.07.2009.pdf </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2. Medical Council of India. N</w:t>
      </w:r>
      <w:r>
        <w:rPr>
          <w:rFonts w:ascii="Times New Roman" w:hAnsi="Times New Roman"/>
          <w:lang w:val="en-US"/>
        </w:rPr>
        <w:t xml:space="preserve">o. MCI-12(2)/2009- Med.Misc./56925. [Last accessed on 2019 Jan 5]. Available from: https://old.mciindia.org/Rules-and- Regulation/Gazette%20Notifications%20- %20Amendments/teq%20-%2015.12.2009.pdf </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3. Medical Council of India. No. MCI-12(2)/2010- Med.-Misc</w:t>
      </w:r>
      <w:r>
        <w:rPr>
          <w:rFonts w:ascii="Times New Roman" w:hAnsi="Times New Roman"/>
          <w:lang w:val="en-US"/>
        </w:rPr>
        <w:t xml:space="preserve">./33038. [Last accessed on 2019 Jan 5]. Available from: https://old.mciindia.org/Rules-and- Regulation/Gazette%20Notifications%20- %20Amendments/TEQ-03.11.2010.pdf </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4. Medical Council of India. Clarification with regard to research publications in the matt</w:t>
      </w:r>
      <w:r>
        <w:rPr>
          <w:rFonts w:ascii="Times New Roman" w:hAnsi="Times New Roman"/>
          <w:lang w:val="en-US"/>
        </w:rPr>
        <w:t xml:space="preserve">er of promotion for Teaching faculty in a medical college/Institutions. [Last accessed on 2019 Jan 5]. Available from: https://www.mciindia.org/documents/TEQ/Ci rcular-03.09.2015-TEQ-Promotion- Publication.pdf </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5. Aggarwal R, Gogtay N, Kumar R, Sahni P, an</w:t>
      </w:r>
      <w:r>
        <w:rPr>
          <w:rFonts w:ascii="Times New Roman" w:hAnsi="Times New Roman"/>
          <w:lang w:val="en-US"/>
        </w:rPr>
        <w:t>d for the Indian Association of Medical Journal Editors. The revised guidelines of the Medical Council of India for academic promotions:Need for a rethink. Indian J Med Ethics. 2016;1(1):2-5.</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6.Bavdekar S B, Tullu M S. Research publications for academic ca</w:t>
      </w:r>
      <w:r>
        <w:rPr>
          <w:rFonts w:ascii="Times New Roman" w:hAnsi="Times New Roman"/>
          <w:lang w:val="en-US"/>
        </w:rPr>
        <w:t xml:space="preserve">reer advancement: An idea whose time has come. But is this the right way? J Postgrad Med. 2016;62:1-3. </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lastRenderedPageBreak/>
        <w:t>7.Bandewar SVS, Pai SA. Regressive trend: MCI</w:t>
      </w:r>
      <w:r>
        <w:rPr>
          <w:rFonts w:ascii="Times New Roman" w:hAnsi="Times New Roman"/>
          <w:rtl/>
        </w:rPr>
        <w:t>’</w:t>
      </w:r>
      <w:r>
        <w:rPr>
          <w:rFonts w:ascii="Times New Roman" w:hAnsi="Times New Roman"/>
          <w:lang w:val="en-US"/>
        </w:rPr>
        <w:t>s approach to assessment of medical teachers</w:t>
      </w:r>
      <w:r>
        <w:rPr>
          <w:rFonts w:ascii="Times New Roman" w:hAnsi="Times New Roman"/>
          <w:rtl/>
        </w:rPr>
        <w:t xml:space="preserve">’ </w:t>
      </w:r>
      <w:r>
        <w:rPr>
          <w:rFonts w:ascii="Times New Roman" w:hAnsi="Times New Roman"/>
          <w:lang w:val="en-US"/>
        </w:rPr>
        <w:t>performance.Indian J of medical ethics.2015;12(4):192-5.</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8.Jain S,Jain H,Jain AK.Is MCI overemphasing publication for promotion of medical teachers?.Indian J of medical ethics.2017;2(2):131-132.</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9.Manish barvaliya, Tejas patel,Chinmay shah.Perception of Indian medical teachers towards publication related criteri</w:t>
      </w:r>
      <w:r>
        <w:rPr>
          <w:rFonts w:ascii="Times New Roman" w:hAnsi="Times New Roman"/>
          <w:lang w:val="en-US"/>
        </w:rPr>
        <w:t xml:space="preserve">a for academic promotion in India.NJIRM 2019,vol.10(6).November </w:t>
      </w:r>
    </w:p>
    <w:p w:rsidR="00D13E11" w:rsidRDefault="000144BF">
      <w:pPr>
        <w:pStyle w:val="Default"/>
        <w:spacing w:before="0" w:after="120" w:line="20" w:lineRule="atLeast"/>
        <w:jc w:val="both"/>
        <w:rPr>
          <w:rFonts w:ascii="Times New Roman" w:eastAsia="Times New Roman" w:hAnsi="Times New Roman" w:cs="Times New Roman"/>
        </w:rPr>
      </w:pPr>
      <w:r>
        <w:rPr>
          <w:rFonts w:ascii="Times New Roman" w:hAnsi="Times New Roman"/>
          <w:lang w:val="en-US"/>
        </w:rPr>
        <w:t>10.U</w:t>
      </w:r>
      <w:r>
        <w:rPr>
          <w:rFonts w:ascii="Times New Roman" w:hAnsi="Times New Roman"/>
        </w:rPr>
        <w:t>luslararas</w:t>
      </w:r>
      <w:r>
        <w:rPr>
          <w:rFonts w:ascii="Times New Roman" w:hAnsi="Times New Roman"/>
        </w:rPr>
        <w:t xml:space="preserve">ı </w:t>
      </w:r>
      <w:r>
        <w:rPr>
          <w:rFonts w:ascii="Times New Roman" w:hAnsi="Times New Roman"/>
          <w:lang w:val="en-US"/>
        </w:rPr>
        <w:t>s</w:t>
      </w:r>
      <w:r>
        <w:rPr>
          <w:rFonts w:ascii="Times New Roman" w:hAnsi="Times New Roman"/>
        </w:rPr>
        <w:t>osyal Aras</w:t>
      </w:r>
      <w:r>
        <w:rPr>
          <w:rFonts w:ascii="Times New Roman" w:hAnsi="Times New Roman"/>
        </w:rPr>
        <w:t>̧</w:t>
      </w:r>
      <w:r>
        <w:rPr>
          <w:rFonts w:ascii="Times New Roman" w:hAnsi="Times New Roman"/>
        </w:rPr>
        <w:t>t</w:t>
      </w:r>
      <w:r>
        <w:rPr>
          <w:rFonts w:ascii="Times New Roman" w:hAnsi="Times New Roman"/>
        </w:rPr>
        <w:t>ı</w:t>
      </w:r>
      <w:r>
        <w:rPr>
          <w:rFonts w:ascii="Times New Roman" w:hAnsi="Times New Roman"/>
        </w:rPr>
        <w:t>rmalar Dergisi</w:t>
      </w:r>
      <w:r>
        <w:rPr>
          <w:rFonts w:ascii="Times New Roman" w:hAnsi="Times New Roman"/>
          <w:lang w:val="en-US"/>
        </w:rPr>
        <w:t xml:space="preserve">Volume 10,issue-51:August 2017.The journal of international social research. </w:t>
      </w:r>
      <w:r>
        <w:rPr>
          <w:rFonts w:ascii="Times New Roman" w:eastAsia="Times New Roman" w:hAnsi="Times New Roman" w:cs="Times New Roman"/>
        </w:rPr>
        <w:br/>
      </w:r>
    </w:p>
    <w:p w:rsidR="00D13E11" w:rsidRDefault="00D13E11">
      <w:pPr>
        <w:pStyle w:val="Default"/>
        <w:spacing w:before="0" w:after="240" w:line="20" w:lineRule="atLeast"/>
        <w:jc w:val="both"/>
        <w:rPr>
          <w:rFonts w:hint="eastAsia"/>
        </w:rPr>
      </w:pPr>
    </w:p>
    <w:sectPr w:rsidR="00D13E11">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4BF" w:rsidRDefault="000144BF">
      <w:r>
        <w:separator/>
      </w:r>
    </w:p>
  </w:endnote>
  <w:endnote w:type="continuationSeparator" w:id="0">
    <w:p w:rsidR="000144BF" w:rsidRDefault="0001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E11" w:rsidRDefault="000144BF">
    <w:pPr>
      <w:pStyle w:val="HeaderFooter"/>
      <w:tabs>
        <w:tab w:val="clear" w:pos="9020"/>
        <w:tab w:val="center" w:pos="4819"/>
        <w:tab w:val="right" w:pos="9638"/>
      </w:tabs>
      <w:rPr>
        <w:rFonts w:hint="eastAsia"/>
      </w:rP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sidR="00BD4D30">
      <w:rPr>
        <w:rFonts w:ascii="Times New Roman" w:hAnsi="Times New Roman"/>
      </w:rPr>
      <w:fldChar w:fldCharType="separate"/>
    </w:r>
    <w:r w:rsidR="00BD4D30">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4BF" w:rsidRDefault="000144BF">
      <w:r>
        <w:separator/>
      </w:r>
    </w:p>
  </w:footnote>
  <w:footnote w:type="continuationSeparator" w:id="0">
    <w:p w:rsidR="000144BF" w:rsidRDefault="00014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E11" w:rsidRDefault="00D13E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5E10"/>
    <w:multiLevelType w:val="hybridMultilevel"/>
    <w:tmpl w:val="942E1A42"/>
    <w:numStyleLink w:val="Numbered"/>
  </w:abstractNum>
  <w:abstractNum w:abstractNumId="1">
    <w:nsid w:val="08321230"/>
    <w:multiLevelType w:val="hybridMultilevel"/>
    <w:tmpl w:val="C5FC0570"/>
    <w:styleLink w:val="Bullet"/>
    <w:lvl w:ilvl="0" w:tplc="FB18912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206C524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0E261A9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7B1C46A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F44F5E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D2D4BC3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2460B8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F0235B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00D08B1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0EA339F2"/>
    <w:multiLevelType w:val="hybridMultilevel"/>
    <w:tmpl w:val="942E1A42"/>
    <w:styleLink w:val="Numbered"/>
    <w:lvl w:ilvl="0" w:tplc="B328A5E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508974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71CC7C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FC8905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A650E54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FC0CFA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8183BC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CD6FDA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012F89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46F217B"/>
    <w:multiLevelType w:val="hybridMultilevel"/>
    <w:tmpl w:val="C5FC0570"/>
    <w:numStyleLink w:val="Bullet"/>
  </w:abstractNum>
  <w:abstractNum w:abstractNumId="4">
    <w:nsid w:val="153B26A4"/>
    <w:multiLevelType w:val="hybridMultilevel"/>
    <w:tmpl w:val="591627BA"/>
    <w:lvl w:ilvl="0" w:tplc="7978708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7E6C947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396C4A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C20965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846D13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F6C296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4468AE3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B263BD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632CEB9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nsid w:val="2ADA1CD6"/>
    <w:multiLevelType w:val="hybridMultilevel"/>
    <w:tmpl w:val="0138257C"/>
    <w:lvl w:ilvl="0" w:tplc="6CA0913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A65217B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792791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AFAB6E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19A892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23EA5B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ACC8F32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B202C3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228A39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nsid w:val="35454BB0"/>
    <w:multiLevelType w:val="hybridMultilevel"/>
    <w:tmpl w:val="DD1E8342"/>
    <w:lvl w:ilvl="0" w:tplc="EE12E03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B596F25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A90484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04694E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050347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46AF94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468814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5BC287F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15E414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nsid w:val="3EA6186F"/>
    <w:multiLevelType w:val="hybridMultilevel"/>
    <w:tmpl w:val="3870B1AE"/>
    <w:lvl w:ilvl="0" w:tplc="0164A0A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B1D0E7A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540355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94C207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1A268C2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B4C29D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666466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D42B4D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5966A6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6"/>
  </w:num>
  <w:num w:numId="2">
    <w:abstractNumId w:val="5"/>
  </w:num>
  <w:num w:numId="3">
    <w:abstractNumId w:val="7"/>
  </w:num>
  <w:num w:numId="4">
    <w:abstractNumId w:val="4"/>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11"/>
    <w:rsid w:val="000144BF"/>
    <w:rsid w:val="00BD4D30"/>
    <w:rsid w:val="00D13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1A2E3-8658-4EFA-96F7-E709208F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jc w:val="both"/>
    </w:pPr>
    <w:rPr>
      <w:rFonts w:cs="Arial Unicode MS"/>
      <w:color w:val="000000"/>
      <w:sz w:val="24"/>
      <w:szCs w:val="24"/>
      <w:lang w:val="en-US"/>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hAnsi="Helvetica Neue" w:cs="Arial Unicode MS"/>
      <w:color w:val="000000"/>
      <w14:textOutline w14:w="0" w14:cap="flat" w14:cmpd="sng" w14:algn="ctr">
        <w14:noFill/>
        <w14:prstDash w14:val="solid"/>
        <w14:bevel/>
      </w14:textOutline>
    </w:rPr>
  </w:style>
  <w:style w:type="numbering" w:customStyle="1" w:styleId="Numbered">
    <w:name w:val="Numbered"/>
    <w:pPr>
      <w:numPr>
        <w:numId w:val="5"/>
      </w:numPr>
    </w:pPr>
  </w:style>
  <w:style w:type="numbering" w:customStyle="1" w:styleId="Bullet">
    <w:name w:val="Bullet"/>
    <w:pPr>
      <w:numPr>
        <w:numId w:val="7"/>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shok83@gmail.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2020-09-14T05:14:00Z</dcterms:created>
  <dcterms:modified xsi:type="dcterms:W3CDTF">2020-09-14T05:14:00Z</dcterms:modified>
</cp:coreProperties>
</file>