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41AE9" w14:textId="040C109A" w:rsidR="009B0820" w:rsidRPr="007D5FC0" w:rsidRDefault="00347204" w:rsidP="007D5FC0">
      <w:pPr>
        <w:jc w:val="center"/>
        <w:rPr>
          <w:b/>
        </w:rPr>
      </w:pPr>
      <w:bookmarkStart w:id="0" w:name="_GoBack"/>
      <w:bookmarkEnd w:id="0"/>
      <w:r w:rsidRPr="007D5FC0">
        <w:rPr>
          <w:b/>
        </w:rPr>
        <w:t>The Consumer Protection Act, 2019: A critical analysis from a medical practitioner’s perspective</w:t>
      </w:r>
    </w:p>
    <w:p w14:paraId="39DE6514" w14:textId="77777777" w:rsidR="007C7D27" w:rsidRPr="007D5FC0" w:rsidRDefault="007C7D27" w:rsidP="007D5FC0">
      <w:pPr>
        <w:jc w:val="center"/>
        <w:rPr>
          <w:b/>
        </w:rPr>
      </w:pPr>
    </w:p>
    <w:p w14:paraId="4539DF5A" w14:textId="77777777" w:rsidR="007C7D27" w:rsidRDefault="007C7D27" w:rsidP="007D5FC0">
      <w:pPr>
        <w:jc w:val="both"/>
      </w:pPr>
      <w:r w:rsidRPr="002958F8">
        <w:t xml:space="preserve">Authors in the order of their contribution: </w:t>
      </w:r>
    </w:p>
    <w:p w14:paraId="5D08ABB8" w14:textId="77777777" w:rsidR="007C7D27" w:rsidRPr="002958F8" w:rsidRDefault="007C7D27" w:rsidP="007D5FC0">
      <w:pPr>
        <w:jc w:val="both"/>
      </w:pPr>
    </w:p>
    <w:p w14:paraId="35BD515A" w14:textId="77777777" w:rsidR="007C7D27" w:rsidRDefault="007C7D27" w:rsidP="007D5FC0">
      <w:pPr>
        <w:jc w:val="both"/>
      </w:pPr>
      <w:proofErr w:type="spellStart"/>
      <w:r w:rsidRPr="002958F8">
        <w:t>Bhavika</w:t>
      </w:r>
      <w:proofErr w:type="spellEnd"/>
      <w:r w:rsidRPr="002958F8">
        <w:t xml:space="preserve"> Vajawat</w:t>
      </w:r>
      <w:r w:rsidRPr="002958F8">
        <w:rPr>
          <w:vertAlign w:val="superscript"/>
        </w:rPr>
        <w:t>1</w:t>
      </w:r>
      <w:r w:rsidRPr="002958F8">
        <w:t xml:space="preserve">, </w:t>
      </w:r>
      <w:proofErr w:type="spellStart"/>
      <w:r w:rsidRPr="002958F8">
        <w:t>Damodharan</w:t>
      </w:r>
      <w:proofErr w:type="spellEnd"/>
      <w:r w:rsidRPr="002958F8">
        <w:t xml:space="preserve"> Dinakaran</w:t>
      </w:r>
      <w:r w:rsidRPr="002958F8">
        <w:rPr>
          <w:vertAlign w:val="superscript"/>
        </w:rPr>
        <w:t>1</w:t>
      </w:r>
      <w:r w:rsidRPr="002958F8">
        <w:t xml:space="preserve">, </w:t>
      </w:r>
      <w:proofErr w:type="spellStart"/>
      <w:r w:rsidRPr="002958F8">
        <w:t>Omprakash</w:t>
      </w:r>
      <w:proofErr w:type="spellEnd"/>
      <w:r w:rsidRPr="002958F8">
        <w:t xml:space="preserve"> V. Nandimath</w:t>
      </w:r>
      <w:r w:rsidRPr="002958F8">
        <w:rPr>
          <w:vertAlign w:val="superscript"/>
        </w:rPr>
        <w:t>2</w:t>
      </w:r>
      <w:r w:rsidRPr="002958F8">
        <w:t xml:space="preserve">, </w:t>
      </w:r>
      <w:proofErr w:type="spellStart"/>
      <w:r w:rsidRPr="002958F8">
        <w:t>Arpitha</w:t>
      </w:r>
      <w:proofErr w:type="spellEnd"/>
      <w:r w:rsidRPr="002958F8">
        <w:t xml:space="preserve"> HC</w:t>
      </w:r>
      <w:r w:rsidRPr="002958F8">
        <w:rPr>
          <w:vertAlign w:val="superscript"/>
        </w:rPr>
        <w:t>2</w:t>
      </w:r>
      <w:r w:rsidRPr="002958F8">
        <w:t xml:space="preserve">, </w:t>
      </w:r>
      <w:proofErr w:type="spellStart"/>
      <w:r w:rsidRPr="002958F8">
        <w:t>Channaveerachari</w:t>
      </w:r>
      <w:proofErr w:type="spellEnd"/>
      <w:r w:rsidRPr="002958F8">
        <w:t xml:space="preserve"> Naveen Kumar</w:t>
      </w:r>
      <w:r w:rsidRPr="002958F8">
        <w:rPr>
          <w:vertAlign w:val="superscript"/>
        </w:rPr>
        <w:t>1</w:t>
      </w:r>
      <w:r>
        <w:t xml:space="preserve">, </w:t>
      </w:r>
      <w:proofErr w:type="spellStart"/>
      <w:r>
        <w:t>Chethan</w:t>
      </w:r>
      <w:proofErr w:type="spellEnd"/>
      <w:r>
        <w:t xml:space="preserve"> </w:t>
      </w:r>
      <w:r w:rsidRPr="002958F8">
        <w:t>B</w:t>
      </w:r>
      <w:r>
        <w:t>asavarajappa</w:t>
      </w:r>
      <w:r w:rsidRPr="002958F8">
        <w:rPr>
          <w:vertAlign w:val="superscript"/>
        </w:rPr>
        <w:t>1</w:t>
      </w:r>
      <w:r w:rsidRPr="002958F8">
        <w:t xml:space="preserve">, Suresh </w:t>
      </w:r>
      <w:proofErr w:type="spellStart"/>
      <w:r w:rsidRPr="002958F8">
        <w:t>Bada</w:t>
      </w:r>
      <w:proofErr w:type="spellEnd"/>
      <w:r w:rsidRPr="002958F8">
        <w:t xml:space="preserve"> Math</w:t>
      </w:r>
      <w:r w:rsidRPr="002958F8">
        <w:rPr>
          <w:vertAlign w:val="superscript"/>
        </w:rPr>
        <w:t>1</w:t>
      </w:r>
      <w:r w:rsidRPr="002958F8">
        <w:t xml:space="preserve">  </w:t>
      </w:r>
    </w:p>
    <w:p w14:paraId="343EB0B4" w14:textId="77777777" w:rsidR="007C7D27" w:rsidRPr="002958F8" w:rsidRDefault="007C7D27" w:rsidP="007D5FC0">
      <w:pPr>
        <w:jc w:val="both"/>
      </w:pPr>
    </w:p>
    <w:p w14:paraId="3AE6CC74" w14:textId="77777777" w:rsidR="007C7D27" w:rsidRPr="002958F8" w:rsidRDefault="007C7D27" w:rsidP="007D5FC0">
      <w:pPr>
        <w:jc w:val="both"/>
      </w:pPr>
      <w:r w:rsidRPr="002958F8">
        <w:rPr>
          <w:vertAlign w:val="superscript"/>
        </w:rPr>
        <w:t>1</w:t>
      </w:r>
      <w:r w:rsidRPr="002958F8">
        <w:t xml:space="preserve">Department of Psychiatry, National Institute of Mental Health &amp; Neurosciences (NIMHANS), Bengaluru, Karnataka, India </w:t>
      </w:r>
    </w:p>
    <w:p w14:paraId="433E410D" w14:textId="77777777" w:rsidR="007C7D27" w:rsidRPr="002958F8" w:rsidRDefault="007C7D27" w:rsidP="007D5FC0">
      <w:pPr>
        <w:jc w:val="both"/>
      </w:pPr>
      <w:r w:rsidRPr="002958F8">
        <w:rPr>
          <w:vertAlign w:val="superscript"/>
        </w:rPr>
        <w:t>2</w:t>
      </w:r>
      <w:r w:rsidRPr="002958F8">
        <w:t xml:space="preserve">National Law School of India University, Bengaluru, Karnataka, India  </w:t>
      </w:r>
    </w:p>
    <w:p w14:paraId="368C0C36" w14:textId="77777777" w:rsidR="007C7D27" w:rsidRDefault="007C7D27" w:rsidP="007D5FC0">
      <w:pPr>
        <w:jc w:val="both"/>
      </w:pPr>
    </w:p>
    <w:p w14:paraId="50DA5654" w14:textId="77777777" w:rsidR="007C7D27" w:rsidRDefault="007C7D27" w:rsidP="007D5FC0">
      <w:pPr>
        <w:jc w:val="both"/>
      </w:pPr>
      <w:r w:rsidRPr="002958F8">
        <w:t xml:space="preserve">Authors and their </w:t>
      </w:r>
      <w:proofErr w:type="spellStart"/>
      <w:r w:rsidRPr="002958F8">
        <w:t>affliations</w:t>
      </w:r>
      <w:proofErr w:type="spellEnd"/>
      <w:r w:rsidRPr="002958F8">
        <w:t xml:space="preserve">: </w:t>
      </w:r>
    </w:p>
    <w:p w14:paraId="01F99295" w14:textId="77777777" w:rsidR="007C7D27" w:rsidRPr="002958F8" w:rsidRDefault="007C7D27" w:rsidP="007D5FC0">
      <w:pPr>
        <w:jc w:val="both"/>
      </w:pPr>
    </w:p>
    <w:p w14:paraId="632EC31C" w14:textId="77777777" w:rsidR="007C7D27" w:rsidRDefault="007C7D27" w:rsidP="007D5FC0">
      <w:pPr>
        <w:jc w:val="both"/>
      </w:pPr>
      <w:r w:rsidRPr="002958F8">
        <w:t xml:space="preserve">1. </w:t>
      </w:r>
      <w:proofErr w:type="spellStart"/>
      <w:r w:rsidRPr="002958F8">
        <w:t>Bhavika</w:t>
      </w:r>
      <w:proofErr w:type="spellEnd"/>
      <w:r w:rsidRPr="002958F8">
        <w:t xml:space="preserve"> </w:t>
      </w:r>
      <w:proofErr w:type="spellStart"/>
      <w:r w:rsidRPr="002958F8">
        <w:t>Vajawat</w:t>
      </w:r>
      <w:proofErr w:type="spellEnd"/>
      <w:r w:rsidRPr="002958F8">
        <w:t xml:space="preserve">, </w:t>
      </w:r>
      <w:r>
        <w:t>Senior Resident</w:t>
      </w:r>
      <w:r w:rsidRPr="002958F8">
        <w:t>, Department of Psychiatry, National Institute of Mental Health &amp; Neurosciences (NIMHANS), Bengaluru, Karnataka, India</w:t>
      </w:r>
      <w:r>
        <w:t xml:space="preserve">; email: </w:t>
      </w:r>
      <w:hyperlink r:id="rId6" w:history="1">
        <w:r w:rsidRPr="000C0826">
          <w:rPr>
            <w:rStyle w:val="Hyperlink"/>
          </w:rPr>
          <w:t>v.bhavika@ymail.com</w:t>
        </w:r>
      </w:hyperlink>
      <w:r>
        <w:t xml:space="preserve">; </w:t>
      </w:r>
      <w:proofErr w:type="spellStart"/>
      <w:r>
        <w:t>Ph</w:t>
      </w:r>
      <w:proofErr w:type="spellEnd"/>
      <w:r>
        <w:t xml:space="preserve"> no: 8880666866</w:t>
      </w:r>
    </w:p>
    <w:p w14:paraId="5B03CD19" w14:textId="77777777" w:rsidR="007C7D27" w:rsidRDefault="007C7D27" w:rsidP="007D5FC0">
      <w:pPr>
        <w:jc w:val="both"/>
      </w:pPr>
    </w:p>
    <w:p w14:paraId="13FFE6E9" w14:textId="77777777" w:rsidR="007C7D27" w:rsidRDefault="007C7D27" w:rsidP="007D5FC0">
      <w:pPr>
        <w:jc w:val="both"/>
      </w:pPr>
      <w:r w:rsidRPr="002958F8">
        <w:t xml:space="preserve">2. </w:t>
      </w:r>
      <w:proofErr w:type="spellStart"/>
      <w:r w:rsidRPr="002958F8">
        <w:t>Damodharan</w:t>
      </w:r>
      <w:proofErr w:type="spellEnd"/>
      <w:r w:rsidRPr="002958F8">
        <w:t xml:space="preserve"> </w:t>
      </w:r>
      <w:proofErr w:type="spellStart"/>
      <w:r w:rsidRPr="002958F8">
        <w:t>Dinakaran</w:t>
      </w:r>
      <w:proofErr w:type="spellEnd"/>
      <w:r w:rsidRPr="002958F8">
        <w:t>, Assistant Professor of Psychiatry, Telemedicine centre, Department of Psychiatry, National Institute of Mental Health &amp; Neurosciences (NIMHANS), Bengaluru, Karnataka, India</w:t>
      </w:r>
      <w:r>
        <w:t>; email:</w:t>
      </w:r>
      <w:r w:rsidRPr="00E134B6">
        <w:t xml:space="preserve"> </w:t>
      </w:r>
      <w:hyperlink r:id="rId7" w:history="1">
        <w:r w:rsidRPr="000C0826">
          <w:rPr>
            <w:rStyle w:val="Hyperlink"/>
          </w:rPr>
          <w:t>dina.nimhans@gmail.com</w:t>
        </w:r>
      </w:hyperlink>
      <w:r>
        <w:t xml:space="preserve">; </w:t>
      </w:r>
      <w:proofErr w:type="spellStart"/>
      <w:r>
        <w:t>Ph</w:t>
      </w:r>
      <w:proofErr w:type="spellEnd"/>
      <w:r>
        <w:t xml:space="preserve"> no: 8197311288</w:t>
      </w:r>
    </w:p>
    <w:p w14:paraId="3BE01631" w14:textId="77777777" w:rsidR="007C7D27" w:rsidRPr="002958F8" w:rsidRDefault="007C7D27" w:rsidP="007D5FC0">
      <w:pPr>
        <w:jc w:val="both"/>
      </w:pPr>
    </w:p>
    <w:p w14:paraId="5B4A3509" w14:textId="77777777" w:rsidR="007C7D27" w:rsidRDefault="007C7D27" w:rsidP="007D5FC0">
      <w:pPr>
        <w:jc w:val="both"/>
      </w:pPr>
      <w:r w:rsidRPr="002958F8">
        <w:t xml:space="preserve">3. </w:t>
      </w:r>
      <w:proofErr w:type="spellStart"/>
      <w:r w:rsidRPr="002958F8">
        <w:t>Omprakash</w:t>
      </w:r>
      <w:proofErr w:type="spellEnd"/>
      <w:r w:rsidRPr="002958F8">
        <w:t xml:space="preserve"> V. </w:t>
      </w:r>
      <w:proofErr w:type="spellStart"/>
      <w:r w:rsidRPr="002958F8">
        <w:t>Nandimath</w:t>
      </w:r>
      <w:proofErr w:type="spellEnd"/>
      <w:r w:rsidRPr="002958F8">
        <w:t>, Professor of Law, National Law School of India University, Bengaluru, Karnataka, India</w:t>
      </w:r>
      <w:r>
        <w:t xml:space="preserve">; email: </w:t>
      </w:r>
      <w:hyperlink r:id="rId8" w:history="1">
        <w:r w:rsidRPr="000C0826">
          <w:rPr>
            <w:rStyle w:val="Hyperlink"/>
          </w:rPr>
          <w:t>ovnandimath@nls.ac.in</w:t>
        </w:r>
      </w:hyperlink>
      <w:r>
        <w:t xml:space="preserve">; </w:t>
      </w:r>
      <w:proofErr w:type="spellStart"/>
      <w:r>
        <w:t>Ph</w:t>
      </w:r>
      <w:proofErr w:type="spellEnd"/>
      <w:r>
        <w:t xml:space="preserve"> no: 08023213160</w:t>
      </w:r>
    </w:p>
    <w:p w14:paraId="1EC03509" w14:textId="77777777" w:rsidR="007C7D27" w:rsidRPr="002958F8" w:rsidRDefault="007C7D27" w:rsidP="007D5FC0">
      <w:pPr>
        <w:jc w:val="both"/>
      </w:pPr>
    </w:p>
    <w:p w14:paraId="48E1838B" w14:textId="77777777" w:rsidR="007C7D27" w:rsidRDefault="007C7D27" w:rsidP="007D5FC0">
      <w:pPr>
        <w:jc w:val="both"/>
        <w:rPr>
          <w:rStyle w:val="Hyperlink"/>
        </w:rPr>
      </w:pPr>
      <w:r w:rsidRPr="002958F8">
        <w:t xml:space="preserve">4. </w:t>
      </w:r>
      <w:proofErr w:type="spellStart"/>
      <w:r w:rsidRPr="002958F8">
        <w:t>Arpitha</w:t>
      </w:r>
      <w:proofErr w:type="spellEnd"/>
      <w:r w:rsidRPr="002958F8">
        <w:t xml:space="preserve"> HC, Assistant Professor of Law, National Law School of India University, Bengaluru, Karnataka, India</w:t>
      </w:r>
      <w:r>
        <w:t>; email:</w:t>
      </w:r>
      <w:r w:rsidRPr="00E134B6">
        <w:t xml:space="preserve"> </w:t>
      </w:r>
      <w:hyperlink r:id="rId9" w:history="1">
        <w:r w:rsidRPr="000C0826">
          <w:rPr>
            <w:rStyle w:val="Hyperlink"/>
          </w:rPr>
          <w:t>arpithahc@nls.ac.in</w:t>
        </w:r>
      </w:hyperlink>
      <w:r>
        <w:rPr>
          <w:rStyle w:val="Hyperlink"/>
        </w:rPr>
        <w:t>;</w:t>
      </w:r>
      <w:r w:rsidRPr="004058F8">
        <w:rPr>
          <w:rStyle w:val="Hyperlink"/>
        </w:rPr>
        <w:t xml:space="preserve"> </w:t>
      </w:r>
      <w:proofErr w:type="spellStart"/>
      <w:r w:rsidRPr="004058F8">
        <w:rPr>
          <w:rStyle w:val="Hyperlink"/>
        </w:rPr>
        <w:t>Ph</w:t>
      </w:r>
      <w:proofErr w:type="spellEnd"/>
      <w:r w:rsidRPr="004058F8">
        <w:rPr>
          <w:rStyle w:val="Hyperlink"/>
        </w:rPr>
        <w:t xml:space="preserve"> no:</w:t>
      </w:r>
      <w:r>
        <w:rPr>
          <w:rStyle w:val="Hyperlink"/>
        </w:rPr>
        <w:t xml:space="preserve"> 08023160532</w:t>
      </w:r>
    </w:p>
    <w:p w14:paraId="4EBF6EF0" w14:textId="77777777" w:rsidR="007C7D27" w:rsidRPr="002958F8" w:rsidRDefault="007C7D27" w:rsidP="007D5FC0">
      <w:pPr>
        <w:jc w:val="both"/>
      </w:pPr>
    </w:p>
    <w:p w14:paraId="0E804D35" w14:textId="77777777" w:rsidR="007C7D27" w:rsidRDefault="007C7D27" w:rsidP="007D5FC0">
      <w:pPr>
        <w:jc w:val="both"/>
      </w:pPr>
      <w:r w:rsidRPr="002958F8">
        <w:t xml:space="preserve">5. </w:t>
      </w:r>
      <w:proofErr w:type="spellStart"/>
      <w:r w:rsidRPr="002958F8">
        <w:t>Channaveerachari</w:t>
      </w:r>
      <w:proofErr w:type="spellEnd"/>
      <w:r w:rsidRPr="002958F8">
        <w:t xml:space="preserve"> Naveen Kumar, Professor and Head of Community Psychiatry Unit, Department of Psychiatry, National Institute of Mental Health &amp; Neurosciences (NIMHANS), Bengaluru, Karnataka, India</w:t>
      </w:r>
      <w:r>
        <w:t xml:space="preserve">; email: </w:t>
      </w:r>
      <w:hyperlink r:id="rId10" w:history="1">
        <w:r w:rsidRPr="000C0826">
          <w:rPr>
            <w:rStyle w:val="Hyperlink"/>
          </w:rPr>
          <w:t>cnkumar1974@gmail.com</w:t>
        </w:r>
      </w:hyperlink>
      <w:r>
        <w:t xml:space="preserve">; </w:t>
      </w:r>
      <w:proofErr w:type="spellStart"/>
      <w:r>
        <w:t>Ph</w:t>
      </w:r>
      <w:proofErr w:type="spellEnd"/>
      <w:r>
        <w:t xml:space="preserve"> no: 9448504903</w:t>
      </w:r>
    </w:p>
    <w:p w14:paraId="210FD0C5" w14:textId="77777777" w:rsidR="007C7D27" w:rsidRPr="002958F8" w:rsidRDefault="007C7D27" w:rsidP="007D5FC0">
      <w:pPr>
        <w:jc w:val="both"/>
      </w:pPr>
    </w:p>
    <w:p w14:paraId="6B1E9855" w14:textId="77777777" w:rsidR="007C7D27" w:rsidRDefault="007C7D27" w:rsidP="007D5FC0">
      <w:pPr>
        <w:jc w:val="both"/>
      </w:pPr>
      <w:r w:rsidRPr="002958F8">
        <w:t xml:space="preserve">6. </w:t>
      </w:r>
      <w:proofErr w:type="spellStart"/>
      <w:r w:rsidRPr="002958F8">
        <w:t>Chet</w:t>
      </w:r>
      <w:r>
        <w:t>h</w:t>
      </w:r>
      <w:r w:rsidRPr="002958F8">
        <w:t>an</w:t>
      </w:r>
      <w:proofErr w:type="spellEnd"/>
      <w:r w:rsidRPr="002958F8">
        <w:t xml:space="preserve"> </w:t>
      </w:r>
      <w:proofErr w:type="spellStart"/>
      <w:r w:rsidRPr="002958F8">
        <w:t>B</w:t>
      </w:r>
      <w:r>
        <w:t>asavarajappa</w:t>
      </w:r>
      <w:proofErr w:type="spellEnd"/>
      <w:r>
        <w:t>, Assistant Professor</w:t>
      </w:r>
      <w:r w:rsidRPr="002958F8">
        <w:t>, Department of Psychiatry, National Institute of Mental Health &amp; Neurosciences (NIMHANS), Bengaluru, Karnataka, India</w:t>
      </w:r>
      <w:r>
        <w:t xml:space="preserve">; email: </w:t>
      </w:r>
      <w:hyperlink r:id="rId11" w:history="1">
        <w:r w:rsidRPr="000C0826">
          <w:rPr>
            <w:rStyle w:val="Hyperlink"/>
          </w:rPr>
          <w:t>drchethanraj@gmail.com</w:t>
        </w:r>
      </w:hyperlink>
      <w:r>
        <w:t xml:space="preserve">; </w:t>
      </w:r>
      <w:proofErr w:type="spellStart"/>
      <w:r>
        <w:t>Ph</w:t>
      </w:r>
      <w:proofErr w:type="spellEnd"/>
      <w:r>
        <w:t xml:space="preserve"> no: 8970665996</w:t>
      </w:r>
    </w:p>
    <w:p w14:paraId="76C8D866" w14:textId="77777777" w:rsidR="007C7D27" w:rsidRPr="002958F8" w:rsidRDefault="007C7D27" w:rsidP="007D5FC0">
      <w:pPr>
        <w:jc w:val="both"/>
      </w:pPr>
    </w:p>
    <w:p w14:paraId="0FC6E9EC" w14:textId="77777777" w:rsidR="007C7D27" w:rsidRDefault="007C7D27" w:rsidP="007D5FC0">
      <w:pPr>
        <w:jc w:val="both"/>
      </w:pPr>
      <w:r w:rsidRPr="002958F8">
        <w:t xml:space="preserve">7. Suresh </w:t>
      </w:r>
      <w:proofErr w:type="spellStart"/>
      <w:r w:rsidRPr="002958F8">
        <w:t>Bada</w:t>
      </w:r>
      <w:proofErr w:type="spellEnd"/>
      <w:r w:rsidRPr="002958F8">
        <w:t xml:space="preserve"> Math, Professor and Head of Forensic Psychiatry Unit &amp; Head of Telemedicine Centre, Department of Psychiatry, National Institute of Mental Health &amp; Neurosciences (NIMHANS), Bengaluru, Karnataka, India</w:t>
      </w:r>
      <w:r>
        <w:t xml:space="preserve">; email: </w:t>
      </w:r>
      <w:hyperlink r:id="rId12" w:history="1">
        <w:r w:rsidRPr="000C0826">
          <w:rPr>
            <w:rStyle w:val="Hyperlink"/>
          </w:rPr>
          <w:t>nimhans@gmail.com</w:t>
        </w:r>
      </w:hyperlink>
      <w:r>
        <w:rPr>
          <w:rStyle w:val="Hyperlink"/>
        </w:rPr>
        <w:t xml:space="preserve">; </w:t>
      </w:r>
      <w:proofErr w:type="spellStart"/>
      <w:r w:rsidRPr="004058F8">
        <w:rPr>
          <w:rStyle w:val="Hyperlink"/>
        </w:rPr>
        <w:t>Ph</w:t>
      </w:r>
      <w:proofErr w:type="spellEnd"/>
      <w:r w:rsidRPr="004058F8">
        <w:rPr>
          <w:rStyle w:val="Hyperlink"/>
        </w:rPr>
        <w:t xml:space="preserve"> no:</w:t>
      </w:r>
      <w:r>
        <w:t xml:space="preserve"> 9480829447</w:t>
      </w:r>
    </w:p>
    <w:p w14:paraId="49ED11B0" w14:textId="77777777" w:rsidR="00F72EB3" w:rsidRDefault="00F72EB3" w:rsidP="007D5FC0">
      <w:pPr>
        <w:jc w:val="both"/>
      </w:pPr>
    </w:p>
    <w:p w14:paraId="26CC68F4" w14:textId="0AE30E38" w:rsidR="00F72EB3" w:rsidRDefault="00F72EB3" w:rsidP="007D5FC0">
      <w:pPr>
        <w:jc w:val="both"/>
      </w:pPr>
      <w:r>
        <w:t>There is no conflict of interest. There are no sponsorships, financial contributions by others or any competing interests</w:t>
      </w:r>
    </w:p>
    <w:p w14:paraId="2F26ADDD" w14:textId="77777777" w:rsidR="00F72EB3" w:rsidRDefault="00F72EB3" w:rsidP="007D5FC0">
      <w:pPr>
        <w:jc w:val="both"/>
      </w:pPr>
    </w:p>
    <w:p w14:paraId="79E8D385" w14:textId="620A1787" w:rsidR="00F72EB3" w:rsidRDefault="00F72EB3" w:rsidP="007D5FC0">
      <w:pPr>
        <w:jc w:val="both"/>
      </w:pPr>
      <w:r>
        <w:t>The submission is not under consideration for publication in any other journal</w:t>
      </w:r>
    </w:p>
    <w:p w14:paraId="23D88A2E" w14:textId="77777777" w:rsidR="007C7D27" w:rsidRDefault="007C7D27" w:rsidP="007D5FC0">
      <w:pPr>
        <w:jc w:val="both"/>
      </w:pPr>
    </w:p>
    <w:p w14:paraId="09E92208" w14:textId="77777777" w:rsidR="00411C82" w:rsidRDefault="00411C82" w:rsidP="007D5FC0">
      <w:pPr>
        <w:jc w:val="both"/>
      </w:pPr>
    </w:p>
    <w:p w14:paraId="78E076EE" w14:textId="77777777" w:rsidR="00F72EB3" w:rsidRDefault="00F72EB3" w:rsidP="007D5FC0">
      <w:pPr>
        <w:spacing w:after="160" w:line="259" w:lineRule="auto"/>
        <w:jc w:val="both"/>
        <w:rPr>
          <w:b/>
        </w:rPr>
      </w:pPr>
      <w:r>
        <w:rPr>
          <w:b/>
        </w:rPr>
        <w:br w:type="page"/>
      </w:r>
    </w:p>
    <w:p w14:paraId="4FCB4806" w14:textId="38358949" w:rsidR="006946C1" w:rsidRPr="004E7471" w:rsidRDefault="00347204" w:rsidP="007D5FC0">
      <w:pPr>
        <w:jc w:val="both"/>
        <w:rPr>
          <w:b/>
        </w:rPr>
      </w:pPr>
      <w:r w:rsidRPr="004E7471">
        <w:rPr>
          <w:b/>
        </w:rPr>
        <w:lastRenderedPageBreak/>
        <w:t xml:space="preserve">Abstract </w:t>
      </w:r>
    </w:p>
    <w:p w14:paraId="4496F415" w14:textId="5C4A099F" w:rsidR="00E60DEF" w:rsidRDefault="00347204" w:rsidP="007D5FC0">
      <w:pPr>
        <w:jc w:val="both"/>
      </w:pPr>
      <w:r w:rsidRPr="004E7471">
        <w:t>The doctor-patient relationship took a “contractual” form after the judgment passed in the </w:t>
      </w:r>
      <w:r w:rsidRPr="004E7471">
        <w:rPr>
          <w:rStyle w:val="Emphasis"/>
          <w:color w:val="0E101A"/>
        </w:rPr>
        <w:t>Indian Medical Association v. V P Shantha </w:t>
      </w:r>
      <w:r w:rsidRPr="004E7471">
        <w:t>case in 1995.</w:t>
      </w:r>
      <w:r w:rsidR="000E2D0B">
        <w:t xml:space="preserve"> This landmark judgment brought the</w:t>
      </w:r>
      <w:r w:rsidRPr="004E7471">
        <w:t xml:space="preserve"> medical profession</w:t>
      </w:r>
      <w:r w:rsidR="000E2D0B">
        <w:t xml:space="preserve"> </w:t>
      </w:r>
      <w:r w:rsidRPr="004E7471">
        <w:t>under the ambit of the Consumer Protection Act (CPA) 1986</w:t>
      </w:r>
      <w:r w:rsidR="000E2D0B">
        <w:t xml:space="preserve">. With rapidly evolving technology and the need for a more comprehensive act, the </w:t>
      </w:r>
      <w:r w:rsidRPr="004E7471">
        <w:t>CPA 2019 was made effective from 20th July 20</w:t>
      </w:r>
      <w:r w:rsidR="000E2D0B">
        <w:t>20</w:t>
      </w:r>
      <w:r w:rsidR="004073CA">
        <w:t xml:space="preserve"> onwards</w:t>
      </w:r>
      <w:r w:rsidR="000E2D0B">
        <w:t>. Since</w:t>
      </w:r>
      <w:r w:rsidR="004073CA">
        <w:t xml:space="preserve"> then</w:t>
      </w:r>
      <w:r w:rsidR="000E2D0B">
        <w:t>,</w:t>
      </w:r>
      <w:r w:rsidR="004073CA">
        <w:t xml:space="preserve"> </w:t>
      </w:r>
      <w:r w:rsidRPr="004E7471">
        <w:t>several questions</w:t>
      </w:r>
      <w:r w:rsidR="000E2D0B">
        <w:t xml:space="preserve"> have been</w:t>
      </w:r>
      <w:r w:rsidRPr="004E7471">
        <w:t xml:space="preserve"> raised about whether the medical profession continue</w:t>
      </w:r>
      <w:r w:rsidR="000E2D0B">
        <w:t>s</w:t>
      </w:r>
      <w:r>
        <w:t xml:space="preserve"> to </w:t>
      </w:r>
      <w:r w:rsidRPr="004E7471">
        <w:t>be bound by the CPA</w:t>
      </w:r>
      <w:r w:rsidR="000E2D0B">
        <w:t xml:space="preserve"> </w:t>
      </w:r>
      <w:r w:rsidRPr="004E7471">
        <w:t xml:space="preserve">2019. In terms of the layout and provisions, there are several advances in the CPA 2019 compared to </w:t>
      </w:r>
      <w:r w:rsidR="00AE2AEC">
        <w:t xml:space="preserve">that of </w:t>
      </w:r>
      <w:r w:rsidRPr="004E7471">
        <w:t>1986. Some of these include changes in pecuniary jurisdiction, the introduction of Al</w:t>
      </w:r>
      <w:r w:rsidR="004073CA">
        <w:t>ternate Dispute Resolution</w:t>
      </w:r>
      <w:r w:rsidRPr="004E7471">
        <w:t xml:space="preserve"> mechanisms, new provisions for litigation, the introduction of regulators such as the Central Consumer Protection Authority, and the institution of telemarketing.</w:t>
      </w:r>
      <w:r>
        <w:t xml:space="preserve"> </w:t>
      </w:r>
      <w:r w:rsidRPr="004E7471">
        <w:t>The</w:t>
      </w:r>
      <w:r w:rsidR="00AE2AEC">
        <w:t>re has been an</w:t>
      </w:r>
      <w:r w:rsidRPr="004E7471">
        <w:t xml:space="preserve"> introduction of several novel provisions, changes in the existing provisions, and simplific</w:t>
      </w:r>
      <w:r>
        <w:t>ation of the procedures including provisions for registering cases against the service providers on an online portal</w:t>
      </w:r>
      <w:r w:rsidR="00AE2AEC">
        <w:t>. These changes would</w:t>
      </w:r>
      <w:r w:rsidRPr="004E7471">
        <w:t xml:space="preserve"> act synergistically as a significant tool in protecting consumer rights in India. </w:t>
      </w:r>
      <w:r>
        <w:t xml:space="preserve">These benefits would be available </w:t>
      </w:r>
      <w:r w:rsidR="00F25BB5">
        <w:t xml:space="preserve">to consumers without any retribution for filing false complaints. Currently, the State does not hold any responsibility for providing compensation to its </w:t>
      </w:r>
      <w:r w:rsidR="00AE2AEC">
        <w:t>consumers, and hence it’s</w:t>
      </w:r>
      <w:r w:rsidR="00F25BB5">
        <w:t xml:space="preserve"> the doctors' responsibility to provide the same. These changes in CPA 2019, will empower its consumers but might lead to an increase in frivolous litigations, defensive practices, and burden on the doctors. Indemnity insurance, capping of compensations, increase in </w:t>
      </w:r>
      <w:r w:rsidR="004073CA">
        <w:t xml:space="preserve">Government </w:t>
      </w:r>
      <w:r w:rsidR="00F25BB5">
        <w:t>fun</w:t>
      </w:r>
      <w:r w:rsidR="00AB08C8">
        <w:t>ding for the health sector, payment for loss of practice if doctors are not found guilty, fining of frivolous cases and expeditious resolution of cases might prove to be necessary steps to protect the</w:t>
      </w:r>
      <w:r w:rsidR="00AB243E">
        <w:t xml:space="preserve"> medical profession from the burden of frivolous litigation</w:t>
      </w:r>
      <w:r w:rsidR="00AB08C8">
        <w:t xml:space="preserve">. </w:t>
      </w:r>
    </w:p>
    <w:p w14:paraId="6E1EA4AA" w14:textId="77777777" w:rsidR="00411C82" w:rsidRDefault="00411C82" w:rsidP="007D5FC0">
      <w:pPr>
        <w:jc w:val="both"/>
      </w:pPr>
    </w:p>
    <w:p w14:paraId="28A00233" w14:textId="77777777" w:rsidR="00411C82" w:rsidRDefault="00411C82" w:rsidP="007D5FC0">
      <w:pPr>
        <w:jc w:val="both"/>
      </w:pPr>
    </w:p>
    <w:p w14:paraId="1D811C7F" w14:textId="77777777" w:rsidR="007662A2" w:rsidRPr="004E7471" w:rsidRDefault="00347204" w:rsidP="007D5FC0">
      <w:pPr>
        <w:jc w:val="both"/>
        <w:rPr>
          <w:b/>
        </w:rPr>
      </w:pPr>
      <w:r w:rsidRPr="004E7471">
        <w:rPr>
          <w:b/>
        </w:rPr>
        <w:t>Keywords</w:t>
      </w:r>
    </w:p>
    <w:p w14:paraId="7D2EEFED" w14:textId="77777777" w:rsidR="007662A2" w:rsidRPr="004E7471" w:rsidRDefault="00347204" w:rsidP="007D5FC0">
      <w:pPr>
        <w:jc w:val="both"/>
      </w:pPr>
      <w:r w:rsidRPr="004E7471">
        <w:t xml:space="preserve">Consumer Protection Act, medical profession, doctors, medical practitioner, compensation, service provider </w:t>
      </w:r>
    </w:p>
    <w:p w14:paraId="0CB7555B" w14:textId="77777777" w:rsidR="00411C82" w:rsidRDefault="00411C82" w:rsidP="007D5FC0">
      <w:pPr>
        <w:spacing w:after="160"/>
        <w:jc w:val="both"/>
      </w:pPr>
    </w:p>
    <w:p w14:paraId="70523A14" w14:textId="77777777" w:rsidR="00411C82" w:rsidRDefault="00411C82" w:rsidP="007D5FC0">
      <w:pPr>
        <w:spacing w:after="160"/>
        <w:jc w:val="both"/>
      </w:pPr>
    </w:p>
    <w:p w14:paraId="7C9B15E0" w14:textId="77777777" w:rsidR="00347204" w:rsidRDefault="00347204" w:rsidP="007D5FC0">
      <w:pPr>
        <w:spacing w:after="160" w:line="259" w:lineRule="auto"/>
        <w:jc w:val="both"/>
        <w:rPr>
          <w:b/>
        </w:rPr>
      </w:pPr>
      <w:r>
        <w:rPr>
          <w:b/>
        </w:rPr>
        <w:br w:type="page"/>
      </w:r>
    </w:p>
    <w:p w14:paraId="1D8B100C" w14:textId="48D709AD" w:rsidR="00D71119" w:rsidRDefault="00347204" w:rsidP="007D5FC0">
      <w:pPr>
        <w:spacing w:after="160"/>
        <w:jc w:val="both"/>
        <w:rPr>
          <w:b/>
        </w:rPr>
      </w:pPr>
      <w:r w:rsidRPr="004E7471">
        <w:rPr>
          <w:b/>
        </w:rPr>
        <w:lastRenderedPageBreak/>
        <w:t>Introduction</w:t>
      </w:r>
    </w:p>
    <w:p w14:paraId="7AF35CB8" w14:textId="7C62259E" w:rsidR="00A2506A" w:rsidRDefault="00347204" w:rsidP="007D5FC0">
      <w:pPr>
        <w:spacing w:after="240"/>
        <w:jc w:val="both"/>
      </w:pPr>
      <w:r w:rsidRPr="004E7471">
        <w:t>The relationship between do</w:t>
      </w:r>
      <w:r w:rsidR="0053618A">
        <w:t>ctors and their patients forms the</w:t>
      </w:r>
      <w:r w:rsidRPr="004E7471">
        <w:t xml:space="preserve"> cornerstone of healthcare. This relationship has been conceptualized in various</w:t>
      </w:r>
      <w:r w:rsidR="00505289">
        <w:t xml:space="preserve"> </w:t>
      </w:r>
      <w:r w:rsidRPr="004E7471">
        <w:t>phil</w:t>
      </w:r>
      <w:r w:rsidR="00505289">
        <w:t>osophical and sociological forms</w:t>
      </w:r>
      <w:r w:rsidRPr="004E7471">
        <w:t xml:space="preserve"> for </w:t>
      </w:r>
      <w:r w:rsidR="00505289">
        <w:t>several centuries</w:t>
      </w:r>
      <w:r w:rsidRPr="004E7471">
        <w:fldChar w:fldCharType="begin" w:fldLock="1"/>
      </w:r>
      <w:r w:rsidRPr="004E7471">
        <w:instrText>ADDIN CSL_CITATION {"citationItems":[{"id":"ITEM-1","itemData":{"abstract":"T he doctor-patient relationship has been and remains a keystone of care: the medium in which data are gathered, diagnoses and plans are made, compliance is accomplished, and healing, patient activation, and support are provided. 1 To managed care organizations, its importance rests also on market savvy: satisfaction with the doctor-patient relationship is a critical factor in people's decisions to join and stay with a specific organization. 2-5 The rapid penetration of managed care into the health care market raises concern for many patients, practitioners, and scholars about the effects that different financial and organizational features might have on the doctor-patient relationship. 6-10 Some such concerns represent a blatant backlash on the part of providers against the perceived or feared deleterious effects of the corporati-zation of health care practices. But objective and theoretical bases for genuine concern remain. This article examines the foundations and features of the doctor-patient relationship, and how it may be affected by managed care. The relationship between doctors and their patients has received philosophical, sociological, and literary attention since Hippocrates, and is the subject of some 8,000 articles, monographs, chapters, and books in the modern medical literature. A robust science of the doctor-patient encounter and relationship can guide decision making in health care plans. We know much about the average doctor's skills and knowledge in this area, and how to teach doctors to relate more effectively and efficiently. 11,12 We will first review data about the importance of the doctor-patient relationship and the medical encounter , then discuss moral features. We describe problems that exist and are said to exist, we promulgate principles for safeguarding what is good and improving that which requires remediation, and we finish with a brief discussion of practical ways that the doctor-patient relationship can be enhanced in managed care. The medical interview is the major medium of health care. Most of the medical encounter is spent in discussion between practitioner and patient. The interview has three functions and 14 structural elements (Table 1). 13 The three functions are gathering information, developing and maintaining a therapeutic relationship, and communicating information. 14 These three functions inextricably interact. For example, a patient who does not trust or like the practitioner will not disclose complete …","author":[{"dropping-particle":"","family":"Dorr Goold","given":"Susan","non-dropping-particle":"","parse-names":false,"suffix":""},{"dropping-particle":"","family":"Lipkin","given":"Mack","non-dropping-particle":"","parse-names":false,"suffix":""}],"id":"ITEM-1","issued":{"date-parts":[["1997"]]},"title":"The Doctor-Patient Relationship Challenges, Opportunities, and Strategies A SPECIAL RELATIONSHIP","type":"report"},"uris":["http://www.mendeley.com/documents/?uuid=d350b178-70c5-3531-8ba9-88228fbd3cd0"]}],"mendeley":{"formattedCitation":"(1)","plainTextFormattedCitation":"(1)","previouslyFormattedCitation":"(1)"},"properties":{"noteIndex":0},"schema":"https://github.com/citation-style-language/schema/raw/master/csl-citation.json"}</w:instrText>
      </w:r>
      <w:r w:rsidRPr="004E7471">
        <w:fldChar w:fldCharType="separate"/>
      </w:r>
      <w:r w:rsidRPr="004E7471">
        <w:rPr>
          <w:noProof/>
        </w:rPr>
        <w:t>(1)</w:t>
      </w:r>
      <w:r w:rsidRPr="004E7471">
        <w:fldChar w:fldCharType="end"/>
      </w:r>
      <w:r w:rsidRPr="004E7471">
        <w:t xml:space="preserve">. </w:t>
      </w:r>
      <w:r w:rsidR="00555ED3">
        <w:t xml:space="preserve">This relationship has </w:t>
      </w:r>
      <w:r w:rsidR="004073CA">
        <w:t xml:space="preserve">also </w:t>
      </w:r>
      <w:r w:rsidR="00555ED3">
        <w:t>tremendously swayed between idealization and devaluation</w:t>
      </w:r>
      <w:r w:rsidR="00B85934">
        <w:t xml:space="preserve"> of doctors</w:t>
      </w:r>
      <w:r w:rsidR="00555ED3">
        <w:t>. V</w:t>
      </w:r>
      <w:r w:rsidR="00B85934">
        <w:t>iolence against doctors, which was unheard of in India</w:t>
      </w:r>
      <w:r w:rsidR="004073CA">
        <w:t xml:space="preserve"> a couple of years ago</w:t>
      </w:r>
      <w:r w:rsidR="00B85934">
        <w:t xml:space="preserve">, has made </w:t>
      </w:r>
      <w:r w:rsidR="00555ED3">
        <w:t>newspaper headlines several times</w:t>
      </w:r>
      <w:r w:rsidR="00B85934">
        <w:t xml:space="preserve"> in the last decade</w:t>
      </w:r>
      <w:r w:rsidR="00555ED3">
        <w:fldChar w:fldCharType="begin" w:fldLock="1"/>
      </w:r>
      <w:r w:rsidR="00A96997">
        <w:instrText>ADDIN CSL_CITATION {"citationItems":[{"id":"ITEM-1","itemData":{"DOI":"10.4103/ijmr.IJMR_1299_17","ISSN":"09715916","PMID":"30381535","author":[{"dropping-particle":"","family":"Ghosh","given":"Kanjaksha","non-dropping-particle":"","parse-names":false,"suffix":""}],"container-title":"Indian Journal of Medical Research","id":"ITEM-1","issue":"2","issued":{"date-parts":[["2018","8","1"]]},"page":"130-133","publisher":"Indian Council of Medical Research","title":"Violence against doctors: A wake-up call","type":"article","volume":"148"},"uris":["http://www.mendeley.com/documents/?uuid=aaa75d69-d1a8-38c8-ad0c-d5d513ae5e6b"]}],"mendeley":{"formattedCitation":"(2)","plainTextFormattedCitation":"(2)","previouslyFormattedCitation":"(2)"},"properties":{"noteIndex":0},"schema":"https://github.com/citation-style-language/schema/raw/master/csl-citation.json"}</w:instrText>
      </w:r>
      <w:r w:rsidR="00555ED3">
        <w:fldChar w:fldCharType="separate"/>
      </w:r>
      <w:r w:rsidR="00555ED3" w:rsidRPr="00555ED3">
        <w:rPr>
          <w:noProof/>
        </w:rPr>
        <w:t>(2)</w:t>
      </w:r>
      <w:r w:rsidR="00555ED3">
        <w:fldChar w:fldCharType="end"/>
      </w:r>
      <w:r w:rsidR="009D573C">
        <w:t xml:space="preserve">. This has led to </w:t>
      </w:r>
      <w:r w:rsidR="00555ED3">
        <w:t>threat, insecurity</w:t>
      </w:r>
      <w:r w:rsidR="009D573C">
        <w:t xml:space="preserve">, and fear </w:t>
      </w:r>
      <w:r w:rsidR="00B85934">
        <w:t xml:space="preserve">of </w:t>
      </w:r>
      <w:r w:rsidR="009D573C">
        <w:t xml:space="preserve">constant scrutiny in the lives of doctors who after burning their midnight oil </w:t>
      </w:r>
      <w:r w:rsidR="004073CA">
        <w:t>and constant toiling have</w:t>
      </w:r>
      <w:r w:rsidR="009D573C">
        <w:t xml:space="preserve"> finally </w:t>
      </w:r>
      <w:r w:rsidR="004073CA">
        <w:t xml:space="preserve">been </w:t>
      </w:r>
      <w:r w:rsidR="009D573C">
        <w:t>able to practice.</w:t>
      </w:r>
      <w:r w:rsidR="00555ED3">
        <w:t xml:space="preserve"> </w:t>
      </w:r>
      <w:r w:rsidR="00B85934">
        <w:t>There are reports which state that only 15% of medical negligence cases are genuine, however more systematic studies are required</w:t>
      </w:r>
      <w:r w:rsidR="00B85934">
        <w:fldChar w:fldCharType="begin" w:fldLock="1"/>
      </w:r>
      <w:r w:rsidR="007067BB">
        <w:instrText>ADDIN CSL_CITATION {"citationItems":[{"id":"ITEM-1","itemData":{"URL":"https://timesofindia.indiatimes.com/city/gurgaon/only-15-medical-negligence-cases-genuine/articleshow/67579198.cms","accessed":{"date-parts":[["2020","10","10"]]},"id":"ITEM-1","issued":{"date-parts":[["0"]]},"title":"‘Only 15% medical negligence cases genuine’ | Gurgaon News - Times of India","type":"webpage"},"uris":["http://www.mendeley.com/documents/?uuid=df4d8527-52be-34dd-9e8f-a1db33ba8d07"]}],"mendeley":{"formattedCitation":"(3)","plainTextFormattedCitation":"(3)","previouslyFormattedCitation":"(3)"},"properties":{"noteIndex":0},"schema":"https://github.com/citation-style-language/schema/raw/master/csl-citation.json"}</w:instrText>
      </w:r>
      <w:r w:rsidR="00B85934">
        <w:fldChar w:fldCharType="separate"/>
      </w:r>
      <w:r w:rsidR="007067BB" w:rsidRPr="007067BB">
        <w:rPr>
          <w:noProof/>
        </w:rPr>
        <w:t>(3)</w:t>
      </w:r>
      <w:r w:rsidR="00B85934">
        <w:fldChar w:fldCharType="end"/>
      </w:r>
      <w:r w:rsidR="00B85934">
        <w:t xml:space="preserve">. </w:t>
      </w:r>
      <w:r w:rsidRPr="004E7471">
        <w:t>The Consumer Protection Act (CPA) in India was first pass</w:t>
      </w:r>
      <w:r w:rsidR="003172C2">
        <w:t xml:space="preserve">ed in 1986 with the rationale of promoting and protecting </w:t>
      </w:r>
      <w:r w:rsidRPr="004E7471">
        <w:t>the rights of the consumers</w:t>
      </w:r>
      <w:r w:rsidRPr="004E7471">
        <w:fldChar w:fldCharType="begin" w:fldLock="1"/>
      </w:r>
      <w:r w:rsidR="007067BB">
        <w:instrText>ADDIN CSL_CITATION {"citationItems":[{"id":"ITEM-1","itemData":{"URL":"http://legislative.gov.in/sites/default/files/A1986-68_0.pdf","accessed":{"date-parts":[["2020","8","6"]]},"id":"ITEM-1","issued":{"date-parts":[["0"]]},"title":"(No Title)","type":"webpage"},"uris":["http://www.mendeley.com/documents/?uuid=18bc6660-e563-33fe-bcde-be7b207f2704"]}],"mendeley":{"formattedCitation":"(4)","plainTextFormattedCitation":"(4)","previouslyFormattedCitation":"(4)"},"properties":{"noteIndex":0},"schema":"https://github.com/citation-style-language/schema/raw/master/csl-citation.json"}</w:instrText>
      </w:r>
      <w:r w:rsidRPr="004E7471">
        <w:fldChar w:fldCharType="separate"/>
      </w:r>
      <w:r w:rsidR="007067BB" w:rsidRPr="007067BB">
        <w:rPr>
          <w:noProof/>
        </w:rPr>
        <w:t>(4)</w:t>
      </w:r>
      <w:r w:rsidRPr="004E7471">
        <w:fldChar w:fldCharType="end"/>
      </w:r>
      <w:r w:rsidR="00437825">
        <w:t xml:space="preserve">. </w:t>
      </w:r>
      <w:r w:rsidRPr="004E7471">
        <w:t xml:space="preserve">For several years after the enforcement of CPA 1986, the country </w:t>
      </w:r>
      <w:r>
        <w:t>continued to witness</w:t>
      </w:r>
      <w:r w:rsidRPr="004E7471">
        <w:t xml:space="preserve"> a muddled stand on whether the medical profession came under </w:t>
      </w:r>
      <w:r w:rsidR="00B21059">
        <w:t>the ambit of the CPA 1986</w:t>
      </w:r>
      <w:r w:rsidRPr="004E7471">
        <w:fldChar w:fldCharType="begin" w:fldLock="1"/>
      </w:r>
      <w:r w:rsidR="007067BB">
        <w:instrText>ADDIN CSL_CITATION {"citationItems":[{"id":"ITEM-1","itemData":{"URL":"https://indiankanoon.org/doc/1595175/?type=print","accessed":{"date-parts":[["2020","7","31"]]},"id":"ITEM-1","issued":{"date-parts":[["0"]]},"title":"Dr. A.S. Chandra And Ors. vs Union Of India (Uoi) And Ors. on 17 April, 1992","type":"webpage"},"uris":["http://www.mendeley.com/documents/?uuid=611baff2-b47b-34eb-8908-497dd2f3bd45"]}],"mendeley":{"formattedCitation":"(5)","plainTextFormattedCitation":"(5)","previouslyFormattedCitation":"(5)"},"properties":{"noteIndex":0},"schema":"https://github.com/citation-style-language/schema/raw/master/csl-citation.json"}</w:instrText>
      </w:r>
      <w:r w:rsidRPr="004E7471">
        <w:fldChar w:fldCharType="separate"/>
      </w:r>
      <w:r w:rsidR="007067BB" w:rsidRPr="007067BB">
        <w:rPr>
          <w:noProof/>
        </w:rPr>
        <w:t>(5)</w:t>
      </w:r>
      <w:r w:rsidRPr="004E7471">
        <w:fldChar w:fldCharType="end"/>
      </w:r>
      <w:r w:rsidR="00732F93">
        <w:t>. In this</w:t>
      </w:r>
      <w:r w:rsidR="00732F93" w:rsidRPr="004E7471">
        <w:t xml:space="preserve"> legis</w:t>
      </w:r>
      <w:r w:rsidR="00732F93">
        <w:t>lation, medical service was</w:t>
      </w:r>
      <w:r w:rsidR="00732F93" w:rsidRPr="004E7471">
        <w:t xml:space="preserve"> not clearly excluded or included, hence a writ was filed in Supreme Court under Article 32 of the Constitution of India, to decide upon </w:t>
      </w:r>
      <w:r w:rsidR="00732F93">
        <w:t xml:space="preserve">the </w:t>
      </w:r>
      <w:r w:rsidR="00732F93" w:rsidRPr="004E7471">
        <w:t>Scope and Jurisdictio</w:t>
      </w:r>
      <w:r w:rsidR="00732F93">
        <w:t>n of the CPA</w:t>
      </w:r>
      <w:r w:rsidR="00732F93" w:rsidRPr="004E7471">
        <w:t xml:space="preserve"> 1986 conc</w:t>
      </w:r>
      <w:r w:rsidR="00732F93">
        <w:t xml:space="preserve">erning medical services. In this case, </w:t>
      </w:r>
      <w:r w:rsidR="00732F93" w:rsidRPr="004E7471">
        <w:rPr>
          <w:i/>
          <w:iCs/>
        </w:rPr>
        <w:t>Indian Med</w:t>
      </w:r>
      <w:r w:rsidR="00732F93">
        <w:rPr>
          <w:i/>
          <w:iCs/>
        </w:rPr>
        <w:t xml:space="preserve">ical Association v. V P Shantha, </w:t>
      </w:r>
      <w:r w:rsidR="00732F93" w:rsidRPr="004E7471">
        <w:t>the Honorable Supreme Court held that medical services</w:t>
      </w:r>
      <w:r w:rsidR="00AA5BAF">
        <w:t xml:space="preserve"> would be</w:t>
      </w:r>
      <w:r w:rsidR="00732F93" w:rsidRPr="004E7471">
        <w:t xml:space="preserve"> t</w:t>
      </w:r>
      <w:r w:rsidR="00732F93">
        <w:t>reated as services under CPA 1986 which led to t</w:t>
      </w:r>
      <w:r>
        <w:t xml:space="preserve">he </w:t>
      </w:r>
      <w:r w:rsidR="00B21059">
        <w:t>r</w:t>
      </w:r>
      <w:r w:rsidR="004073CA">
        <w:t>esolution of a long standing</w:t>
      </w:r>
      <w:r w:rsidR="00505289">
        <w:t xml:space="preserve"> conundrum</w:t>
      </w:r>
      <w:r w:rsidRPr="004E7471">
        <w:fldChar w:fldCharType="begin" w:fldLock="1"/>
      </w:r>
      <w:r w:rsidR="007067BB">
        <w:instrText>ADDIN CSL_CITATION {"citationItems":[{"id":"ITEM-1","itemData":{"URL":"https://indiankanoon.org/doc/723973/","accessed":{"date-parts":[["2020","7","29"]]},"id":"ITEM-1","issued":{"date-parts":[["0"]]},"title":"Indian Medical Association vs V.P. Shantha &amp; Ors on 13 November, 1995","type":"webpage"},"uris":["http://www.mendeley.com/documents/?uuid=77ad7995-99fc-31f9-a941-6d7bb38c686a"]}],"mendeley":{"formattedCitation":"(6)","plainTextFormattedCitation":"(6)","previouslyFormattedCitation":"(6)"},"properties":{"noteIndex":0},"schema":"https://github.com/citation-style-language/schema/raw/master/csl-citation.json"}</w:instrText>
      </w:r>
      <w:r w:rsidRPr="004E7471">
        <w:fldChar w:fldCharType="separate"/>
      </w:r>
      <w:r w:rsidR="007067BB" w:rsidRPr="007067BB">
        <w:rPr>
          <w:noProof/>
        </w:rPr>
        <w:t>(6)</w:t>
      </w:r>
      <w:r w:rsidRPr="004E7471">
        <w:fldChar w:fldCharType="end"/>
      </w:r>
      <w:r w:rsidRPr="004E7471">
        <w:t>. Thi</w:t>
      </w:r>
      <w:r w:rsidR="00B21059">
        <w:t xml:space="preserve">s landmark decision embarked on </w:t>
      </w:r>
      <w:r w:rsidRPr="004E7471">
        <w:t>the doctor-patien</w:t>
      </w:r>
      <w:r w:rsidR="00732F93">
        <w:t>t relationship as 'contractual'</w:t>
      </w:r>
      <w:r w:rsidR="00B21059">
        <w:fldChar w:fldCharType="begin" w:fldLock="1"/>
      </w:r>
      <w:r w:rsidR="007067BB">
        <w:instrText>ADDIN CSL_CITATION {"citationItems":[{"id":"ITEM-1","itemData":{"URL":"https://indiankanoon.org/doc/723973/","accessed":{"date-parts":[["2020","7","29"]]},"id":"ITEM-1","issued":{"date-parts":[["0"]]},"title":"Indian Medical Association vs V.P. Shantha &amp; Ors on 13 November, 1995","type":"webpage"},"uris":["http://www.mendeley.com/documents/?uuid=77ad7995-99fc-31f9-a941-6d7bb38c686a"]},{"id":"ITEM-2","itemData":{"author":[{"dropping-particle":"","family":"Mohanty","given":"Abhipsha","non-dropping-particle":"","parse-names":false,"suffix":""}],"id":"ITEM-2","issued":{"date-parts":[["0"]]},"title":"Medical Negligence under Consumer Protection Act: A Judicial Approach","type":"report"},"uris":["http://www.mendeley.com/documents/?uuid=62d31dd9-8cb0-3340-ad69-b4cd865ff42d"]}],"mendeley":{"formattedCitation":"(6,7)","plainTextFormattedCitation":"(6,7)","previouslyFormattedCitation":"(6,7)"},"properties":{"noteIndex":0},"schema":"https://github.com/citation-style-language/schema/raw/master/csl-citation.json"}</w:instrText>
      </w:r>
      <w:r w:rsidR="00B21059">
        <w:fldChar w:fldCharType="separate"/>
      </w:r>
      <w:r w:rsidR="007067BB" w:rsidRPr="007067BB">
        <w:rPr>
          <w:noProof/>
        </w:rPr>
        <w:t>(6,7)</w:t>
      </w:r>
      <w:r w:rsidR="00B21059">
        <w:fldChar w:fldCharType="end"/>
      </w:r>
      <w:r>
        <w:t xml:space="preserve">. With rapidly evolving technology and the need for a more comprehensive act, </w:t>
      </w:r>
      <w:r w:rsidRPr="004E7471">
        <w:t>CPA 2019</w:t>
      </w:r>
      <w:r w:rsidRPr="00A2506A">
        <w:t xml:space="preserve"> </w:t>
      </w:r>
      <w:r w:rsidRPr="004E7471">
        <w:t>received the assent of the President on 9</w:t>
      </w:r>
      <w:r w:rsidRPr="004E7471">
        <w:rPr>
          <w:vertAlign w:val="superscript"/>
        </w:rPr>
        <w:t>th</w:t>
      </w:r>
      <w:r w:rsidRPr="004E7471">
        <w:t xml:space="preserve"> August 2019 and </w:t>
      </w:r>
      <w:r>
        <w:t xml:space="preserve">was </w:t>
      </w:r>
      <w:r w:rsidRPr="004E7471">
        <w:t>made effective from 20</w:t>
      </w:r>
      <w:r w:rsidRPr="004E7471">
        <w:rPr>
          <w:vertAlign w:val="superscript"/>
        </w:rPr>
        <w:t>th</w:t>
      </w:r>
      <w:r w:rsidRPr="004E7471">
        <w:t xml:space="preserve"> J</w:t>
      </w:r>
      <w:r>
        <w:t>uly 2020</w:t>
      </w:r>
      <w:r w:rsidR="00AE2AEC">
        <w:t xml:space="preserve"> onwards</w:t>
      </w:r>
      <w:r>
        <w:t xml:space="preserve">. </w:t>
      </w:r>
      <w:r w:rsidRPr="004E7471">
        <w:t>In terms of the layout and provisions, there are several advances in the CPA 2019 compared to 1986. Some of these include changes in pecuniary jurisdiction, the introduction of Alternate Dispute Resolution (ADR) mechanisms, new provisions for litigation, the introduction of regulators such as the Central Consumer Protection Authority</w:t>
      </w:r>
      <w:r w:rsidR="00AE2AEC">
        <w:t xml:space="preserve"> </w:t>
      </w:r>
      <w:r w:rsidR="009B3E89">
        <w:t>(CCPA)</w:t>
      </w:r>
      <w:r w:rsidRPr="004E7471">
        <w:t>, and the institution of telemarketing.</w:t>
      </w:r>
      <w:r>
        <w:t xml:space="preserve"> </w:t>
      </w:r>
      <w:r w:rsidR="00AE2AEC">
        <w:t xml:space="preserve">This article discusses the scope and implications of these changes from a medical practitioners’ perspective on medical practice, health care services, patients, judiciary, and administration. </w:t>
      </w:r>
    </w:p>
    <w:p w14:paraId="6539002B" w14:textId="77777777" w:rsidR="00411C82" w:rsidRDefault="00411C82" w:rsidP="007D5FC0">
      <w:pPr>
        <w:spacing w:after="240"/>
        <w:jc w:val="both"/>
        <w:rPr>
          <w:b/>
        </w:rPr>
      </w:pPr>
    </w:p>
    <w:p w14:paraId="56C85F3D" w14:textId="77777777" w:rsidR="007662A2" w:rsidRPr="00437825" w:rsidRDefault="00347204" w:rsidP="007D5FC0">
      <w:pPr>
        <w:spacing w:after="240"/>
        <w:jc w:val="both"/>
      </w:pPr>
      <w:r w:rsidRPr="004E7471">
        <w:rPr>
          <w:b/>
        </w:rPr>
        <w:t xml:space="preserve">Medical profession-a </w:t>
      </w:r>
      <w:r w:rsidR="0070422C">
        <w:rPr>
          <w:b/>
        </w:rPr>
        <w:t>‘</w:t>
      </w:r>
      <w:r w:rsidRPr="004E7471">
        <w:rPr>
          <w:b/>
        </w:rPr>
        <w:t>service provider</w:t>
      </w:r>
      <w:r w:rsidR="0070422C">
        <w:rPr>
          <w:b/>
        </w:rPr>
        <w:t>’</w:t>
      </w:r>
      <w:r w:rsidR="00B642D4">
        <w:rPr>
          <w:b/>
        </w:rPr>
        <w:t xml:space="preserve"> under CPA 2019</w:t>
      </w:r>
      <w:r w:rsidRPr="004E7471">
        <w:rPr>
          <w:b/>
        </w:rPr>
        <w:t xml:space="preserve">? </w:t>
      </w:r>
    </w:p>
    <w:p w14:paraId="5FFA9D65" w14:textId="79C20463" w:rsidR="00F52C91" w:rsidRDefault="00347204" w:rsidP="007D5FC0">
      <w:pPr>
        <w:spacing w:after="240"/>
        <w:jc w:val="both"/>
      </w:pPr>
      <w:r>
        <w:t>The term “health services” was included in the definition of services in the draft bill of CPA 2019. However, this term was dropped from the final version of the law</w:t>
      </w:r>
      <w:r w:rsidR="00A96997">
        <w:fldChar w:fldCharType="begin" w:fldLock="1"/>
      </w:r>
      <w:r w:rsidR="007067BB">
        <w:instrText>ADDIN CSL_CITATION {"citationItems":[{"id":"ITEM-1","itemData":{"URL":"https://www.deccanchronicle.com/nation/current-affairs/080719/healthcare-to-be-out-of-consumer-courts.html","accessed":{"date-parts":[["2020","10","10"]]},"id":"ITEM-1","issued":{"date-parts":[["0"]]},"title":"Healthcare to be out of consumer courts","type":"webpage"},"uris":["http://www.mendeley.com/documents/?uuid=8459dd9c-9816-3ed1-94a1-5abf670507bb"]}],"mendeley":{"formattedCitation":"(8)","plainTextFormattedCitation":"(8)","previouslyFormattedCitation":"(8)"},"properties":{"noteIndex":0},"schema":"https://github.com/citation-style-language/schema/raw/master/csl-citation.json"}</w:instrText>
      </w:r>
      <w:r w:rsidR="00A96997">
        <w:fldChar w:fldCharType="separate"/>
      </w:r>
      <w:r w:rsidR="007067BB" w:rsidRPr="007067BB">
        <w:rPr>
          <w:noProof/>
        </w:rPr>
        <w:t>(8)</w:t>
      </w:r>
      <w:r w:rsidR="00A96997">
        <w:fldChar w:fldCharType="end"/>
      </w:r>
      <w:r>
        <w:t xml:space="preserve">. </w:t>
      </w:r>
      <w:r w:rsidR="00ED3EBB">
        <w:t>The conundrum of applicability of CPA 2019</w:t>
      </w:r>
      <w:r w:rsidR="007662A2" w:rsidRPr="004E7471">
        <w:t xml:space="preserve"> </w:t>
      </w:r>
      <w:r w:rsidR="0027303F">
        <w:t xml:space="preserve">to medical services </w:t>
      </w:r>
      <w:r w:rsidR="007662A2" w:rsidRPr="004E7471">
        <w:t>a</w:t>
      </w:r>
      <w:r w:rsidR="009A7FDC">
        <w:t>rose mainl</w:t>
      </w:r>
      <w:r>
        <w:t>y due to this reason</w:t>
      </w:r>
      <w:r w:rsidR="007662A2" w:rsidRPr="004E7471">
        <w:t>.</w:t>
      </w:r>
      <w:r>
        <w:t xml:space="preserve"> </w:t>
      </w:r>
      <w:r w:rsidR="00441EC7">
        <w:t>However, the</w:t>
      </w:r>
      <w:r w:rsidR="00AA5BAF">
        <w:t xml:space="preserve"> </w:t>
      </w:r>
      <w:r w:rsidR="007662A2" w:rsidRPr="004E7471">
        <w:t>definition of serv</w:t>
      </w:r>
      <w:r w:rsidR="00C563E1">
        <w:t>ices under section 2(</w:t>
      </w:r>
      <w:r w:rsidR="007662A2" w:rsidRPr="004E7471">
        <w:t>42</w:t>
      </w:r>
      <w:r w:rsidR="00C563E1">
        <w:t>)</w:t>
      </w:r>
      <w:r w:rsidR="009A7FDC">
        <w:t xml:space="preserve"> of CPA 2019 is </w:t>
      </w:r>
      <w:r w:rsidR="007662A2" w:rsidRPr="00F52C91">
        <w:t>"inclusive" and categorically excludes only two types of services</w:t>
      </w:r>
      <w:r w:rsidR="00AA5BAF">
        <w:t xml:space="preserve"> i.e., those which are free and</w:t>
      </w:r>
      <w:r w:rsidR="007662A2" w:rsidRPr="004E7471">
        <w:t xml:space="preserve"> those which are “</w:t>
      </w:r>
      <w:r w:rsidR="009A7FDC">
        <w:t xml:space="preserve">personal”. However, </w:t>
      </w:r>
      <w:r w:rsidR="007662A2" w:rsidRPr="004E7471">
        <w:t xml:space="preserve">"free" services provided by a hospital or doctor would still fall under the ambit of the CPA if other patients pay for the </w:t>
      </w:r>
      <w:r w:rsidR="00AA5BAF">
        <w:t xml:space="preserve">same </w:t>
      </w:r>
      <w:r w:rsidR="007662A2" w:rsidRPr="004E7471">
        <w:t>service</w:t>
      </w:r>
      <w:r w:rsidR="007662A2" w:rsidRPr="004E7471">
        <w:fldChar w:fldCharType="begin" w:fldLock="1"/>
      </w:r>
      <w:r w:rsidR="007067BB">
        <w:instrText>ADDIN CSL_CITATION {"citationItems":[{"id":"ITEM-1","itemData":{"DOI":"10.4103/0970-1591.56206","ISSN":"09701591","abstract":"A patient approaching a doctor expects medical treatment with all the knowledge and skill that the doctor possesses to bring relief to his medical problem. The relationship takes the shape of a contract retaining the essential elements of tort. A doctor owes certain duties to his patient and a breach of any of these duties gives a cause of action for negligence against the doctor. The doctor has a duty to obtain prior informed consent from the patient before carrying out diagnostic tests and therapeutic management. The services of the doctors are covered under the provisions of the Consumer Protection Act, 1986 and a patient can seek redressal of grievances from the Consumer Courts. Case laws are an important source of law in adjudicating various issues of negligence arising out of medical treatment.","author":[{"dropping-particle":"","family":"Pandit","given":"M. S.","non-dropping-particle":"","parse-names":false,"suffix":""},{"dropping-particle":"","family":"Pandit","given":"Shobha","non-dropping-particle":"","parse-names":false,"suffix":""}],"container-title":"Indian Journal of Urology","id":"ITEM-1","issue":"3","issued":{"date-parts":[["2009","7","1"]]},"page":"372-378","publisher":"Wolters Kluwer -- Medknow Publications","title":"Medical negligence: Coverage of the profession, duties, ethics, case law, and enlightened defense - A legal perspective","type":"paper-conference","volume":"25"},"uris":["http://www.mendeley.com/documents/?uuid=0056b3f6-62ad-3769-a0ca-c0d03fc6f585"]}],"mendeley":{"formattedCitation":"(9)","plainTextFormattedCitation":"(9)","previouslyFormattedCitation":"(9)"},"properties":{"noteIndex":0},"schema":"https://github.com/citation-style-language/schema/raw/master/csl-citation.json"}</w:instrText>
      </w:r>
      <w:r w:rsidR="007662A2" w:rsidRPr="004E7471">
        <w:fldChar w:fldCharType="separate"/>
      </w:r>
      <w:r w:rsidR="007067BB" w:rsidRPr="007067BB">
        <w:rPr>
          <w:noProof/>
        </w:rPr>
        <w:t>(9)</w:t>
      </w:r>
      <w:r w:rsidR="007662A2" w:rsidRPr="004E7471">
        <w:fldChar w:fldCharType="end"/>
      </w:r>
      <w:r w:rsidR="007662A2" w:rsidRPr="004E7471">
        <w:t>. Regarding personal services</w:t>
      </w:r>
      <w:r w:rsidR="009A7FDC">
        <w:t>,</w:t>
      </w:r>
      <w:r w:rsidR="007662A2" w:rsidRPr="004E7471">
        <w:t xml:space="preserve"> the “contract for personal services” is different from the “contract of personal services”. The former deals with a contract wer</w:t>
      </w:r>
      <w:r w:rsidR="00ED3EBB">
        <w:t>e the provision of service depends on</w:t>
      </w:r>
      <w:r w:rsidR="007662A2" w:rsidRPr="004E7471">
        <w:t xml:space="preserve"> one's skill, knowledge, and discretion (ex: doctor-patient relationship) while the latter deals w</w:t>
      </w:r>
      <w:r w:rsidR="009A7FDC">
        <w:t>ith the provision of services that involves</w:t>
      </w:r>
      <w:r w:rsidR="007662A2" w:rsidRPr="004E7471">
        <w:t xml:space="preserve"> obeyin</w:t>
      </w:r>
      <w:r w:rsidR="00ED3EBB">
        <w:t>g orders to perform an assigned job</w:t>
      </w:r>
      <w:r w:rsidR="007662A2" w:rsidRPr="004E7471">
        <w:t xml:space="preserve"> (ex: Cha</w:t>
      </w:r>
      <w:r w:rsidR="009A7FDC">
        <w:t>uffer-master relationship). “C</w:t>
      </w:r>
      <w:r w:rsidR="009A7FDC" w:rsidRPr="004E7471">
        <w:t>ontract of personal services”</w:t>
      </w:r>
      <w:r w:rsidR="007662A2" w:rsidRPr="004E7471">
        <w:t xml:space="preserve"> does not come under the ambit of the CPA 2019</w:t>
      </w:r>
      <w:r w:rsidR="007662A2" w:rsidRPr="004E7471">
        <w:fldChar w:fldCharType="begin" w:fldLock="1"/>
      </w:r>
      <w:r w:rsidR="007067BB">
        <w:instrText>ADDIN CSL_CITATION {"citationItems":[{"id":"ITEM-1","itemData":{"author":[{"dropping-particle":"","family":"Mohanty","given":"Abhipsha","non-dropping-particle":"","parse-names":false,"suffix":""}],"id":"ITEM-1","issued":{"date-parts":[["0"]]},"title":"Medical Negligence under Consumer Protection Act: A Judicial Approach","type":"report"},"uris":["http://www.mendeley.com/documents/?uuid=62d31dd9-8cb0-3340-ad69-b4cd865ff42d"]}],"mendeley":{"formattedCitation":"(7)","plainTextFormattedCitation":"(7)","previouslyFormattedCitation":"(7)"},"properties":{"noteIndex":0},"schema":"https://github.com/citation-style-language/schema/raw/master/csl-citation.json"}</w:instrText>
      </w:r>
      <w:r w:rsidR="007662A2" w:rsidRPr="004E7471">
        <w:fldChar w:fldCharType="separate"/>
      </w:r>
      <w:r w:rsidR="007067BB" w:rsidRPr="007067BB">
        <w:rPr>
          <w:noProof/>
        </w:rPr>
        <w:t>(7)</w:t>
      </w:r>
      <w:r w:rsidR="007662A2" w:rsidRPr="004E7471">
        <w:fldChar w:fldCharType="end"/>
      </w:r>
      <w:r w:rsidR="00441EC7">
        <w:t>. Therefore, s</w:t>
      </w:r>
      <w:r w:rsidR="007662A2" w:rsidRPr="004E7471">
        <w:t>ervice of any descrip</w:t>
      </w:r>
      <w:r w:rsidR="00ED3EBB">
        <w:t>tion</w:t>
      </w:r>
      <w:r w:rsidR="00AA5BAF">
        <w:t>, with the above exceptions</w:t>
      </w:r>
      <w:r w:rsidR="00ED3EBB">
        <w:t xml:space="preserve">, </w:t>
      </w:r>
      <w:r w:rsidR="00AA5BAF">
        <w:t>comes under CPA 2019 which includes</w:t>
      </w:r>
      <w:r w:rsidR="007662A2" w:rsidRPr="004E7471">
        <w:t xml:space="preserve"> the medical profession and health care services.</w:t>
      </w:r>
      <w:r w:rsidR="009B3E89">
        <w:t xml:space="preserve"> </w:t>
      </w:r>
      <w:r w:rsidR="00441EC7">
        <w:t>Also, t</w:t>
      </w:r>
      <w:r w:rsidR="00ED3EBB" w:rsidRPr="004E7471">
        <w:t>he Supreme Court Judgment still upholds its decision of the </w:t>
      </w:r>
      <w:r w:rsidR="00ED3EBB" w:rsidRPr="00B45BB7">
        <w:rPr>
          <w:rStyle w:val="Emphasis"/>
          <w:color w:val="0E101A"/>
        </w:rPr>
        <w:t>Indian Medical Association v. V P Shantha </w:t>
      </w:r>
      <w:r w:rsidR="00ED3EBB" w:rsidRPr="004E7471">
        <w:t>case with regards to the inclusion of doctors in the CPA and hence it is the law of the land. </w:t>
      </w:r>
      <w:r w:rsidR="00B642D4">
        <w:t>After 1996, there have been a series of Supreme Court j</w:t>
      </w:r>
      <w:r w:rsidR="00AA5BAF">
        <w:t xml:space="preserve">udgments </w:t>
      </w:r>
      <w:r>
        <w:t>under CPA 1986 which have withheld</w:t>
      </w:r>
      <w:r w:rsidR="00AA5BAF">
        <w:t xml:space="preserve"> </w:t>
      </w:r>
      <w:r w:rsidR="00AA5BAF">
        <w:lastRenderedPageBreak/>
        <w:t>the same</w:t>
      </w:r>
      <w:r w:rsidR="00ED3EBB" w:rsidRPr="004E7471">
        <w:t>. However, if the medical profession wants to b</w:t>
      </w:r>
      <w:r w:rsidR="00B642D4">
        <w:t>e outside the purview of this act</w:t>
      </w:r>
      <w:r w:rsidR="00AA5BAF">
        <w:t>, then the following</w:t>
      </w:r>
      <w:r w:rsidR="00ED3EBB" w:rsidRPr="004E7471">
        <w:t xml:space="preserve"> requirements</w:t>
      </w:r>
      <w:r w:rsidR="00AA5BAF">
        <w:t xml:space="preserve"> should be fulfilled</w:t>
      </w:r>
      <w:r w:rsidR="00B642D4">
        <w:t>:</w:t>
      </w:r>
      <w:r w:rsidR="00ED3EBB">
        <w:t xml:space="preserve"> </w:t>
      </w:r>
      <w:r w:rsidR="009B3E89">
        <w:t>(a) Amendment of the act categorically excluding</w:t>
      </w:r>
      <w:r w:rsidR="00ED3EBB" w:rsidRPr="004E7471">
        <w:t xml:space="preserve"> healthcare services</w:t>
      </w:r>
      <w:r w:rsidR="00B642D4">
        <w:t>, and/or (b) t</w:t>
      </w:r>
      <w:r w:rsidR="00ED3EBB" w:rsidRPr="004E7471">
        <w:t>he Supreme Court, in its interpretation of</w:t>
      </w:r>
      <w:r w:rsidR="00B642D4">
        <w:t xml:space="preserve"> the new legislation, may </w:t>
      </w:r>
      <w:r w:rsidR="00ED3EBB" w:rsidRPr="004E7471">
        <w:t>consider keeping the healthcare ser</w:t>
      </w:r>
      <w:r w:rsidR="00B642D4">
        <w:t>vices outside the purview of this</w:t>
      </w:r>
      <w:r w:rsidR="00ED3EBB" w:rsidRPr="004E7471">
        <w:t xml:space="preserve"> act.</w:t>
      </w:r>
      <w:r w:rsidR="002A0DAF">
        <w:t xml:space="preserve"> </w:t>
      </w:r>
      <w:r w:rsidR="007067BB">
        <w:t xml:space="preserve">There are a few studies that have assessed the awareness of the CPA 1986 among doctors and medical students. These studies have reported that even though a majority of the doctors are aware of the existence of CPA 1986, its scope and implications are understood only by a few </w:t>
      </w:r>
      <w:r w:rsidR="007067BB">
        <w:fldChar w:fldCharType="begin" w:fldLock="1"/>
      </w:r>
      <w:r w:rsidR="007067BB">
        <w:instrText>ADDIN CSL_CITATION {"citationItems":[{"id":"ITEM-1","itemData":{"ISSN":"2008-2185","PMID":"21998771","abstract":"OBJECTIVE To compare the awareness of provisions of consumer protection act among dental and medical professionals in Udaipur city, Rajasthan, India. MATERIALS AND METHODS In a cross sectional study, a total of 448 professionals (253 males, 195 females) belonging to dental (222) and medical (226) categories were surveyed using a self administered structured questionnaire. The questionnaire comprised of 22 questions about the awareness of consumer protection art (CPA) and whether these professionals were following the recommendations of CPA. The student's t-test, ANOVA test, and Scheffe's test were used as tests of significance. RESULTS The awareness scores were significantly higher for medical professionals compared with those of dental professionals. Similarly, postgraduates showed more awareness in both the professions and it was found that private practitioners significantly have more awareness than the academic sector. CONCLUSION Though medical professionals have more awareness of CPA compared to dental professionals, considering the present scenario, better knowledge of CPA is necessary for both professionals in order to be on the safer side.","author":[{"dropping-particle":"","family":"Singh","given":"K","non-dropping-particle":"","parse-names":false,"suffix":""},{"dropping-particle":"","family":"Shetty","given":"S","non-dropping-particle":"","parse-names":false,"suffix":""},{"dropping-particle":"","family":"Bhat","given":"N","non-dropping-particle":"","parse-names":false,"suffix":""},{"dropping-particle":"","family":"Sharda","given":"A","non-dropping-particle":"","parse-names":false,"suffix":""},{"dropping-particle":"","family":"Agrawal","given":"A","non-dropping-particle":"","parse-names":false,"suffix":""},{"dropping-particle":"","family":"Chaudhary","given":"H","non-dropping-particle":"","parse-names":false,"suffix":""}],"container-title":"Journal of dentistry (Tehran, Iran)","id":"ITEM-1","issue":"1","issued":{"date-parts":[["2010"]]},"page":"19-23","publisher":"Tehran University of Medical Sciences","title":"Awareness of Consumer Protection Act among Doctors in Udaipur City, India.","type":"article-journal","volume":"7"},"uris":["http://www.mendeley.com/documents/?uuid=d8701124-413b-3d9e-b8de-3b4dd30a93f2"]},{"id":"ITEM-2","itemData":{"URL":"http://www.mlam.in/pdf/currentissue/awareness-about-consumer-protection-act-among-junior-doctors.pdf","accessed":{"date-parts":[["2020","10","10"]]},"id":"ITEM-2","issued":{"date-parts":[["0"]]},"title":"(No Title)","type":"webpage"},"uris":["http://www.mendeley.com/documents/?uuid=0e10bf58-d725-3717-8bab-ce6c7f29b0c0"]}],"mendeley":{"formattedCitation":"(10,11)","plainTextFormattedCitation":"(10,11)"},"properties":{"noteIndex":0},"schema":"https://github.com/citation-style-language/schema/raw/master/csl-citation.json"}</w:instrText>
      </w:r>
      <w:r w:rsidR="007067BB">
        <w:fldChar w:fldCharType="separate"/>
      </w:r>
      <w:r w:rsidR="007067BB" w:rsidRPr="007067BB">
        <w:rPr>
          <w:noProof/>
        </w:rPr>
        <w:t>of them(10,11)</w:t>
      </w:r>
      <w:r w:rsidR="007067BB">
        <w:fldChar w:fldCharType="end"/>
      </w:r>
      <w:r w:rsidR="007067BB">
        <w:t xml:space="preserve">. </w:t>
      </w:r>
    </w:p>
    <w:p w14:paraId="2C751DA9" w14:textId="77777777" w:rsidR="00411C82" w:rsidRDefault="00411C82" w:rsidP="007D5FC0">
      <w:pPr>
        <w:spacing w:after="240"/>
        <w:jc w:val="both"/>
        <w:rPr>
          <w:b/>
        </w:rPr>
      </w:pPr>
    </w:p>
    <w:p w14:paraId="23FF9A70" w14:textId="37685B07" w:rsidR="009B3E89" w:rsidRDefault="00347204" w:rsidP="007D5FC0">
      <w:pPr>
        <w:spacing w:after="240"/>
        <w:jc w:val="both"/>
      </w:pPr>
      <w:r w:rsidRPr="004E7471">
        <w:rPr>
          <w:b/>
        </w:rPr>
        <w:t xml:space="preserve">CPA 1986 vs. </w:t>
      </w:r>
      <w:r w:rsidR="00AB243E">
        <w:rPr>
          <w:b/>
        </w:rPr>
        <w:t xml:space="preserve">CPA </w:t>
      </w:r>
      <w:r w:rsidRPr="004E7471">
        <w:rPr>
          <w:b/>
        </w:rPr>
        <w:t xml:space="preserve">2019: what’s new? </w:t>
      </w:r>
    </w:p>
    <w:p w14:paraId="1FD47D73" w14:textId="68DC6E76" w:rsidR="009B3E89" w:rsidRDefault="00347204" w:rsidP="007D5FC0">
      <w:pPr>
        <w:spacing w:after="240"/>
        <w:jc w:val="both"/>
      </w:pPr>
      <w:r>
        <w:t>Table</w:t>
      </w:r>
      <w:r w:rsidR="00B642D4">
        <w:t xml:space="preserve"> 1 provides a comprehensive summary </w:t>
      </w:r>
      <w:r w:rsidR="007662A2" w:rsidRPr="004E7471">
        <w:t>of the importan</w:t>
      </w:r>
      <w:r w:rsidR="00B642D4">
        <w:t>t changes in the CPA 2019</w:t>
      </w:r>
      <w:r w:rsidR="00C847A1">
        <w:t>. These include:</w:t>
      </w:r>
      <w:r w:rsidRPr="004E7471">
        <w:t xml:space="preserve"> (a) having broader objectives and definitions, (b) greater description of the </w:t>
      </w:r>
      <w:r>
        <w:t xml:space="preserve">Act </w:t>
      </w:r>
      <w:r w:rsidR="00C847A1">
        <w:t>compared to CPA 1986</w:t>
      </w:r>
      <w:r w:rsidRPr="004E7471">
        <w:t>, (c</w:t>
      </w:r>
      <w:r>
        <w:t xml:space="preserve">) </w:t>
      </w:r>
      <w:r w:rsidR="00C847A1">
        <w:t>introduction of regulatory bodies</w:t>
      </w:r>
      <w:r>
        <w:t xml:space="preserve"> such as the CCPA</w:t>
      </w:r>
      <w:r w:rsidRPr="004E7471">
        <w:t>,</w:t>
      </w:r>
      <w:r w:rsidR="00C847A1">
        <w:t xml:space="preserve"> (d) introduction</w:t>
      </w:r>
      <w:r>
        <w:t xml:space="preserve"> of</w:t>
      </w:r>
      <w:r w:rsidR="00C847A1">
        <w:t xml:space="preserve"> and/or changes in </w:t>
      </w:r>
      <w:r w:rsidRPr="004E7471">
        <w:t>e-commerce, telemarketing, unfair contract, product liability, pecuniary jurisdiction, mediation, regulations on advertisements, video-conferencing for he</w:t>
      </w:r>
      <w:r w:rsidR="00C847A1">
        <w:t xml:space="preserve">arings, offences and penalties. CPA 2019 provides an expanded </w:t>
      </w:r>
      <w:r w:rsidR="00C847A1" w:rsidRPr="004E7471">
        <w:t>definition of 'consumer' to include any per</w:t>
      </w:r>
      <w:r w:rsidR="00B05F2C">
        <w:t>son who ‘buys any goods’ and ‘</w:t>
      </w:r>
      <w:r w:rsidR="00C847A1" w:rsidRPr="00F52C91">
        <w:rPr>
          <w:bCs/>
        </w:rPr>
        <w:t>hires or avails any services</w:t>
      </w:r>
      <w:r w:rsidR="00B05F2C">
        <w:t>’</w:t>
      </w:r>
      <w:r w:rsidR="00C847A1" w:rsidRPr="004E7471">
        <w:t xml:space="preserve"> which includes offline or online transactions through electronic means or by teleshopping or direct se</w:t>
      </w:r>
      <w:r w:rsidR="00C847A1">
        <w:t xml:space="preserve">lling or multi-level marketing. </w:t>
      </w:r>
      <w:r w:rsidRPr="004E7471">
        <w:t>The introduction of e-commerce appears to be a glaring advancement and perhaps acted as an impetus for the CPA 2019.</w:t>
      </w:r>
      <w:r>
        <w:t xml:space="preserve"> T</w:t>
      </w:r>
      <w:r w:rsidR="00C847A1">
        <w:t xml:space="preserve">elemedicine services also come under the ambit of CPA 2019. </w:t>
      </w:r>
      <w:r w:rsidR="00C45813">
        <w:t xml:space="preserve">This may have a serious impact on the growth of telemedicine in our country. </w:t>
      </w:r>
      <w:r w:rsidR="00B91D56">
        <w:t xml:space="preserve">Further, all doctors are mandated to provide </w:t>
      </w:r>
      <w:r w:rsidR="00A63512">
        <w:t xml:space="preserve">a </w:t>
      </w:r>
      <w:r w:rsidR="00B91D56">
        <w:t>receipt or</w:t>
      </w:r>
      <w:r w:rsidR="00A63512">
        <w:t xml:space="preserve"> a</w:t>
      </w:r>
      <w:r w:rsidR="00B91D56">
        <w:t xml:space="preserve"> bill </w:t>
      </w:r>
      <w:r w:rsidR="00A63512">
        <w:t>for the</w:t>
      </w:r>
      <w:r w:rsidR="00B91D56">
        <w:t xml:space="preserve"> payment</w:t>
      </w:r>
      <w:r w:rsidR="00E652A5">
        <w:t xml:space="preserve"> obtained</w:t>
      </w:r>
      <w:r w:rsidR="00B91D56">
        <w:t xml:space="preserve"> </w:t>
      </w:r>
      <w:r w:rsidR="00A63512">
        <w:t>for the</w:t>
      </w:r>
      <w:r w:rsidR="00E652A5">
        <w:t>ir</w:t>
      </w:r>
      <w:r w:rsidR="00B91D56">
        <w:t xml:space="preserve"> service</w:t>
      </w:r>
      <w:r w:rsidR="00E652A5">
        <w:t>s</w:t>
      </w:r>
      <w:r w:rsidR="00B91D56">
        <w:t xml:space="preserve"> (consultation)</w:t>
      </w:r>
      <w:r w:rsidR="00E652A5">
        <w:t xml:space="preserve">. This is required for </w:t>
      </w:r>
      <w:r w:rsidR="00B91D56">
        <w:t>both</w:t>
      </w:r>
      <w:r w:rsidR="00E652A5">
        <w:t xml:space="preserve"> the </w:t>
      </w:r>
      <w:r w:rsidR="00B91D56">
        <w:t>in-person</w:t>
      </w:r>
      <w:r w:rsidR="00E652A5">
        <w:t xml:space="preserve"> and tele-medcine</w:t>
      </w:r>
      <w:r w:rsidR="00B91D56">
        <w:t xml:space="preserve"> consult</w:t>
      </w:r>
      <w:r w:rsidR="00E652A5">
        <w:t>ation</w:t>
      </w:r>
      <w:r w:rsidR="00B91D56">
        <w:t>. If it is not provided, it shall be deemed to be</w:t>
      </w:r>
      <w:r w:rsidR="00E652A5">
        <w:t xml:space="preserve"> an</w:t>
      </w:r>
      <w:r w:rsidR="00B91D56">
        <w:t xml:space="preserve"> unfair trade practice. </w:t>
      </w:r>
    </w:p>
    <w:p w14:paraId="35DD788C" w14:textId="77777777" w:rsidR="001E6975" w:rsidRDefault="001E6975" w:rsidP="007D5FC0">
      <w:pPr>
        <w:spacing w:after="160" w:line="259" w:lineRule="auto"/>
        <w:jc w:val="both"/>
        <w:rPr>
          <w:b/>
        </w:rPr>
      </w:pPr>
    </w:p>
    <w:p w14:paraId="0C666F8D" w14:textId="77777777" w:rsidR="007662A2" w:rsidRPr="00A34EAD" w:rsidRDefault="00347204" w:rsidP="007D5FC0">
      <w:pPr>
        <w:spacing w:after="160" w:line="259" w:lineRule="auto"/>
        <w:jc w:val="both"/>
      </w:pPr>
      <w:r w:rsidRPr="004E7471">
        <w:rPr>
          <w:b/>
        </w:rPr>
        <w:t>Table 1: Comparison of the CPA 1986 with CPA 2020</w:t>
      </w:r>
    </w:p>
    <w:tbl>
      <w:tblPr>
        <w:tblStyle w:val="TableGrid"/>
        <w:tblW w:w="0" w:type="auto"/>
        <w:tblLook w:val="04A0" w:firstRow="1" w:lastRow="0" w:firstColumn="1" w:lastColumn="0" w:noHBand="0" w:noVBand="1"/>
      </w:tblPr>
      <w:tblGrid>
        <w:gridCol w:w="666"/>
        <w:gridCol w:w="1371"/>
        <w:gridCol w:w="3436"/>
        <w:gridCol w:w="3543"/>
      </w:tblGrid>
      <w:tr w:rsidR="00026596" w14:paraId="23D9F92B" w14:textId="77777777" w:rsidTr="00C5334C">
        <w:tc>
          <w:tcPr>
            <w:tcW w:w="0" w:type="auto"/>
          </w:tcPr>
          <w:p w14:paraId="50D21BC9" w14:textId="77777777" w:rsidR="007662A2" w:rsidRPr="00F52121" w:rsidRDefault="00347204" w:rsidP="007D5FC0">
            <w:pPr>
              <w:jc w:val="both"/>
              <w:rPr>
                <w:b/>
                <w:sz w:val="21"/>
                <w:szCs w:val="21"/>
              </w:rPr>
            </w:pPr>
            <w:r w:rsidRPr="00F52121">
              <w:rPr>
                <w:b/>
                <w:sz w:val="21"/>
                <w:szCs w:val="21"/>
              </w:rPr>
              <w:t>Sl.no</w:t>
            </w:r>
          </w:p>
        </w:tc>
        <w:tc>
          <w:tcPr>
            <w:tcW w:w="0" w:type="auto"/>
          </w:tcPr>
          <w:p w14:paraId="2780C444" w14:textId="77777777" w:rsidR="007662A2" w:rsidRPr="00F52121" w:rsidRDefault="00347204" w:rsidP="007D5FC0">
            <w:pPr>
              <w:jc w:val="both"/>
              <w:rPr>
                <w:b/>
                <w:sz w:val="21"/>
                <w:szCs w:val="21"/>
              </w:rPr>
            </w:pPr>
            <w:r w:rsidRPr="00F52121">
              <w:rPr>
                <w:b/>
                <w:sz w:val="21"/>
                <w:szCs w:val="21"/>
              </w:rPr>
              <w:t>Areas</w:t>
            </w:r>
          </w:p>
        </w:tc>
        <w:tc>
          <w:tcPr>
            <w:tcW w:w="3436" w:type="dxa"/>
          </w:tcPr>
          <w:p w14:paraId="11F61ACE" w14:textId="77777777" w:rsidR="007662A2" w:rsidRPr="00F52121" w:rsidRDefault="00347204" w:rsidP="007D5FC0">
            <w:pPr>
              <w:jc w:val="both"/>
              <w:rPr>
                <w:b/>
                <w:sz w:val="21"/>
                <w:szCs w:val="21"/>
              </w:rPr>
            </w:pPr>
            <w:r w:rsidRPr="00F52121">
              <w:rPr>
                <w:b/>
                <w:sz w:val="21"/>
                <w:szCs w:val="21"/>
              </w:rPr>
              <w:t>CPA, 1986</w:t>
            </w:r>
          </w:p>
        </w:tc>
        <w:tc>
          <w:tcPr>
            <w:tcW w:w="3543" w:type="dxa"/>
          </w:tcPr>
          <w:p w14:paraId="296F09DC" w14:textId="77777777" w:rsidR="007662A2" w:rsidRPr="00F52121" w:rsidRDefault="00347204" w:rsidP="007D5FC0">
            <w:pPr>
              <w:jc w:val="both"/>
              <w:rPr>
                <w:b/>
                <w:sz w:val="21"/>
                <w:szCs w:val="21"/>
              </w:rPr>
            </w:pPr>
            <w:r w:rsidRPr="00F52121">
              <w:rPr>
                <w:b/>
                <w:sz w:val="21"/>
                <w:szCs w:val="21"/>
              </w:rPr>
              <w:t>CPA, 2019</w:t>
            </w:r>
          </w:p>
        </w:tc>
      </w:tr>
      <w:tr w:rsidR="00026596" w14:paraId="706EF662" w14:textId="77777777" w:rsidTr="00C5334C">
        <w:tc>
          <w:tcPr>
            <w:tcW w:w="0" w:type="auto"/>
          </w:tcPr>
          <w:p w14:paraId="7C389B98" w14:textId="77777777" w:rsidR="007662A2" w:rsidRPr="00F52121" w:rsidRDefault="00347204" w:rsidP="007D5FC0">
            <w:pPr>
              <w:jc w:val="both"/>
              <w:rPr>
                <w:sz w:val="21"/>
                <w:szCs w:val="21"/>
              </w:rPr>
            </w:pPr>
            <w:r w:rsidRPr="00F52121">
              <w:rPr>
                <w:sz w:val="21"/>
                <w:szCs w:val="21"/>
              </w:rPr>
              <w:t>1</w:t>
            </w:r>
          </w:p>
        </w:tc>
        <w:tc>
          <w:tcPr>
            <w:tcW w:w="0" w:type="auto"/>
          </w:tcPr>
          <w:p w14:paraId="22B6002B" w14:textId="77777777" w:rsidR="007662A2" w:rsidRPr="00F52121" w:rsidRDefault="00347204" w:rsidP="007D5FC0">
            <w:pPr>
              <w:jc w:val="both"/>
              <w:rPr>
                <w:sz w:val="21"/>
                <w:szCs w:val="21"/>
              </w:rPr>
            </w:pPr>
            <w:r w:rsidRPr="00F52121">
              <w:rPr>
                <w:sz w:val="21"/>
                <w:szCs w:val="21"/>
              </w:rPr>
              <w:t>Objectives</w:t>
            </w:r>
          </w:p>
        </w:tc>
        <w:tc>
          <w:tcPr>
            <w:tcW w:w="3436" w:type="dxa"/>
          </w:tcPr>
          <w:p w14:paraId="3B314577" w14:textId="77777777" w:rsidR="007662A2" w:rsidRPr="00F52121" w:rsidRDefault="00347204" w:rsidP="007D5FC0">
            <w:pPr>
              <w:jc w:val="both"/>
              <w:rPr>
                <w:sz w:val="21"/>
                <w:szCs w:val="21"/>
              </w:rPr>
            </w:pPr>
            <w:r w:rsidRPr="00F52121">
              <w:rPr>
                <w:sz w:val="21"/>
                <w:szCs w:val="21"/>
              </w:rPr>
              <w:t>Better protection of the interests of consumers.</w:t>
            </w:r>
          </w:p>
          <w:p w14:paraId="6C42C9E2" w14:textId="77777777" w:rsidR="007662A2" w:rsidRPr="00F52121" w:rsidRDefault="00347204" w:rsidP="007D5FC0">
            <w:pPr>
              <w:jc w:val="both"/>
              <w:rPr>
                <w:sz w:val="21"/>
                <w:szCs w:val="21"/>
              </w:rPr>
            </w:pPr>
            <w:r w:rsidRPr="00F52121">
              <w:rPr>
                <w:sz w:val="21"/>
                <w:szCs w:val="21"/>
              </w:rPr>
              <w:t>Establishment of consumer councils for the settlement of disputes.</w:t>
            </w:r>
          </w:p>
        </w:tc>
        <w:tc>
          <w:tcPr>
            <w:tcW w:w="3543" w:type="dxa"/>
          </w:tcPr>
          <w:p w14:paraId="5947D345" w14:textId="77777777" w:rsidR="007662A2" w:rsidRPr="00F52121" w:rsidRDefault="00347204" w:rsidP="007D5FC0">
            <w:pPr>
              <w:jc w:val="both"/>
              <w:rPr>
                <w:sz w:val="21"/>
                <w:szCs w:val="21"/>
              </w:rPr>
            </w:pPr>
            <w:r w:rsidRPr="00F52121">
              <w:rPr>
                <w:sz w:val="21"/>
                <w:szCs w:val="21"/>
              </w:rPr>
              <w:t>Protection of the interests of the consumers.</w:t>
            </w:r>
          </w:p>
          <w:p w14:paraId="3380D4C2" w14:textId="77777777" w:rsidR="007662A2" w:rsidRPr="00F52121" w:rsidRDefault="00347204" w:rsidP="007D5FC0">
            <w:pPr>
              <w:jc w:val="both"/>
              <w:rPr>
                <w:sz w:val="21"/>
                <w:szCs w:val="21"/>
              </w:rPr>
            </w:pPr>
            <w:r w:rsidRPr="00F52121">
              <w:rPr>
                <w:sz w:val="21"/>
                <w:szCs w:val="21"/>
              </w:rPr>
              <w:t>Establish authorities for timely and effective administration.</w:t>
            </w:r>
          </w:p>
        </w:tc>
      </w:tr>
      <w:tr w:rsidR="00026596" w14:paraId="2E87D182" w14:textId="77777777" w:rsidTr="00C5334C">
        <w:tc>
          <w:tcPr>
            <w:tcW w:w="0" w:type="auto"/>
          </w:tcPr>
          <w:p w14:paraId="6BEEFA9F" w14:textId="77777777" w:rsidR="007662A2" w:rsidRPr="00F52121" w:rsidRDefault="00347204" w:rsidP="007D5FC0">
            <w:pPr>
              <w:jc w:val="both"/>
              <w:rPr>
                <w:sz w:val="21"/>
                <w:szCs w:val="21"/>
              </w:rPr>
            </w:pPr>
            <w:r w:rsidRPr="00F52121">
              <w:rPr>
                <w:sz w:val="21"/>
                <w:szCs w:val="21"/>
              </w:rPr>
              <w:t>2</w:t>
            </w:r>
          </w:p>
        </w:tc>
        <w:tc>
          <w:tcPr>
            <w:tcW w:w="0" w:type="auto"/>
          </w:tcPr>
          <w:p w14:paraId="4A118AB1" w14:textId="77777777" w:rsidR="007662A2" w:rsidRPr="00F52121" w:rsidRDefault="00347204" w:rsidP="007D5FC0">
            <w:pPr>
              <w:jc w:val="both"/>
              <w:rPr>
                <w:sz w:val="21"/>
                <w:szCs w:val="21"/>
              </w:rPr>
            </w:pPr>
            <w:r w:rsidRPr="00F52121">
              <w:rPr>
                <w:sz w:val="21"/>
                <w:szCs w:val="21"/>
              </w:rPr>
              <w:t>Number of Chapters</w:t>
            </w:r>
          </w:p>
        </w:tc>
        <w:tc>
          <w:tcPr>
            <w:tcW w:w="3436" w:type="dxa"/>
          </w:tcPr>
          <w:p w14:paraId="1E02758E" w14:textId="77777777" w:rsidR="007662A2" w:rsidRPr="00F52121" w:rsidRDefault="00347204" w:rsidP="007D5FC0">
            <w:pPr>
              <w:jc w:val="both"/>
              <w:rPr>
                <w:sz w:val="21"/>
                <w:szCs w:val="21"/>
              </w:rPr>
            </w:pPr>
            <w:r w:rsidRPr="00F52121">
              <w:rPr>
                <w:sz w:val="21"/>
                <w:szCs w:val="21"/>
              </w:rPr>
              <w:t>4</w:t>
            </w:r>
          </w:p>
        </w:tc>
        <w:tc>
          <w:tcPr>
            <w:tcW w:w="3543" w:type="dxa"/>
          </w:tcPr>
          <w:p w14:paraId="5F64867A" w14:textId="77777777" w:rsidR="007662A2" w:rsidRPr="00F52121" w:rsidRDefault="00347204" w:rsidP="007D5FC0">
            <w:pPr>
              <w:jc w:val="both"/>
              <w:rPr>
                <w:sz w:val="21"/>
                <w:szCs w:val="21"/>
              </w:rPr>
            </w:pPr>
            <w:r w:rsidRPr="00F52121">
              <w:rPr>
                <w:sz w:val="21"/>
                <w:szCs w:val="21"/>
              </w:rPr>
              <w:t>8</w:t>
            </w:r>
          </w:p>
        </w:tc>
      </w:tr>
      <w:tr w:rsidR="00026596" w14:paraId="2A0A3B05" w14:textId="77777777" w:rsidTr="00C5334C">
        <w:tc>
          <w:tcPr>
            <w:tcW w:w="0" w:type="auto"/>
          </w:tcPr>
          <w:p w14:paraId="2B7D443D" w14:textId="77777777" w:rsidR="007662A2" w:rsidRPr="00F52121" w:rsidRDefault="00347204" w:rsidP="007D5FC0">
            <w:pPr>
              <w:jc w:val="both"/>
              <w:rPr>
                <w:sz w:val="21"/>
                <w:szCs w:val="21"/>
              </w:rPr>
            </w:pPr>
            <w:r w:rsidRPr="00F52121">
              <w:rPr>
                <w:sz w:val="21"/>
                <w:szCs w:val="21"/>
              </w:rPr>
              <w:t>3</w:t>
            </w:r>
          </w:p>
        </w:tc>
        <w:tc>
          <w:tcPr>
            <w:tcW w:w="0" w:type="auto"/>
          </w:tcPr>
          <w:p w14:paraId="7FAFB418" w14:textId="77777777" w:rsidR="007662A2" w:rsidRPr="00F52121" w:rsidRDefault="00347204" w:rsidP="007D5FC0">
            <w:pPr>
              <w:jc w:val="both"/>
              <w:rPr>
                <w:sz w:val="21"/>
                <w:szCs w:val="21"/>
              </w:rPr>
            </w:pPr>
            <w:r w:rsidRPr="00F52121">
              <w:rPr>
                <w:sz w:val="21"/>
                <w:szCs w:val="21"/>
              </w:rPr>
              <w:t>Number of Sections</w:t>
            </w:r>
          </w:p>
        </w:tc>
        <w:tc>
          <w:tcPr>
            <w:tcW w:w="3436" w:type="dxa"/>
          </w:tcPr>
          <w:p w14:paraId="129CF80E" w14:textId="77777777" w:rsidR="007662A2" w:rsidRPr="00F52121" w:rsidRDefault="00347204" w:rsidP="007D5FC0">
            <w:pPr>
              <w:jc w:val="both"/>
              <w:rPr>
                <w:sz w:val="21"/>
                <w:szCs w:val="21"/>
              </w:rPr>
            </w:pPr>
            <w:r w:rsidRPr="00F52121">
              <w:rPr>
                <w:sz w:val="21"/>
                <w:szCs w:val="21"/>
              </w:rPr>
              <w:t>31</w:t>
            </w:r>
          </w:p>
        </w:tc>
        <w:tc>
          <w:tcPr>
            <w:tcW w:w="3543" w:type="dxa"/>
          </w:tcPr>
          <w:p w14:paraId="2AE4E3F7" w14:textId="77777777" w:rsidR="007662A2" w:rsidRPr="00F52121" w:rsidRDefault="00347204" w:rsidP="007D5FC0">
            <w:pPr>
              <w:jc w:val="both"/>
              <w:rPr>
                <w:sz w:val="21"/>
                <w:szCs w:val="21"/>
              </w:rPr>
            </w:pPr>
            <w:r w:rsidRPr="00F52121">
              <w:rPr>
                <w:sz w:val="21"/>
                <w:szCs w:val="21"/>
              </w:rPr>
              <w:t>107</w:t>
            </w:r>
          </w:p>
        </w:tc>
      </w:tr>
      <w:tr w:rsidR="00026596" w14:paraId="7C0C5912" w14:textId="77777777" w:rsidTr="00C5334C">
        <w:tc>
          <w:tcPr>
            <w:tcW w:w="0" w:type="auto"/>
          </w:tcPr>
          <w:p w14:paraId="658702CF" w14:textId="77777777" w:rsidR="007662A2" w:rsidRPr="00F52121" w:rsidRDefault="00347204" w:rsidP="007D5FC0">
            <w:pPr>
              <w:jc w:val="both"/>
              <w:rPr>
                <w:sz w:val="21"/>
                <w:szCs w:val="21"/>
              </w:rPr>
            </w:pPr>
            <w:r w:rsidRPr="00F52121">
              <w:rPr>
                <w:sz w:val="21"/>
                <w:szCs w:val="21"/>
              </w:rPr>
              <w:t>4</w:t>
            </w:r>
          </w:p>
        </w:tc>
        <w:tc>
          <w:tcPr>
            <w:tcW w:w="0" w:type="auto"/>
          </w:tcPr>
          <w:p w14:paraId="0783B0CB" w14:textId="77777777" w:rsidR="007662A2" w:rsidRPr="00F52121" w:rsidRDefault="00347204" w:rsidP="007D5FC0">
            <w:pPr>
              <w:jc w:val="both"/>
              <w:rPr>
                <w:sz w:val="21"/>
                <w:szCs w:val="21"/>
              </w:rPr>
            </w:pPr>
            <w:r w:rsidRPr="00F52121">
              <w:rPr>
                <w:sz w:val="21"/>
                <w:szCs w:val="21"/>
              </w:rPr>
              <w:t>Change in nomenclature</w:t>
            </w:r>
          </w:p>
        </w:tc>
        <w:tc>
          <w:tcPr>
            <w:tcW w:w="3436" w:type="dxa"/>
          </w:tcPr>
          <w:p w14:paraId="62221D4E" w14:textId="77777777" w:rsidR="007662A2" w:rsidRPr="00F52121" w:rsidRDefault="00347204" w:rsidP="007D5FC0">
            <w:pPr>
              <w:jc w:val="both"/>
              <w:rPr>
                <w:sz w:val="21"/>
                <w:szCs w:val="21"/>
              </w:rPr>
            </w:pPr>
            <w:r w:rsidRPr="00F52121">
              <w:rPr>
                <w:sz w:val="21"/>
                <w:szCs w:val="21"/>
              </w:rPr>
              <w:t>District Forum</w:t>
            </w:r>
          </w:p>
        </w:tc>
        <w:tc>
          <w:tcPr>
            <w:tcW w:w="3543" w:type="dxa"/>
          </w:tcPr>
          <w:p w14:paraId="51CB3711" w14:textId="77777777" w:rsidR="007662A2" w:rsidRPr="00F52121" w:rsidRDefault="00347204" w:rsidP="007D5FC0">
            <w:pPr>
              <w:jc w:val="both"/>
              <w:rPr>
                <w:sz w:val="21"/>
                <w:szCs w:val="21"/>
              </w:rPr>
            </w:pPr>
            <w:r w:rsidRPr="00F52121">
              <w:rPr>
                <w:sz w:val="21"/>
                <w:szCs w:val="21"/>
              </w:rPr>
              <w:t>District commission</w:t>
            </w:r>
          </w:p>
        </w:tc>
      </w:tr>
      <w:tr w:rsidR="00026596" w14:paraId="482A3DD0" w14:textId="77777777" w:rsidTr="00C5334C">
        <w:tc>
          <w:tcPr>
            <w:tcW w:w="0" w:type="auto"/>
          </w:tcPr>
          <w:p w14:paraId="00C1F5D6" w14:textId="77777777" w:rsidR="007662A2" w:rsidRPr="00F52121" w:rsidRDefault="00347204" w:rsidP="007D5FC0">
            <w:pPr>
              <w:jc w:val="both"/>
              <w:rPr>
                <w:sz w:val="21"/>
                <w:szCs w:val="21"/>
              </w:rPr>
            </w:pPr>
            <w:r w:rsidRPr="00F52121">
              <w:rPr>
                <w:sz w:val="21"/>
                <w:szCs w:val="21"/>
              </w:rPr>
              <w:t>5</w:t>
            </w:r>
          </w:p>
        </w:tc>
        <w:tc>
          <w:tcPr>
            <w:tcW w:w="0" w:type="auto"/>
          </w:tcPr>
          <w:p w14:paraId="2C00D49B" w14:textId="77777777" w:rsidR="007662A2" w:rsidRPr="00F52121" w:rsidRDefault="00347204" w:rsidP="007D5FC0">
            <w:pPr>
              <w:jc w:val="both"/>
              <w:rPr>
                <w:sz w:val="21"/>
                <w:szCs w:val="21"/>
              </w:rPr>
            </w:pPr>
            <w:r w:rsidRPr="00F52121">
              <w:rPr>
                <w:sz w:val="21"/>
                <w:szCs w:val="21"/>
              </w:rPr>
              <w:t>Regulator</w:t>
            </w:r>
          </w:p>
        </w:tc>
        <w:tc>
          <w:tcPr>
            <w:tcW w:w="3436" w:type="dxa"/>
          </w:tcPr>
          <w:p w14:paraId="36E90B30" w14:textId="77777777" w:rsidR="007662A2" w:rsidRPr="00F52121" w:rsidRDefault="00347204" w:rsidP="007D5FC0">
            <w:pPr>
              <w:jc w:val="both"/>
              <w:rPr>
                <w:sz w:val="21"/>
                <w:szCs w:val="21"/>
              </w:rPr>
            </w:pPr>
            <w:r w:rsidRPr="00F52121">
              <w:rPr>
                <w:sz w:val="21"/>
                <w:szCs w:val="21"/>
              </w:rPr>
              <w:t>No separate regulator</w:t>
            </w:r>
          </w:p>
        </w:tc>
        <w:tc>
          <w:tcPr>
            <w:tcW w:w="3543" w:type="dxa"/>
          </w:tcPr>
          <w:p w14:paraId="255EFD5A" w14:textId="77777777" w:rsidR="007662A2" w:rsidRPr="00F52121" w:rsidRDefault="00347204" w:rsidP="007D5FC0">
            <w:pPr>
              <w:jc w:val="both"/>
              <w:rPr>
                <w:sz w:val="21"/>
                <w:szCs w:val="21"/>
              </w:rPr>
            </w:pPr>
            <w:r w:rsidRPr="00F52121">
              <w:rPr>
                <w:sz w:val="21"/>
                <w:szCs w:val="21"/>
              </w:rPr>
              <w:t>Central Consumer Protection Authority</w:t>
            </w:r>
          </w:p>
        </w:tc>
      </w:tr>
      <w:tr w:rsidR="00026596" w14:paraId="2A0F5FFD" w14:textId="77777777" w:rsidTr="00C5334C">
        <w:tc>
          <w:tcPr>
            <w:tcW w:w="0" w:type="auto"/>
          </w:tcPr>
          <w:p w14:paraId="17921F6B" w14:textId="77777777" w:rsidR="007662A2" w:rsidRPr="00F52121" w:rsidRDefault="00347204" w:rsidP="007D5FC0">
            <w:pPr>
              <w:jc w:val="both"/>
              <w:rPr>
                <w:sz w:val="21"/>
                <w:szCs w:val="21"/>
              </w:rPr>
            </w:pPr>
            <w:r w:rsidRPr="00F52121">
              <w:rPr>
                <w:sz w:val="21"/>
                <w:szCs w:val="21"/>
              </w:rPr>
              <w:t>6</w:t>
            </w:r>
          </w:p>
        </w:tc>
        <w:tc>
          <w:tcPr>
            <w:tcW w:w="0" w:type="auto"/>
          </w:tcPr>
          <w:p w14:paraId="5BCC10F4" w14:textId="77777777" w:rsidR="007662A2" w:rsidRPr="00F52121" w:rsidRDefault="00347204" w:rsidP="007D5FC0">
            <w:pPr>
              <w:jc w:val="both"/>
              <w:rPr>
                <w:sz w:val="21"/>
                <w:szCs w:val="21"/>
              </w:rPr>
            </w:pPr>
            <w:r w:rsidRPr="00F52121">
              <w:rPr>
                <w:sz w:val="21"/>
                <w:szCs w:val="21"/>
              </w:rPr>
              <w:t>Relevant newer inclusions</w:t>
            </w:r>
          </w:p>
        </w:tc>
        <w:tc>
          <w:tcPr>
            <w:tcW w:w="3436" w:type="dxa"/>
          </w:tcPr>
          <w:p w14:paraId="3EB34C9D" w14:textId="77777777" w:rsidR="007662A2" w:rsidRPr="00F52121" w:rsidRDefault="00347204" w:rsidP="007D5FC0">
            <w:pPr>
              <w:jc w:val="both"/>
              <w:rPr>
                <w:sz w:val="21"/>
                <w:szCs w:val="21"/>
              </w:rPr>
            </w:pPr>
            <w:r w:rsidRPr="00F52121">
              <w:rPr>
                <w:sz w:val="21"/>
                <w:szCs w:val="21"/>
              </w:rPr>
              <w:t>Not applicable</w:t>
            </w:r>
          </w:p>
        </w:tc>
        <w:tc>
          <w:tcPr>
            <w:tcW w:w="3543" w:type="dxa"/>
          </w:tcPr>
          <w:p w14:paraId="7F8EF30E" w14:textId="77777777" w:rsidR="007662A2" w:rsidRPr="00F52121" w:rsidRDefault="00347204" w:rsidP="007D5FC0">
            <w:pPr>
              <w:jc w:val="both"/>
              <w:rPr>
                <w:sz w:val="21"/>
                <w:szCs w:val="21"/>
              </w:rPr>
            </w:pPr>
            <w:r w:rsidRPr="00F52121">
              <w:rPr>
                <w:sz w:val="21"/>
                <w:szCs w:val="21"/>
              </w:rPr>
              <w:t>E-commerce, telemarketing, Unfair contract, product liability, pecuniary jurisdiction, mediation, endorsement of goods, misleading advertisements, offence and penalties</w:t>
            </w:r>
          </w:p>
        </w:tc>
      </w:tr>
      <w:tr w:rsidR="00026596" w14:paraId="2014D1C3" w14:textId="77777777" w:rsidTr="00C5334C">
        <w:tc>
          <w:tcPr>
            <w:tcW w:w="0" w:type="auto"/>
          </w:tcPr>
          <w:p w14:paraId="2AE24926" w14:textId="77777777" w:rsidR="007662A2" w:rsidRPr="00F52121" w:rsidRDefault="00347204" w:rsidP="007D5FC0">
            <w:pPr>
              <w:jc w:val="both"/>
              <w:rPr>
                <w:sz w:val="21"/>
                <w:szCs w:val="21"/>
              </w:rPr>
            </w:pPr>
            <w:r w:rsidRPr="00F52121">
              <w:rPr>
                <w:sz w:val="21"/>
                <w:szCs w:val="21"/>
              </w:rPr>
              <w:t>7</w:t>
            </w:r>
          </w:p>
        </w:tc>
        <w:tc>
          <w:tcPr>
            <w:tcW w:w="0" w:type="auto"/>
          </w:tcPr>
          <w:p w14:paraId="461D0149" w14:textId="77777777" w:rsidR="007662A2" w:rsidRPr="00F52121" w:rsidRDefault="00347204" w:rsidP="007D5FC0">
            <w:pPr>
              <w:jc w:val="both"/>
              <w:rPr>
                <w:sz w:val="21"/>
                <w:szCs w:val="21"/>
              </w:rPr>
            </w:pPr>
            <w:r w:rsidRPr="00F52121">
              <w:rPr>
                <w:sz w:val="21"/>
                <w:szCs w:val="21"/>
              </w:rPr>
              <w:t>Complainant</w:t>
            </w:r>
          </w:p>
        </w:tc>
        <w:tc>
          <w:tcPr>
            <w:tcW w:w="3436" w:type="dxa"/>
          </w:tcPr>
          <w:p w14:paraId="61C71620" w14:textId="77777777" w:rsidR="007662A2" w:rsidRPr="00F52121" w:rsidRDefault="00347204" w:rsidP="007D5FC0">
            <w:pPr>
              <w:jc w:val="both"/>
              <w:rPr>
                <w:sz w:val="21"/>
                <w:szCs w:val="21"/>
              </w:rPr>
            </w:pPr>
            <w:r w:rsidRPr="00F52121">
              <w:rPr>
                <w:sz w:val="21"/>
                <w:szCs w:val="21"/>
              </w:rPr>
              <w:t>As defined</w:t>
            </w:r>
          </w:p>
        </w:tc>
        <w:tc>
          <w:tcPr>
            <w:tcW w:w="3543" w:type="dxa"/>
          </w:tcPr>
          <w:p w14:paraId="2DA8A3D7" w14:textId="77777777" w:rsidR="007662A2" w:rsidRPr="00F52121" w:rsidRDefault="00347204" w:rsidP="007D5FC0">
            <w:pPr>
              <w:jc w:val="both"/>
              <w:rPr>
                <w:sz w:val="21"/>
                <w:szCs w:val="21"/>
              </w:rPr>
            </w:pPr>
            <w:r w:rsidRPr="00F52121">
              <w:rPr>
                <w:sz w:val="21"/>
                <w:szCs w:val="21"/>
              </w:rPr>
              <w:t>The extended definition includes:</w:t>
            </w:r>
          </w:p>
          <w:p w14:paraId="39A23D42" w14:textId="77777777" w:rsidR="007662A2" w:rsidRPr="00F52121" w:rsidRDefault="00347204" w:rsidP="007D5FC0">
            <w:pPr>
              <w:jc w:val="both"/>
              <w:rPr>
                <w:sz w:val="21"/>
                <w:szCs w:val="21"/>
              </w:rPr>
            </w:pPr>
            <w:r w:rsidRPr="00F52121">
              <w:rPr>
                <w:sz w:val="21"/>
                <w:szCs w:val="21"/>
              </w:rPr>
              <w:t>In case of a minor, his parent or legal guardian</w:t>
            </w:r>
          </w:p>
        </w:tc>
      </w:tr>
      <w:tr w:rsidR="00026596" w14:paraId="6505AFC8" w14:textId="77777777" w:rsidTr="00C5334C">
        <w:tc>
          <w:tcPr>
            <w:tcW w:w="0" w:type="auto"/>
          </w:tcPr>
          <w:p w14:paraId="59BFF5F0" w14:textId="77777777" w:rsidR="007662A2" w:rsidRPr="00F52121" w:rsidRDefault="00347204" w:rsidP="007D5FC0">
            <w:pPr>
              <w:jc w:val="both"/>
              <w:rPr>
                <w:sz w:val="21"/>
                <w:szCs w:val="21"/>
              </w:rPr>
            </w:pPr>
            <w:r w:rsidRPr="00F52121">
              <w:rPr>
                <w:sz w:val="21"/>
                <w:szCs w:val="21"/>
              </w:rPr>
              <w:lastRenderedPageBreak/>
              <w:t>8</w:t>
            </w:r>
          </w:p>
        </w:tc>
        <w:tc>
          <w:tcPr>
            <w:tcW w:w="0" w:type="auto"/>
          </w:tcPr>
          <w:p w14:paraId="344AD8B2" w14:textId="77777777" w:rsidR="007662A2" w:rsidRPr="00F52121" w:rsidRDefault="00347204" w:rsidP="007D5FC0">
            <w:pPr>
              <w:jc w:val="both"/>
              <w:rPr>
                <w:sz w:val="21"/>
                <w:szCs w:val="21"/>
              </w:rPr>
            </w:pPr>
            <w:r w:rsidRPr="00F52121">
              <w:rPr>
                <w:sz w:val="21"/>
                <w:szCs w:val="21"/>
              </w:rPr>
              <w:t>Deficiency</w:t>
            </w:r>
          </w:p>
        </w:tc>
        <w:tc>
          <w:tcPr>
            <w:tcW w:w="3436" w:type="dxa"/>
          </w:tcPr>
          <w:p w14:paraId="3667FCB5" w14:textId="77777777" w:rsidR="007662A2" w:rsidRPr="00F52121" w:rsidRDefault="00347204" w:rsidP="007D5FC0">
            <w:pPr>
              <w:jc w:val="both"/>
              <w:rPr>
                <w:sz w:val="21"/>
                <w:szCs w:val="21"/>
              </w:rPr>
            </w:pPr>
            <w:r w:rsidRPr="00F52121">
              <w:rPr>
                <w:sz w:val="21"/>
                <w:szCs w:val="21"/>
              </w:rPr>
              <w:t xml:space="preserve">As defined </w:t>
            </w:r>
          </w:p>
        </w:tc>
        <w:tc>
          <w:tcPr>
            <w:tcW w:w="3543" w:type="dxa"/>
          </w:tcPr>
          <w:p w14:paraId="4E566FA3" w14:textId="77777777" w:rsidR="007662A2" w:rsidRPr="00F52121" w:rsidRDefault="00347204" w:rsidP="007D5FC0">
            <w:pPr>
              <w:jc w:val="both"/>
              <w:rPr>
                <w:sz w:val="21"/>
                <w:szCs w:val="21"/>
              </w:rPr>
            </w:pPr>
            <w:r w:rsidRPr="00F52121">
              <w:rPr>
                <w:sz w:val="21"/>
                <w:szCs w:val="21"/>
              </w:rPr>
              <w:t>The extended definition includes: Deliberate withholding of relevant information</w:t>
            </w:r>
          </w:p>
        </w:tc>
      </w:tr>
      <w:tr w:rsidR="00026596" w14:paraId="480F6693" w14:textId="77777777" w:rsidTr="00C5334C">
        <w:tc>
          <w:tcPr>
            <w:tcW w:w="0" w:type="auto"/>
          </w:tcPr>
          <w:p w14:paraId="26357741" w14:textId="77777777" w:rsidR="007662A2" w:rsidRPr="00F52121" w:rsidRDefault="00347204" w:rsidP="007D5FC0">
            <w:pPr>
              <w:jc w:val="both"/>
              <w:rPr>
                <w:sz w:val="21"/>
                <w:szCs w:val="21"/>
              </w:rPr>
            </w:pPr>
            <w:r w:rsidRPr="00F52121">
              <w:rPr>
                <w:sz w:val="21"/>
                <w:szCs w:val="21"/>
              </w:rPr>
              <w:t>9</w:t>
            </w:r>
          </w:p>
        </w:tc>
        <w:tc>
          <w:tcPr>
            <w:tcW w:w="0" w:type="auto"/>
          </w:tcPr>
          <w:p w14:paraId="6C2CCC28" w14:textId="77777777" w:rsidR="007662A2" w:rsidRPr="00F52121" w:rsidRDefault="00347204" w:rsidP="007D5FC0">
            <w:pPr>
              <w:jc w:val="both"/>
              <w:rPr>
                <w:sz w:val="21"/>
                <w:szCs w:val="21"/>
              </w:rPr>
            </w:pPr>
            <w:r w:rsidRPr="00F52121">
              <w:rPr>
                <w:sz w:val="21"/>
                <w:szCs w:val="21"/>
              </w:rPr>
              <w:t>Unfair contract</w:t>
            </w:r>
          </w:p>
        </w:tc>
        <w:tc>
          <w:tcPr>
            <w:tcW w:w="3436" w:type="dxa"/>
          </w:tcPr>
          <w:p w14:paraId="0DA108AE" w14:textId="77777777" w:rsidR="007662A2" w:rsidRPr="00F52121" w:rsidRDefault="00347204" w:rsidP="007D5FC0">
            <w:pPr>
              <w:jc w:val="both"/>
              <w:rPr>
                <w:sz w:val="21"/>
                <w:szCs w:val="21"/>
              </w:rPr>
            </w:pPr>
            <w:r w:rsidRPr="00F52121">
              <w:rPr>
                <w:sz w:val="21"/>
                <w:szCs w:val="21"/>
              </w:rPr>
              <w:t>Not defined</w:t>
            </w:r>
          </w:p>
        </w:tc>
        <w:tc>
          <w:tcPr>
            <w:tcW w:w="3543" w:type="dxa"/>
          </w:tcPr>
          <w:p w14:paraId="75D6AF48" w14:textId="77777777" w:rsidR="007662A2" w:rsidRPr="00F52121" w:rsidRDefault="00347204" w:rsidP="007D5FC0">
            <w:pPr>
              <w:jc w:val="both"/>
              <w:rPr>
                <w:sz w:val="21"/>
                <w:szCs w:val="21"/>
              </w:rPr>
            </w:pPr>
            <w:r w:rsidRPr="00F52121">
              <w:rPr>
                <w:sz w:val="21"/>
                <w:szCs w:val="21"/>
              </w:rPr>
              <w:t>Includes: imposing on the consumer any unreasonable charge, obligation, or condition which puts such consumer at a disadvantage</w:t>
            </w:r>
          </w:p>
        </w:tc>
      </w:tr>
      <w:tr w:rsidR="00026596" w14:paraId="0310C769" w14:textId="77777777" w:rsidTr="00C5334C">
        <w:tc>
          <w:tcPr>
            <w:tcW w:w="0" w:type="auto"/>
          </w:tcPr>
          <w:p w14:paraId="11DEF457" w14:textId="77777777" w:rsidR="007662A2" w:rsidRPr="00F52121" w:rsidRDefault="00347204" w:rsidP="007D5FC0">
            <w:pPr>
              <w:jc w:val="both"/>
              <w:rPr>
                <w:sz w:val="21"/>
                <w:szCs w:val="21"/>
              </w:rPr>
            </w:pPr>
            <w:r w:rsidRPr="00F52121">
              <w:rPr>
                <w:sz w:val="21"/>
                <w:szCs w:val="21"/>
              </w:rPr>
              <w:t>10</w:t>
            </w:r>
          </w:p>
        </w:tc>
        <w:tc>
          <w:tcPr>
            <w:tcW w:w="0" w:type="auto"/>
          </w:tcPr>
          <w:p w14:paraId="31506667" w14:textId="77777777" w:rsidR="007662A2" w:rsidRPr="00F52121" w:rsidRDefault="00347204" w:rsidP="007D5FC0">
            <w:pPr>
              <w:jc w:val="both"/>
              <w:rPr>
                <w:sz w:val="21"/>
                <w:szCs w:val="21"/>
              </w:rPr>
            </w:pPr>
            <w:r w:rsidRPr="00F52121">
              <w:rPr>
                <w:sz w:val="21"/>
                <w:szCs w:val="21"/>
              </w:rPr>
              <w:t>Product liability</w:t>
            </w:r>
          </w:p>
        </w:tc>
        <w:tc>
          <w:tcPr>
            <w:tcW w:w="3436" w:type="dxa"/>
          </w:tcPr>
          <w:p w14:paraId="74754B1E" w14:textId="77777777" w:rsidR="007662A2" w:rsidRPr="00F52121" w:rsidRDefault="00347204" w:rsidP="007D5FC0">
            <w:pPr>
              <w:jc w:val="both"/>
              <w:rPr>
                <w:sz w:val="21"/>
                <w:szCs w:val="21"/>
              </w:rPr>
            </w:pPr>
            <w:r w:rsidRPr="00F52121">
              <w:rPr>
                <w:sz w:val="21"/>
                <w:szCs w:val="21"/>
              </w:rPr>
              <w:t>No provision in the consumer court</w:t>
            </w:r>
          </w:p>
        </w:tc>
        <w:tc>
          <w:tcPr>
            <w:tcW w:w="3543" w:type="dxa"/>
          </w:tcPr>
          <w:p w14:paraId="52CFA599" w14:textId="77777777" w:rsidR="007662A2" w:rsidRPr="00F52121" w:rsidRDefault="00347204" w:rsidP="007D5FC0">
            <w:pPr>
              <w:jc w:val="both"/>
              <w:rPr>
                <w:sz w:val="21"/>
                <w:szCs w:val="21"/>
              </w:rPr>
            </w:pPr>
            <w:r w:rsidRPr="00F52121">
              <w:rPr>
                <w:sz w:val="21"/>
                <w:szCs w:val="21"/>
              </w:rPr>
              <w:t>Compensation available for product liability</w:t>
            </w:r>
          </w:p>
        </w:tc>
      </w:tr>
      <w:tr w:rsidR="00026596" w14:paraId="0F062296" w14:textId="77777777" w:rsidTr="00C5334C">
        <w:tc>
          <w:tcPr>
            <w:tcW w:w="0" w:type="auto"/>
          </w:tcPr>
          <w:p w14:paraId="35BEBF0B" w14:textId="77777777" w:rsidR="007662A2" w:rsidRPr="00F52121" w:rsidRDefault="00347204" w:rsidP="007D5FC0">
            <w:pPr>
              <w:jc w:val="both"/>
              <w:rPr>
                <w:sz w:val="21"/>
                <w:szCs w:val="21"/>
              </w:rPr>
            </w:pPr>
            <w:r w:rsidRPr="00F52121">
              <w:rPr>
                <w:sz w:val="21"/>
                <w:szCs w:val="21"/>
              </w:rPr>
              <w:t>11</w:t>
            </w:r>
          </w:p>
        </w:tc>
        <w:tc>
          <w:tcPr>
            <w:tcW w:w="0" w:type="auto"/>
          </w:tcPr>
          <w:p w14:paraId="71B3CFCE" w14:textId="77777777" w:rsidR="007662A2" w:rsidRPr="00F52121" w:rsidRDefault="00347204" w:rsidP="007D5FC0">
            <w:pPr>
              <w:jc w:val="both"/>
              <w:rPr>
                <w:sz w:val="21"/>
                <w:szCs w:val="21"/>
              </w:rPr>
            </w:pPr>
            <w:r w:rsidRPr="00F52121">
              <w:rPr>
                <w:sz w:val="21"/>
                <w:szCs w:val="21"/>
              </w:rPr>
              <w:t>Consumer rights</w:t>
            </w:r>
          </w:p>
        </w:tc>
        <w:tc>
          <w:tcPr>
            <w:tcW w:w="3436" w:type="dxa"/>
          </w:tcPr>
          <w:p w14:paraId="1A37F545" w14:textId="77777777" w:rsidR="007662A2" w:rsidRPr="00F52121" w:rsidRDefault="00347204" w:rsidP="007D5FC0">
            <w:pPr>
              <w:jc w:val="both"/>
              <w:rPr>
                <w:sz w:val="21"/>
                <w:szCs w:val="21"/>
              </w:rPr>
            </w:pPr>
            <w:r w:rsidRPr="00F52121">
              <w:rPr>
                <w:sz w:val="21"/>
                <w:szCs w:val="21"/>
              </w:rPr>
              <w:t>As defined</w:t>
            </w:r>
          </w:p>
        </w:tc>
        <w:tc>
          <w:tcPr>
            <w:tcW w:w="3543" w:type="dxa"/>
          </w:tcPr>
          <w:p w14:paraId="6FC90D0A" w14:textId="77777777" w:rsidR="007662A2" w:rsidRPr="00F52121" w:rsidRDefault="00347204" w:rsidP="007D5FC0">
            <w:pPr>
              <w:jc w:val="both"/>
              <w:rPr>
                <w:sz w:val="21"/>
                <w:szCs w:val="21"/>
              </w:rPr>
            </w:pPr>
            <w:r w:rsidRPr="00F52121">
              <w:rPr>
                <w:sz w:val="21"/>
                <w:szCs w:val="21"/>
              </w:rPr>
              <w:t>Addition of rights: protection, informed, assured, be heard, redressal, and consumer awareness</w:t>
            </w:r>
          </w:p>
        </w:tc>
      </w:tr>
      <w:tr w:rsidR="00026596" w14:paraId="3A7A9E6E" w14:textId="77777777" w:rsidTr="00C5334C">
        <w:tc>
          <w:tcPr>
            <w:tcW w:w="0" w:type="auto"/>
          </w:tcPr>
          <w:p w14:paraId="796981F8" w14:textId="77777777" w:rsidR="007662A2" w:rsidRPr="00F52121" w:rsidRDefault="00347204" w:rsidP="007D5FC0">
            <w:pPr>
              <w:jc w:val="both"/>
              <w:rPr>
                <w:sz w:val="21"/>
                <w:szCs w:val="21"/>
              </w:rPr>
            </w:pPr>
            <w:r w:rsidRPr="00F52121">
              <w:rPr>
                <w:sz w:val="21"/>
                <w:szCs w:val="21"/>
              </w:rPr>
              <w:t>12</w:t>
            </w:r>
          </w:p>
        </w:tc>
        <w:tc>
          <w:tcPr>
            <w:tcW w:w="0" w:type="auto"/>
          </w:tcPr>
          <w:p w14:paraId="5FAC111C" w14:textId="77777777" w:rsidR="007662A2" w:rsidRPr="00F52121" w:rsidRDefault="00347204" w:rsidP="007D5FC0">
            <w:pPr>
              <w:jc w:val="both"/>
              <w:rPr>
                <w:sz w:val="21"/>
                <w:szCs w:val="21"/>
              </w:rPr>
            </w:pPr>
            <w:r w:rsidRPr="00F52121">
              <w:rPr>
                <w:sz w:val="21"/>
                <w:szCs w:val="21"/>
              </w:rPr>
              <w:t>The limitation period for filing a complaint</w:t>
            </w:r>
          </w:p>
        </w:tc>
        <w:tc>
          <w:tcPr>
            <w:tcW w:w="3436" w:type="dxa"/>
          </w:tcPr>
          <w:p w14:paraId="67194F7D" w14:textId="77777777" w:rsidR="007662A2" w:rsidRPr="00F52121" w:rsidRDefault="00347204" w:rsidP="007D5FC0">
            <w:pPr>
              <w:jc w:val="both"/>
              <w:rPr>
                <w:sz w:val="21"/>
                <w:szCs w:val="21"/>
              </w:rPr>
            </w:pPr>
            <w:r w:rsidRPr="00F52121">
              <w:rPr>
                <w:sz w:val="21"/>
                <w:szCs w:val="21"/>
              </w:rPr>
              <w:t>2 years</w:t>
            </w:r>
          </w:p>
        </w:tc>
        <w:tc>
          <w:tcPr>
            <w:tcW w:w="3543" w:type="dxa"/>
          </w:tcPr>
          <w:p w14:paraId="510B52F7" w14:textId="77777777" w:rsidR="007662A2" w:rsidRPr="00F52121" w:rsidRDefault="00347204" w:rsidP="007D5FC0">
            <w:pPr>
              <w:jc w:val="both"/>
              <w:rPr>
                <w:sz w:val="21"/>
                <w:szCs w:val="21"/>
              </w:rPr>
            </w:pPr>
            <w:r w:rsidRPr="00F52121">
              <w:rPr>
                <w:sz w:val="21"/>
                <w:szCs w:val="21"/>
              </w:rPr>
              <w:t>2 years with a provision for condonation</w:t>
            </w:r>
          </w:p>
        </w:tc>
      </w:tr>
      <w:tr w:rsidR="00026596" w14:paraId="0A786C96" w14:textId="77777777" w:rsidTr="00C5334C">
        <w:tc>
          <w:tcPr>
            <w:tcW w:w="0" w:type="auto"/>
          </w:tcPr>
          <w:p w14:paraId="0D1CAD7E" w14:textId="77777777" w:rsidR="007662A2" w:rsidRPr="00F52121" w:rsidRDefault="00347204" w:rsidP="007D5FC0">
            <w:pPr>
              <w:jc w:val="both"/>
              <w:rPr>
                <w:sz w:val="21"/>
                <w:szCs w:val="21"/>
              </w:rPr>
            </w:pPr>
            <w:r w:rsidRPr="00F52121">
              <w:rPr>
                <w:sz w:val="21"/>
                <w:szCs w:val="21"/>
              </w:rPr>
              <w:t>13</w:t>
            </w:r>
          </w:p>
        </w:tc>
        <w:tc>
          <w:tcPr>
            <w:tcW w:w="0" w:type="auto"/>
          </w:tcPr>
          <w:p w14:paraId="203871D9" w14:textId="77777777" w:rsidR="007662A2" w:rsidRPr="00F52121" w:rsidRDefault="00347204" w:rsidP="007D5FC0">
            <w:pPr>
              <w:jc w:val="both"/>
              <w:rPr>
                <w:sz w:val="21"/>
                <w:szCs w:val="21"/>
              </w:rPr>
            </w:pPr>
            <w:r w:rsidRPr="00F52121">
              <w:rPr>
                <w:sz w:val="21"/>
                <w:szCs w:val="21"/>
              </w:rPr>
              <w:t>Filing jurisdiction</w:t>
            </w:r>
          </w:p>
        </w:tc>
        <w:tc>
          <w:tcPr>
            <w:tcW w:w="3436" w:type="dxa"/>
          </w:tcPr>
          <w:p w14:paraId="307458B7" w14:textId="77777777" w:rsidR="007662A2" w:rsidRPr="00F52121" w:rsidRDefault="00347204" w:rsidP="007D5FC0">
            <w:pPr>
              <w:jc w:val="both"/>
              <w:rPr>
                <w:sz w:val="21"/>
                <w:szCs w:val="21"/>
              </w:rPr>
            </w:pPr>
            <w:r w:rsidRPr="00F52121">
              <w:rPr>
                <w:sz w:val="21"/>
                <w:szCs w:val="21"/>
              </w:rPr>
              <w:t>Place where the seller’s office is located</w:t>
            </w:r>
          </w:p>
        </w:tc>
        <w:tc>
          <w:tcPr>
            <w:tcW w:w="3543" w:type="dxa"/>
          </w:tcPr>
          <w:p w14:paraId="7A7C37DF" w14:textId="77777777" w:rsidR="007662A2" w:rsidRPr="00F52121" w:rsidRDefault="00347204" w:rsidP="007D5FC0">
            <w:pPr>
              <w:jc w:val="both"/>
              <w:rPr>
                <w:sz w:val="21"/>
                <w:szCs w:val="21"/>
              </w:rPr>
            </w:pPr>
            <w:r w:rsidRPr="00F52121">
              <w:rPr>
                <w:sz w:val="21"/>
                <w:szCs w:val="21"/>
              </w:rPr>
              <w:t>Additional provision: complaint can be filed where the complainant resides or works</w:t>
            </w:r>
          </w:p>
        </w:tc>
      </w:tr>
      <w:tr w:rsidR="00026596" w14:paraId="743930F8" w14:textId="77777777" w:rsidTr="00C5334C">
        <w:tc>
          <w:tcPr>
            <w:tcW w:w="0" w:type="auto"/>
          </w:tcPr>
          <w:p w14:paraId="48EA72A9" w14:textId="77777777" w:rsidR="007662A2" w:rsidRPr="00F52121" w:rsidRDefault="00347204" w:rsidP="007D5FC0">
            <w:pPr>
              <w:jc w:val="both"/>
              <w:rPr>
                <w:sz w:val="21"/>
                <w:szCs w:val="21"/>
              </w:rPr>
            </w:pPr>
            <w:r w:rsidRPr="00F52121">
              <w:rPr>
                <w:sz w:val="21"/>
                <w:szCs w:val="21"/>
              </w:rPr>
              <w:t>14</w:t>
            </w:r>
          </w:p>
        </w:tc>
        <w:tc>
          <w:tcPr>
            <w:tcW w:w="0" w:type="auto"/>
          </w:tcPr>
          <w:p w14:paraId="653D91C3" w14:textId="77777777" w:rsidR="007662A2" w:rsidRPr="00F52121" w:rsidRDefault="00347204" w:rsidP="007D5FC0">
            <w:pPr>
              <w:jc w:val="both"/>
              <w:rPr>
                <w:sz w:val="21"/>
                <w:szCs w:val="21"/>
              </w:rPr>
            </w:pPr>
            <w:r w:rsidRPr="00F52121">
              <w:rPr>
                <w:sz w:val="21"/>
                <w:szCs w:val="21"/>
              </w:rPr>
              <w:t>Electronic filing</w:t>
            </w:r>
          </w:p>
        </w:tc>
        <w:tc>
          <w:tcPr>
            <w:tcW w:w="3436" w:type="dxa"/>
          </w:tcPr>
          <w:p w14:paraId="060DD3EA" w14:textId="77777777" w:rsidR="007662A2" w:rsidRPr="00F52121" w:rsidRDefault="00347204" w:rsidP="007D5FC0">
            <w:pPr>
              <w:jc w:val="both"/>
              <w:rPr>
                <w:sz w:val="21"/>
                <w:szCs w:val="21"/>
              </w:rPr>
            </w:pPr>
            <w:r w:rsidRPr="00F52121">
              <w:rPr>
                <w:sz w:val="21"/>
                <w:szCs w:val="21"/>
              </w:rPr>
              <w:t>Not available</w:t>
            </w:r>
          </w:p>
        </w:tc>
        <w:tc>
          <w:tcPr>
            <w:tcW w:w="3543" w:type="dxa"/>
          </w:tcPr>
          <w:p w14:paraId="5B8764F7" w14:textId="77777777" w:rsidR="007662A2" w:rsidRPr="00F52121" w:rsidRDefault="00347204" w:rsidP="007D5FC0">
            <w:pPr>
              <w:jc w:val="both"/>
              <w:rPr>
                <w:sz w:val="21"/>
                <w:szCs w:val="21"/>
              </w:rPr>
            </w:pPr>
            <w:r w:rsidRPr="00F52121">
              <w:rPr>
                <w:sz w:val="21"/>
                <w:szCs w:val="21"/>
              </w:rPr>
              <w:t>Available</w:t>
            </w:r>
          </w:p>
        </w:tc>
      </w:tr>
      <w:tr w:rsidR="00026596" w14:paraId="1298D184" w14:textId="77777777" w:rsidTr="00C5334C">
        <w:tc>
          <w:tcPr>
            <w:tcW w:w="0" w:type="auto"/>
          </w:tcPr>
          <w:p w14:paraId="511880BF" w14:textId="77777777" w:rsidR="007662A2" w:rsidRPr="00F52121" w:rsidRDefault="00347204" w:rsidP="007D5FC0">
            <w:pPr>
              <w:jc w:val="both"/>
              <w:rPr>
                <w:sz w:val="21"/>
                <w:szCs w:val="21"/>
              </w:rPr>
            </w:pPr>
            <w:r w:rsidRPr="00F52121">
              <w:rPr>
                <w:sz w:val="21"/>
                <w:szCs w:val="21"/>
              </w:rPr>
              <w:t>15</w:t>
            </w:r>
          </w:p>
        </w:tc>
        <w:tc>
          <w:tcPr>
            <w:tcW w:w="0" w:type="auto"/>
          </w:tcPr>
          <w:p w14:paraId="340FF388" w14:textId="77777777" w:rsidR="007662A2" w:rsidRPr="00F52121" w:rsidRDefault="00347204" w:rsidP="007D5FC0">
            <w:pPr>
              <w:jc w:val="both"/>
              <w:rPr>
                <w:sz w:val="21"/>
                <w:szCs w:val="21"/>
              </w:rPr>
            </w:pPr>
            <w:r w:rsidRPr="00F52121">
              <w:rPr>
                <w:sz w:val="21"/>
                <w:szCs w:val="21"/>
              </w:rPr>
              <w:t>Pecuniary jurisdiction</w:t>
            </w:r>
          </w:p>
        </w:tc>
        <w:tc>
          <w:tcPr>
            <w:tcW w:w="3436" w:type="dxa"/>
          </w:tcPr>
          <w:p w14:paraId="62FE8192" w14:textId="77777777" w:rsidR="007662A2" w:rsidRPr="00F52121" w:rsidRDefault="00347204" w:rsidP="007D5FC0">
            <w:pPr>
              <w:jc w:val="both"/>
              <w:rPr>
                <w:sz w:val="21"/>
                <w:szCs w:val="21"/>
              </w:rPr>
            </w:pPr>
            <w:r w:rsidRPr="00F52121">
              <w:rPr>
                <w:sz w:val="21"/>
                <w:szCs w:val="21"/>
              </w:rPr>
              <w:t>Based on the value of the compensation claimed</w:t>
            </w:r>
          </w:p>
          <w:p w14:paraId="58BD9DB9" w14:textId="77777777" w:rsidR="007662A2" w:rsidRPr="00F52121" w:rsidRDefault="00347204" w:rsidP="007D5FC0">
            <w:pPr>
              <w:jc w:val="both"/>
              <w:rPr>
                <w:sz w:val="21"/>
                <w:szCs w:val="21"/>
              </w:rPr>
            </w:pPr>
            <w:r w:rsidRPr="00F52121">
              <w:rPr>
                <w:sz w:val="21"/>
                <w:szCs w:val="21"/>
              </w:rPr>
              <w:t>District Forum: up to 20 lakhs</w:t>
            </w:r>
          </w:p>
          <w:p w14:paraId="7D589A52" w14:textId="77777777" w:rsidR="007662A2" w:rsidRPr="00F52121" w:rsidRDefault="00347204" w:rsidP="007D5FC0">
            <w:pPr>
              <w:jc w:val="both"/>
              <w:rPr>
                <w:sz w:val="21"/>
                <w:szCs w:val="21"/>
              </w:rPr>
            </w:pPr>
            <w:r w:rsidRPr="00F52121">
              <w:rPr>
                <w:sz w:val="21"/>
                <w:szCs w:val="21"/>
              </w:rPr>
              <w:t>State Commission: 20 lakhs to 1 crore</w:t>
            </w:r>
          </w:p>
          <w:p w14:paraId="4B252D01" w14:textId="77777777" w:rsidR="007662A2" w:rsidRPr="00F52121" w:rsidRDefault="00347204" w:rsidP="007D5FC0">
            <w:pPr>
              <w:jc w:val="both"/>
              <w:rPr>
                <w:sz w:val="21"/>
                <w:szCs w:val="21"/>
              </w:rPr>
            </w:pPr>
            <w:r w:rsidRPr="00F52121">
              <w:rPr>
                <w:sz w:val="21"/>
                <w:szCs w:val="21"/>
              </w:rPr>
              <w:t>National Commission: above 1 crore</w:t>
            </w:r>
          </w:p>
          <w:p w14:paraId="6C3C6AE2" w14:textId="77777777" w:rsidR="007662A2" w:rsidRPr="00F52121" w:rsidRDefault="007662A2" w:rsidP="007D5FC0">
            <w:pPr>
              <w:jc w:val="both"/>
              <w:rPr>
                <w:sz w:val="21"/>
                <w:szCs w:val="21"/>
              </w:rPr>
            </w:pPr>
          </w:p>
        </w:tc>
        <w:tc>
          <w:tcPr>
            <w:tcW w:w="3543" w:type="dxa"/>
          </w:tcPr>
          <w:p w14:paraId="64DD530A" w14:textId="77777777" w:rsidR="007662A2" w:rsidRPr="00F52121" w:rsidRDefault="00347204" w:rsidP="007D5FC0">
            <w:pPr>
              <w:jc w:val="both"/>
              <w:rPr>
                <w:sz w:val="21"/>
                <w:szCs w:val="21"/>
              </w:rPr>
            </w:pPr>
            <w:r w:rsidRPr="00F52121">
              <w:rPr>
                <w:sz w:val="21"/>
                <w:szCs w:val="21"/>
              </w:rPr>
              <w:t>Based on the value of the goods or services paid as consideration</w:t>
            </w:r>
          </w:p>
          <w:p w14:paraId="19C7990D" w14:textId="77777777" w:rsidR="007662A2" w:rsidRPr="00F52121" w:rsidRDefault="00347204" w:rsidP="007D5FC0">
            <w:pPr>
              <w:jc w:val="both"/>
              <w:rPr>
                <w:sz w:val="21"/>
                <w:szCs w:val="21"/>
              </w:rPr>
            </w:pPr>
            <w:r w:rsidRPr="00F52121">
              <w:rPr>
                <w:sz w:val="21"/>
                <w:szCs w:val="21"/>
              </w:rPr>
              <w:t>District Commission: up to 1 crore</w:t>
            </w:r>
          </w:p>
          <w:p w14:paraId="19474936" w14:textId="77777777" w:rsidR="007662A2" w:rsidRPr="00F52121" w:rsidRDefault="00347204" w:rsidP="007D5FC0">
            <w:pPr>
              <w:jc w:val="both"/>
              <w:rPr>
                <w:sz w:val="21"/>
                <w:szCs w:val="21"/>
              </w:rPr>
            </w:pPr>
            <w:r w:rsidRPr="00F52121">
              <w:rPr>
                <w:sz w:val="21"/>
                <w:szCs w:val="21"/>
              </w:rPr>
              <w:t>State Commission: 1 crore to 10 crores</w:t>
            </w:r>
          </w:p>
          <w:p w14:paraId="5ED06D04" w14:textId="77777777" w:rsidR="007662A2" w:rsidRPr="00F52121" w:rsidRDefault="00347204" w:rsidP="007D5FC0">
            <w:pPr>
              <w:jc w:val="both"/>
              <w:rPr>
                <w:sz w:val="21"/>
                <w:szCs w:val="21"/>
              </w:rPr>
            </w:pPr>
            <w:r w:rsidRPr="00F52121">
              <w:rPr>
                <w:sz w:val="21"/>
                <w:szCs w:val="21"/>
              </w:rPr>
              <w:t>National Commission: above 10 crores</w:t>
            </w:r>
          </w:p>
          <w:p w14:paraId="7CF30878" w14:textId="77777777" w:rsidR="007662A2" w:rsidRPr="00F52121" w:rsidRDefault="007662A2" w:rsidP="007D5FC0">
            <w:pPr>
              <w:jc w:val="both"/>
              <w:rPr>
                <w:sz w:val="21"/>
                <w:szCs w:val="21"/>
              </w:rPr>
            </w:pPr>
          </w:p>
        </w:tc>
      </w:tr>
      <w:tr w:rsidR="00026596" w14:paraId="0201BB11" w14:textId="77777777" w:rsidTr="00C5334C">
        <w:tc>
          <w:tcPr>
            <w:tcW w:w="0" w:type="auto"/>
          </w:tcPr>
          <w:p w14:paraId="0BAA7A6A" w14:textId="77777777" w:rsidR="007662A2" w:rsidRPr="00F52121" w:rsidRDefault="00347204" w:rsidP="007D5FC0">
            <w:pPr>
              <w:jc w:val="both"/>
              <w:rPr>
                <w:sz w:val="21"/>
                <w:szCs w:val="21"/>
              </w:rPr>
            </w:pPr>
            <w:r w:rsidRPr="00F52121">
              <w:rPr>
                <w:sz w:val="21"/>
                <w:szCs w:val="21"/>
              </w:rPr>
              <w:t>16</w:t>
            </w:r>
          </w:p>
        </w:tc>
        <w:tc>
          <w:tcPr>
            <w:tcW w:w="0" w:type="auto"/>
          </w:tcPr>
          <w:p w14:paraId="2626F699" w14:textId="77777777" w:rsidR="007662A2" w:rsidRPr="00F52121" w:rsidRDefault="00347204" w:rsidP="007D5FC0">
            <w:pPr>
              <w:jc w:val="both"/>
              <w:rPr>
                <w:sz w:val="21"/>
                <w:szCs w:val="21"/>
              </w:rPr>
            </w:pPr>
            <w:r w:rsidRPr="00F52121">
              <w:rPr>
                <w:sz w:val="21"/>
                <w:szCs w:val="21"/>
              </w:rPr>
              <w:t>Appeal deposit</w:t>
            </w:r>
          </w:p>
        </w:tc>
        <w:tc>
          <w:tcPr>
            <w:tcW w:w="3436" w:type="dxa"/>
          </w:tcPr>
          <w:p w14:paraId="3FCF0700" w14:textId="77777777" w:rsidR="007662A2" w:rsidRPr="00F52121" w:rsidRDefault="00347204" w:rsidP="007D5FC0">
            <w:pPr>
              <w:jc w:val="both"/>
              <w:rPr>
                <w:sz w:val="21"/>
                <w:szCs w:val="21"/>
              </w:rPr>
            </w:pPr>
            <w:r w:rsidRPr="00F52121">
              <w:rPr>
                <w:sz w:val="21"/>
                <w:szCs w:val="21"/>
              </w:rPr>
              <w:t>50% of the amount or 25,000 rupees, whichever is less</w:t>
            </w:r>
          </w:p>
        </w:tc>
        <w:tc>
          <w:tcPr>
            <w:tcW w:w="3543" w:type="dxa"/>
          </w:tcPr>
          <w:p w14:paraId="044C666B" w14:textId="77777777" w:rsidR="007662A2" w:rsidRPr="00F52121" w:rsidRDefault="00347204" w:rsidP="007D5FC0">
            <w:pPr>
              <w:jc w:val="both"/>
              <w:rPr>
                <w:sz w:val="21"/>
                <w:szCs w:val="21"/>
              </w:rPr>
            </w:pPr>
            <w:r w:rsidRPr="00F52121">
              <w:rPr>
                <w:sz w:val="21"/>
                <w:szCs w:val="21"/>
              </w:rPr>
              <w:t>50% of the amount ordered by the district commission before filing an appeal before the state commission</w:t>
            </w:r>
          </w:p>
        </w:tc>
      </w:tr>
      <w:tr w:rsidR="00026596" w14:paraId="05717892" w14:textId="77777777" w:rsidTr="00C5334C">
        <w:tc>
          <w:tcPr>
            <w:tcW w:w="0" w:type="auto"/>
          </w:tcPr>
          <w:p w14:paraId="17722464" w14:textId="77777777" w:rsidR="007662A2" w:rsidRPr="00F52121" w:rsidRDefault="00347204" w:rsidP="007D5FC0">
            <w:pPr>
              <w:jc w:val="both"/>
              <w:rPr>
                <w:sz w:val="21"/>
                <w:szCs w:val="21"/>
              </w:rPr>
            </w:pPr>
            <w:r w:rsidRPr="00F52121">
              <w:rPr>
                <w:sz w:val="21"/>
                <w:szCs w:val="21"/>
              </w:rPr>
              <w:t>17</w:t>
            </w:r>
          </w:p>
        </w:tc>
        <w:tc>
          <w:tcPr>
            <w:tcW w:w="0" w:type="auto"/>
          </w:tcPr>
          <w:p w14:paraId="10EAC010" w14:textId="77777777" w:rsidR="007662A2" w:rsidRPr="00F52121" w:rsidRDefault="00347204" w:rsidP="007D5FC0">
            <w:pPr>
              <w:jc w:val="both"/>
              <w:rPr>
                <w:sz w:val="21"/>
                <w:szCs w:val="21"/>
              </w:rPr>
            </w:pPr>
            <w:r w:rsidRPr="00F52121">
              <w:rPr>
                <w:sz w:val="21"/>
                <w:szCs w:val="21"/>
              </w:rPr>
              <w:t>Court fees</w:t>
            </w:r>
          </w:p>
        </w:tc>
        <w:tc>
          <w:tcPr>
            <w:tcW w:w="3436" w:type="dxa"/>
          </w:tcPr>
          <w:p w14:paraId="18D6E4FB" w14:textId="77777777" w:rsidR="007662A2" w:rsidRPr="00F52121" w:rsidRDefault="00347204" w:rsidP="007D5FC0">
            <w:pPr>
              <w:jc w:val="both"/>
              <w:rPr>
                <w:sz w:val="21"/>
                <w:szCs w:val="21"/>
              </w:rPr>
            </w:pPr>
            <w:r w:rsidRPr="00F52121">
              <w:rPr>
                <w:sz w:val="21"/>
                <w:szCs w:val="21"/>
              </w:rPr>
              <w:t>As defined</w:t>
            </w:r>
          </w:p>
        </w:tc>
        <w:tc>
          <w:tcPr>
            <w:tcW w:w="3543" w:type="dxa"/>
          </w:tcPr>
          <w:p w14:paraId="071B2962" w14:textId="77777777" w:rsidR="007662A2" w:rsidRPr="00F52121" w:rsidRDefault="00347204" w:rsidP="007D5FC0">
            <w:pPr>
              <w:jc w:val="both"/>
              <w:rPr>
                <w:sz w:val="21"/>
                <w:szCs w:val="21"/>
              </w:rPr>
            </w:pPr>
            <w:r w:rsidRPr="00F52121">
              <w:rPr>
                <w:sz w:val="21"/>
                <w:szCs w:val="21"/>
              </w:rPr>
              <w:t>No fees for consideration of &lt;5 lakh rupees;</w:t>
            </w:r>
          </w:p>
          <w:p w14:paraId="380F50EB" w14:textId="77777777" w:rsidR="007662A2" w:rsidRPr="00F52121" w:rsidRDefault="00347204" w:rsidP="007D5FC0">
            <w:pPr>
              <w:jc w:val="both"/>
              <w:rPr>
                <w:sz w:val="21"/>
                <w:szCs w:val="21"/>
              </w:rPr>
            </w:pPr>
            <w:r w:rsidRPr="00F52121">
              <w:rPr>
                <w:sz w:val="21"/>
                <w:szCs w:val="21"/>
              </w:rPr>
              <w:t>For amount &gt;5 lakh:</w:t>
            </w:r>
          </w:p>
          <w:p w14:paraId="3EA029AD" w14:textId="77777777" w:rsidR="007662A2" w:rsidRPr="00F52121" w:rsidRDefault="00347204" w:rsidP="007D5FC0">
            <w:pPr>
              <w:jc w:val="both"/>
              <w:rPr>
                <w:sz w:val="21"/>
                <w:szCs w:val="21"/>
              </w:rPr>
            </w:pPr>
            <w:r w:rsidRPr="00F52121">
              <w:rPr>
                <w:sz w:val="21"/>
                <w:szCs w:val="21"/>
              </w:rPr>
              <w:t>200 to 2000 rupees in District Commission</w:t>
            </w:r>
          </w:p>
          <w:p w14:paraId="216BB7AD" w14:textId="77777777" w:rsidR="007662A2" w:rsidRPr="00F52121" w:rsidRDefault="00347204" w:rsidP="007D5FC0">
            <w:pPr>
              <w:jc w:val="both"/>
              <w:rPr>
                <w:sz w:val="21"/>
                <w:szCs w:val="21"/>
              </w:rPr>
            </w:pPr>
            <w:r w:rsidRPr="00F52121">
              <w:rPr>
                <w:sz w:val="21"/>
                <w:szCs w:val="21"/>
              </w:rPr>
              <w:t>2,500 to 6000 rupees in State Commission</w:t>
            </w:r>
          </w:p>
          <w:p w14:paraId="3C723BEB" w14:textId="77777777" w:rsidR="007662A2" w:rsidRPr="00F52121" w:rsidRDefault="00347204" w:rsidP="007D5FC0">
            <w:pPr>
              <w:jc w:val="both"/>
              <w:rPr>
                <w:sz w:val="21"/>
                <w:szCs w:val="21"/>
              </w:rPr>
            </w:pPr>
            <w:r w:rsidRPr="00F52121">
              <w:rPr>
                <w:sz w:val="21"/>
                <w:szCs w:val="21"/>
              </w:rPr>
              <w:t>7,500 rupees in National Commission</w:t>
            </w:r>
          </w:p>
        </w:tc>
      </w:tr>
      <w:tr w:rsidR="00026596" w14:paraId="092A396F" w14:textId="77777777" w:rsidTr="00C5334C">
        <w:tc>
          <w:tcPr>
            <w:tcW w:w="0" w:type="auto"/>
          </w:tcPr>
          <w:p w14:paraId="6D2B367A" w14:textId="77777777" w:rsidR="007662A2" w:rsidRPr="00F52121" w:rsidRDefault="00347204" w:rsidP="007D5FC0">
            <w:pPr>
              <w:jc w:val="both"/>
              <w:rPr>
                <w:sz w:val="21"/>
                <w:szCs w:val="21"/>
              </w:rPr>
            </w:pPr>
            <w:r w:rsidRPr="00F52121">
              <w:rPr>
                <w:sz w:val="21"/>
                <w:szCs w:val="21"/>
              </w:rPr>
              <w:t>18</w:t>
            </w:r>
          </w:p>
        </w:tc>
        <w:tc>
          <w:tcPr>
            <w:tcW w:w="0" w:type="auto"/>
          </w:tcPr>
          <w:p w14:paraId="2DD5E46D" w14:textId="77777777" w:rsidR="007662A2" w:rsidRPr="00F52121" w:rsidRDefault="00347204" w:rsidP="007D5FC0">
            <w:pPr>
              <w:jc w:val="both"/>
              <w:rPr>
                <w:sz w:val="21"/>
                <w:szCs w:val="21"/>
              </w:rPr>
            </w:pPr>
            <w:r w:rsidRPr="00F52121">
              <w:rPr>
                <w:sz w:val="21"/>
                <w:szCs w:val="21"/>
              </w:rPr>
              <w:t>Mediation</w:t>
            </w:r>
          </w:p>
        </w:tc>
        <w:tc>
          <w:tcPr>
            <w:tcW w:w="3436" w:type="dxa"/>
          </w:tcPr>
          <w:p w14:paraId="01A8F80D" w14:textId="77777777" w:rsidR="007662A2" w:rsidRPr="00F52121" w:rsidRDefault="00347204" w:rsidP="007D5FC0">
            <w:pPr>
              <w:jc w:val="both"/>
              <w:rPr>
                <w:sz w:val="21"/>
                <w:szCs w:val="21"/>
              </w:rPr>
            </w:pPr>
            <w:r w:rsidRPr="00F52121">
              <w:rPr>
                <w:sz w:val="21"/>
                <w:szCs w:val="21"/>
              </w:rPr>
              <w:t>Not available</w:t>
            </w:r>
          </w:p>
        </w:tc>
        <w:tc>
          <w:tcPr>
            <w:tcW w:w="3543" w:type="dxa"/>
          </w:tcPr>
          <w:p w14:paraId="4A40C504" w14:textId="77777777" w:rsidR="007662A2" w:rsidRPr="00F52121" w:rsidRDefault="00347204" w:rsidP="007D5FC0">
            <w:pPr>
              <w:jc w:val="both"/>
              <w:rPr>
                <w:sz w:val="21"/>
                <w:szCs w:val="21"/>
              </w:rPr>
            </w:pPr>
            <w:r w:rsidRPr="00F52121">
              <w:rPr>
                <w:sz w:val="21"/>
                <w:szCs w:val="21"/>
              </w:rPr>
              <w:t>Provision for settlement and partial settlement through mediation is available.</w:t>
            </w:r>
          </w:p>
          <w:p w14:paraId="31D3106F" w14:textId="77777777" w:rsidR="007662A2" w:rsidRPr="00F52121" w:rsidRDefault="00347204" w:rsidP="007D5FC0">
            <w:pPr>
              <w:jc w:val="both"/>
              <w:rPr>
                <w:sz w:val="21"/>
                <w:szCs w:val="21"/>
              </w:rPr>
            </w:pPr>
            <w:r w:rsidRPr="00F52121">
              <w:rPr>
                <w:sz w:val="21"/>
                <w:szCs w:val="21"/>
              </w:rPr>
              <w:t>One can’t appeal against the settlement done through mediation.</w:t>
            </w:r>
          </w:p>
        </w:tc>
      </w:tr>
      <w:tr w:rsidR="00026596" w14:paraId="299A8414" w14:textId="77777777" w:rsidTr="00C5334C">
        <w:tc>
          <w:tcPr>
            <w:tcW w:w="0" w:type="auto"/>
          </w:tcPr>
          <w:p w14:paraId="33EA1943" w14:textId="77777777" w:rsidR="007662A2" w:rsidRPr="00F52121" w:rsidRDefault="00347204" w:rsidP="007D5FC0">
            <w:pPr>
              <w:jc w:val="both"/>
              <w:rPr>
                <w:sz w:val="21"/>
                <w:szCs w:val="21"/>
              </w:rPr>
            </w:pPr>
            <w:r w:rsidRPr="00F52121">
              <w:rPr>
                <w:sz w:val="21"/>
                <w:szCs w:val="21"/>
              </w:rPr>
              <w:t>19</w:t>
            </w:r>
          </w:p>
        </w:tc>
        <w:tc>
          <w:tcPr>
            <w:tcW w:w="0" w:type="auto"/>
          </w:tcPr>
          <w:p w14:paraId="36D7F32F" w14:textId="77777777" w:rsidR="007662A2" w:rsidRPr="00F52121" w:rsidRDefault="00347204" w:rsidP="007D5FC0">
            <w:pPr>
              <w:jc w:val="both"/>
              <w:rPr>
                <w:sz w:val="21"/>
                <w:szCs w:val="21"/>
              </w:rPr>
            </w:pPr>
            <w:r w:rsidRPr="00F52121">
              <w:rPr>
                <w:sz w:val="21"/>
                <w:szCs w:val="21"/>
              </w:rPr>
              <w:t>Non-compliance of an order of the commission</w:t>
            </w:r>
          </w:p>
          <w:p w14:paraId="159935BB" w14:textId="77777777" w:rsidR="007662A2" w:rsidRPr="00F52121" w:rsidRDefault="007662A2" w:rsidP="007D5FC0">
            <w:pPr>
              <w:jc w:val="both"/>
              <w:rPr>
                <w:sz w:val="21"/>
                <w:szCs w:val="21"/>
              </w:rPr>
            </w:pPr>
          </w:p>
        </w:tc>
        <w:tc>
          <w:tcPr>
            <w:tcW w:w="3436" w:type="dxa"/>
          </w:tcPr>
          <w:p w14:paraId="31AF10BD" w14:textId="77777777" w:rsidR="007662A2" w:rsidRPr="00F52121" w:rsidRDefault="00347204" w:rsidP="007D5FC0">
            <w:pPr>
              <w:jc w:val="both"/>
              <w:rPr>
                <w:sz w:val="21"/>
                <w:szCs w:val="21"/>
              </w:rPr>
            </w:pPr>
            <w:r w:rsidRPr="00F52121">
              <w:rPr>
                <w:sz w:val="21"/>
                <w:szCs w:val="21"/>
              </w:rPr>
              <w:t>Punishable with imprisonment for a term which shall not be less than one month, but which may extend to three years and/or with fine which shall not be less than two thousand rupees, but which may extend to ten thousand rupees</w:t>
            </w:r>
          </w:p>
          <w:p w14:paraId="2421F947" w14:textId="77777777" w:rsidR="007662A2" w:rsidRPr="00F52121" w:rsidRDefault="007662A2" w:rsidP="007D5FC0">
            <w:pPr>
              <w:jc w:val="both"/>
              <w:rPr>
                <w:sz w:val="21"/>
                <w:szCs w:val="21"/>
              </w:rPr>
            </w:pPr>
          </w:p>
        </w:tc>
        <w:tc>
          <w:tcPr>
            <w:tcW w:w="3543" w:type="dxa"/>
          </w:tcPr>
          <w:p w14:paraId="4664F1BC" w14:textId="77777777" w:rsidR="007662A2" w:rsidRPr="00F52121" w:rsidRDefault="00347204" w:rsidP="007D5FC0">
            <w:pPr>
              <w:jc w:val="both"/>
              <w:rPr>
                <w:sz w:val="21"/>
                <w:szCs w:val="21"/>
              </w:rPr>
            </w:pPr>
            <w:r w:rsidRPr="00F52121">
              <w:rPr>
                <w:sz w:val="21"/>
                <w:szCs w:val="21"/>
              </w:rPr>
              <w:t>The imprisonment term is the same but the fine has been increased, which shall not be less than twenty-five thousand rupees and may extend to one lakh rupees, or with both</w:t>
            </w:r>
          </w:p>
        </w:tc>
      </w:tr>
      <w:tr w:rsidR="00026596" w14:paraId="72063815" w14:textId="77777777" w:rsidTr="00C5334C">
        <w:tc>
          <w:tcPr>
            <w:tcW w:w="0" w:type="auto"/>
          </w:tcPr>
          <w:p w14:paraId="27C9B162" w14:textId="77777777" w:rsidR="007662A2" w:rsidRPr="00F52121" w:rsidRDefault="00347204" w:rsidP="007D5FC0">
            <w:pPr>
              <w:jc w:val="both"/>
              <w:rPr>
                <w:sz w:val="21"/>
                <w:szCs w:val="21"/>
              </w:rPr>
            </w:pPr>
            <w:r w:rsidRPr="00F52121">
              <w:rPr>
                <w:sz w:val="21"/>
                <w:szCs w:val="21"/>
              </w:rPr>
              <w:t>20</w:t>
            </w:r>
          </w:p>
        </w:tc>
        <w:tc>
          <w:tcPr>
            <w:tcW w:w="0" w:type="auto"/>
          </w:tcPr>
          <w:p w14:paraId="7FA6C654" w14:textId="77777777" w:rsidR="007662A2" w:rsidRPr="00F52121" w:rsidRDefault="00347204" w:rsidP="007D5FC0">
            <w:pPr>
              <w:jc w:val="both"/>
              <w:rPr>
                <w:sz w:val="21"/>
                <w:szCs w:val="21"/>
              </w:rPr>
            </w:pPr>
            <w:r w:rsidRPr="00F52121">
              <w:rPr>
                <w:sz w:val="21"/>
                <w:szCs w:val="21"/>
              </w:rPr>
              <w:t>Bench</w:t>
            </w:r>
          </w:p>
        </w:tc>
        <w:tc>
          <w:tcPr>
            <w:tcW w:w="3436" w:type="dxa"/>
          </w:tcPr>
          <w:p w14:paraId="3C137A87" w14:textId="77777777" w:rsidR="007662A2" w:rsidRPr="00F52121" w:rsidRDefault="00347204" w:rsidP="007D5FC0">
            <w:pPr>
              <w:jc w:val="both"/>
              <w:rPr>
                <w:sz w:val="21"/>
                <w:szCs w:val="21"/>
              </w:rPr>
            </w:pPr>
            <w:r w:rsidRPr="00F52121">
              <w:rPr>
                <w:sz w:val="21"/>
                <w:szCs w:val="21"/>
              </w:rPr>
              <w:t>Circuit bench</w:t>
            </w:r>
          </w:p>
        </w:tc>
        <w:tc>
          <w:tcPr>
            <w:tcW w:w="3543" w:type="dxa"/>
          </w:tcPr>
          <w:p w14:paraId="52506A2E" w14:textId="77777777" w:rsidR="007662A2" w:rsidRPr="00F52121" w:rsidRDefault="00347204" w:rsidP="007D5FC0">
            <w:pPr>
              <w:jc w:val="both"/>
              <w:rPr>
                <w:sz w:val="21"/>
                <w:szCs w:val="21"/>
              </w:rPr>
            </w:pPr>
            <w:r w:rsidRPr="00F52121">
              <w:rPr>
                <w:sz w:val="21"/>
                <w:szCs w:val="21"/>
              </w:rPr>
              <w:t>Regional benches to be appointed by the Central Government by notification</w:t>
            </w:r>
          </w:p>
        </w:tc>
      </w:tr>
      <w:tr w:rsidR="00026596" w14:paraId="2DD27535" w14:textId="77777777" w:rsidTr="00C5334C">
        <w:tc>
          <w:tcPr>
            <w:tcW w:w="0" w:type="auto"/>
          </w:tcPr>
          <w:p w14:paraId="73A26181" w14:textId="77777777" w:rsidR="007662A2" w:rsidRPr="00F52121" w:rsidRDefault="00347204" w:rsidP="007D5FC0">
            <w:pPr>
              <w:jc w:val="both"/>
              <w:rPr>
                <w:sz w:val="21"/>
                <w:szCs w:val="21"/>
              </w:rPr>
            </w:pPr>
            <w:r w:rsidRPr="00F52121">
              <w:rPr>
                <w:sz w:val="21"/>
                <w:szCs w:val="21"/>
              </w:rPr>
              <w:t>21</w:t>
            </w:r>
          </w:p>
        </w:tc>
        <w:tc>
          <w:tcPr>
            <w:tcW w:w="0" w:type="auto"/>
          </w:tcPr>
          <w:p w14:paraId="37839703" w14:textId="77777777" w:rsidR="007662A2" w:rsidRPr="00F52121" w:rsidRDefault="00347204" w:rsidP="007D5FC0">
            <w:pPr>
              <w:jc w:val="both"/>
              <w:rPr>
                <w:sz w:val="21"/>
                <w:szCs w:val="21"/>
              </w:rPr>
            </w:pPr>
            <w:r w:rsidRPr="00F52121">
              <w:rPr>
                <w:sz w:val="21"/>
                <w:szCs w:val="21"/>
              </w:rPr>
              <w:t>Experts to assist NC or SC</w:t>
            </w:r>
          </w:p>
        </w:tc>
        <w:tc>
          <w:tcPr>
            <w:tcW w:w="3436" w:type="dxa"/>
          </w:tcPr>
          <w:p w14:paraId="4E451F63" w14:textId="77777777" w:rsidR="007662A2" w:rsidRPr="00F52121" w:rsidRDefault="00347204" w:rsidP="007D5FC0">
            <w:pPr>
              <w:jc w:val="both"/>
              <w:rPr>
                <w:sz w:val="21"/>
                <w:szCs w:val="21"/>
              </w:rPr>
            </w:pPr>
            <w:r w:rsidRPr="00F52121">
              <w:rPr>
                <w:sz w:val="21"/>
                <w:szCs w:val="21"/>
              </w:rPr>
              <w:t>No provision</w:t>
            </w:r>
          </w:p>
        </w:tc>
        <w:tc>
          <w:tcPr>
            <w:tcW w:w="3543" w:type="dxa"/>
          </w:tcPr>
          <w:p w14:paraId="4CD1F5E0" w14:textId="77777777" w:rsidR="007662A2" w:rsidRPr="00F52121" w:rsidRDefault="00347204" w:rsidP="007D5FC0">
            <w:pPr>
              <w:jc w:val="both"/>
              <w:rPr>
                <w:sz w:val="21"/>
                <w:szCs w:val="21"/>
              </w:rPr>
            </w:pPr>
            <w:r w:rsidRPr="00F52121">
              <w:rPr>
                <w:sz w:val="21"/>
                <w:szCs w:val="21"/>
              </w:rPr>
              <w:t xml:space="preserve">On application by a complainant or otherwise, may direct any individual or organization or expert to assist the </w:t>
            </w:r>
            <w:r w:rsidRPr="00F52121">
              <w:rPr>
                <w:sz w:val="21"/>
                <w:szCs w:val="21"/>
              </w:rPr>
              <w:lastRenderedPageBreak/>
              <w:t>National Commission or the State Commission</w:t>
            </w:r>
          </w:p>
        </w:tc>
      </w:tr>
      <w:tr w:rsidR="00026596" w14:paraId="333A4E96" w14:textId="77777777" w:rsidTr="00C5334C">
        <w:tc>
          <w:tcPr>
            <w:tcW w:w="0" w:type="auto"/>
          </w:tcPr>
          <w:p w14:paraId="7DE73C21" w14:textId="77777777" w:rsidR="007662A2" w:rsidRPr="00F52121" w:rsidRDefault="00347204" w:rsidP="007D5FC0">
            <w:pPr>
              <w:jc w:val="both"/>
              <w:rPr>
                <w:sz w:val="21"/>
                <w:szCs w:val="21"/>
              </w:rPr>
            </w:pPr>
            <w:r w:rsidRPr="00F52121">
              <w:rPr>
                <w:sz w:val="21"/>
                <w:szCs w:val="21"/>
              </w:rPr>
              <w:lastRenderedPageBreak/>
              <w:t>22</w:t>
            </w:r>
          </w:p>
        </w:tc>
        <w:tc>
          <w:tcPr>
            <w:tcW w:w="0" w:type="auto"/>
          </w:tcPr>
          <w:p w14:paraId="2AFAC1F0" w14:textId="77777777" w:rsidR="007662A2" w:rsidRPr="00F52121" w:rsidRDefault="00347204" w:rsidP="007D5FC0">
            <w:pPr>
              <w:jc w:val="both"/>
              <w:rPr>
                <w:sz w:val="21"/>
                <w:szCs w:val="21"/>
              </w:rPr>
            </w:pPr>
            <w:r w:rsidRPr="00F52121">
              <w:rPr>
                <w:sz w:val="21"/>
                <w:szCs w:val="21"/>
              </w:rPr>
              <w:t>Dismissal of Frivolous or vexatious complaints</w:t>
            </w:r>
          </w:p>
        </w:tc>
        <w:tc>
          <w:tcPr>
            <w:tcW w:w="3436" w:type="dxa"/>
          </w:tcPr>
          <w:p w14:paraId="70EEE914" w14:textId="77777777" w:rsidR="007662A2" w:rsidRPr="00F52121" w:rsidRDefault="00347204" w:rsidP="007D5FC0">
            <w:pPr>
              <w:jc w:val="both"/>
              <w:rPr>
                <w:sz w:val="21"/>
                <w:szCs w:val="21"/>
              </w:rPr>
            </w:pPr>
            <w:r w:rsidRPr="00F52121">
              <w:rPr>
                <w:sz w:val="21"/>
                <w:szCs w:val="21"/>
              </w:rPr>
              <w:t>The complainant shall pay cost not exceeding rupees ten thousand</w:t>
            </w:r>
          </w:p>
        </w:tc>
        <w:tc>
          <w:tcPr>
            <w:tcW w:w="3543" w:type="dxa"/>
          </w:tcPr>
          <w:p w14:paraId="18709CC1" w14:textId="77777777" w:rsidR="007662A2" w:rsidRPr="00F52121" w:rsidRDefault="00347204" w:rsidP="007D5FC0">
            <w:pPr>
              <w:jc w:val="both"/>
              <w:rPr>
                <w:sz w:val="21"/>
                <w:szCs w:val="21"/>
              </w:rPr>
            </w:pPr>
            <w:r w:rsidRPr="00F52121">
              <w:rPr>
                <w:sz w:val="21"/>
                <w:szCs w:val="21"/>
              </w:rPr>
              <w:t>No provision</w:t>
            </w:r>
          </w:p>
        </w:tc>
      </w:tr>
      <w:tr w:rsidR="00026596" w14:paraId="2173480F" w14:textId="77777777" w:rsidTr="00C5334C">
        <w:tc>
          <w:tcPr>
            <w:tcW w:w="0" w:type="auto"/>
          </w:tcPr>
          <w:p w14:paraId="5EE5AC5A" w14:textId="77777777" w:rsidR="007662A2" w:rsidRPr="00F52121" w:rsidRDefault="00347204" w:rsidP="007D5FC0">
            <w:pPr>
              <w:jc w:val="both"/>
              <w:rPr>
                <w:sz w:val="21"/>
                <w:szCs w:val="21"/>
              </w:rPr>
            </w:pPr>
            <w:r w:rsidRPr="00F52121">
              <w:rPr>
                <w:sz w:val="21"/>
                <w:szCs w:val="21"/>
              </w:rPr>
              <w:t>23</w:t>
            </w:r>
          </w:p>
        </w:tc>
        <w:tc>
          <w:tcPr>
            <w:tcW w:w="0" w:type="auto"/>
          </w:tcPr>
          <w:p w14:paraId="2C11ED0F" w14:textId="77777777" w:rsidR="007662A2" w:rsidRPr="00F52121" w:rsidRDefault="00347204" w:rsidP="007D5FC0">
            <w:pPr>
              <w:jc w:val="both"/>
              <w:rPr>
                <w:sz w:val="21"/>
                <w:szCs w:val="21"/>
              </w:rPr>
            </w:pPr>
            <w:r w:rsidRPr="00F52121">
              <w:rPr>
                <w:sz w:val="21"/>
                <w:szCs w:val="21"/>
              </w:rPr>
              <w:t>Video conferencing</w:t>
            </w:r>
          </w:p>
        </w:tc>
        <w:tc>
          <w:tcPr>
            <w:tcW w:w="3436" w:type="dxa"/>
          </w:tcPr>
          <w:p w14:paraId="46C035A9" w14:textId="77777777" w:rsidR="007662A2" w:rsidRPr="00F52121" w:rsidRDefault="00347204" w:rsidP="007D5FC0">
            <w:pPr>
              <w:jc w:val="both"/>
              <w:rPr>
                <w:sz w:val="21"/>
                <w:szCs w:val="21"/>
              </w:rPr>
            </w:pPr>
            <w:r w:rsidRPr="00F52121">
              <w:rPr>
                <w:sz w:val="21"/>
                <w:szCs w:val="21"/>
              </w:rPr>
              <w:t>No provision</w:t>
            </w:r>
          </w:p>
        </w:tc>
        <w:tc>
          <w:tcPr>
            <w:tcW w:w="3543" w:type="dxa"/>
          </w:tcPr>
          <w:p w14:paraId="56D76CBC" w14:textId="77777777" w:rsidR="007662A2" w:rsidRPr="00F52121" w:rsidRDefault="00347204" w:rsidP="007D5FC0">
            <w:pPr>
              <w:jc w:val="both"/>
              <w:rPr>
                <w:sz w:val="21"/>
                <w:szCs w:val="21"/>
              </w:rPr>
            </w:pPr>
            <w:r w:rsidRPr="00F52121">
              <w:rPr>
                <w:sz w:val="21"/>
                <w:szCs w:val="21"/>
              </w:rPr>
              <w:t>Consumers can seek tele-hearings</w:t>
            </w:r>
          </w:p>
        </w:tc>
      </w:tr>
    </w:tbl>
    <w:p w14:paraId="5EA0202B" w14:textId="77777777" w:rsidR="00411C82" w:rsidRDefault="00411C82" w:rsidP="007D5FC0">
      <w:pPr>
        <w:spacing w:after="160" w:line="259" w:lineRule="auto"/>
        <w:jc w:val="both"/>
      </w:pPr>
    </w:p>
    <w:p w14:paraId="3FFEFEB8" w14:textId="77777777" w:rsidR="00411C82" w:rsidRDefault="00411C82" w:rsidP="007D5FC0">
      <w:pPr>
        <w:spacing w:after="160" w:line="259" w:lineRule="auto"/>
        <w:jc w:val="both"/>
      </w:pPr>
    </w:p>
    <w:p w14:paraId="347E9E4E" w14:textId="77777777" w:rsidR="007662A2" w:rsidRPr="004E7471" w:rsidRDefault="00347204" w:rsidP="007D5FC0">
      <w:pPr>
        <w:spacing w:after="160" w:line="259" w:lineRule="auto"/>
        <w:jc w:val="both"/>
        <w:rPr>
          <w:b/>
        </w:rPr>
      </w:pPr>
      <w:r>
        <w:rPr>
          <w:b/>
        </w:rPr>
        <w:t>Scope and implications of CPA 2019 in the health sector</w:t>
      </w:r>
    </w:p>
    <w:p w14:paraId="788BD86B" w14:textId="77777777" w:rsidR="007662A2" w:rsidRPr="004E7471" w:rsidRDefault="00347204" w:rsidP="007D5FC0">
      <w:pPr>
        <w:spacing w:after="240"/>
        <w:jc w:val="both"/>
      </w:pPr>
      <w:r>
        <w:t xml:space="preserve">In this section, </w:t>
      </w:r>
      <w:r w:rsidRPr="004E7471">
        <w:t xml:space="preserve">the nuances of the CPA 2019 </w:t>
      </w:r>
      <w:r w:rsidR="00853D0B">
        <w:t xml:space="preserve">that are </w:t>
      </w:r>
      <w:r>
        <w:t xml:space="preserve">relevant for health services and medical professionals </w:t>
      </w:r>
      <w:r w:rsidR="00853D0B">
        <w:t xml:space="preserve">have been discussed focusing mainly on the scope and its implications. </w:t>
      </w:r>
    </w:p>
    <w:p w14:paraId="27FA8905" w14:textId="77777777" w:rsidR="00411C82" w:rsidRDefault="00411C82" w:rsidP="007D5FC0">
      <w:pPr>
        <w:spacing w:after="240"/>
        <w:jc w:val="both"/>
        <w:rPr>
          <w:b/>
        </w:rPr>
      </w:pPr>
    </w:p>
    <w:p w14:paraId="516739F1" w14:textId="77777777" w:rsidR="007662A2" w:rsidRPr="004E7471" w:rsidRDefault="00347204" w:rsidP="007D5FC0">
      <w:pPr>
        <w:spacing w:after="240"/>
        <w:jc w:val="both"/>
        <w:rPr>
          <w:b/>
        </w:rPr>
      </w:pPr>
      <w:r>
        <w:rPr>
          <w:b/>
        </w:rPr>
        <w:t>(1</w:t>
      </w:r>
      <w:r w:rsidR="00ED3EBB" w:rsidRPr="004E7471">
        <w:rPr>
          <w:b/>
        </w:rPr>
        <w:t>) Pecuniary Jurisdiction</w:t>
      </w:r>
    </w:p>
    <w:p w14:paraId="6571385A" w14:textId="00545D21" w:rsidR="007662A2" w:rsidRPr="00A96997" w:rsidRDefault="00347204" w:rsidP="007D5FC0">
      <w:pPr>
        <w:spacing w:after="240"/>
        <w:jc w:val="both"/>
      </w:pPr>
      <w:r w:rsidRPr="004E7471">
        <w:t>The term “pecuniary” means “relating to or consisting of money” and “jurisdiction” means “the official power to make legal decisions and judgments”</w:t>
      </w:r>
      <w:r w:rsidR="007037A9">
        <w:fldChar w:fldCharType="begin" w:fldLock="1"/>
      </w:r>
      <w:r w:rsidR="007067BB">
        <w:instrText>ADDIN CSL_CITATION {"citationItems":[{"id":"ITEM-1","itemData":{"URL":"https://www.lexico.com/en/definition/pecuniary","accessed":{"date-parts":[["2020","8","7"]]},"id":"ITEM-1","issued":{"date-parts":[["0"]]},"title":"Pecuniary | Definition of Pecuniary by Oxford Dictionary on Lexico.com also meaning of Pecuniary","type":"webpage"},"uris":["http://www.mendeley.com/documents/?uuid=b1799431-18e9-3cf8-95d4-344a2cfc9fcb"]},{"id":"ITEM-2","itemData":{"URL":"https://www.lexico.com/en/definition/jurisdiction","accessed":{"date-parts":[["2020","8","7"]]},"id":"ITEM-2","issued":{"date-parts":[["0"]]},"title":"Jurisdiction | Definition of Jurisdiction by Oxford Dictionary on Lexico.com also meaning of Jurisdiction","type":"webpage"},"uris":["http://www.mendeley.com/documents/?uuid=8bbf2c77-2830-3a20-9406-8fd26a9b4a7e"]}],"mendeley":{"formattedCitation":"(12,13)","plainTextFormattedCitation":"(12,13)","previouslyFormattedCitation":"(12,13)"},"properties":{"noteIndex":0},"schema":"https://github.com/citation-style-language/schema/raw/master/csl-citation.json"}</w:instrText>
      </w:r>
      <w:r w:rsidR="007037A9">
        <w:fldChar w:fldCharType="separate"/>
      </w:r>
      <w:r w:rsidR="007067BB" w:rsidRPr="007067BB">
        <w:rPr>
          <w:noProof/>
        </w:rPr>
        <w:t>(12,13)</w:t>
      </w:r>
      <w:r w:rsidR="007037A9">
        <w:fldChar w:fldCharType="end"/>
      </w:r>
      <w:r w:rsidRPr="004E7471">
        <w:t>. All courts in the judicial hierarchy have pecuniary limits. There are several changes made in the pecuniary juris</w:t>
      </w:r>
      <w:r w:rsidR="007037A9">
        <w:t xml:space="preserve">diction </w:t>
      </w:r>
      <w:r w:rsidR="00F04811">
        <w:t xml:space="preserve">in CPA 2019, </w:t>
      </w:r>
      <w:r w:rsidR="007037A9">
        <w:t>which are</w:t>
      </w:r>
      <w:r w:rsidRPr="004E7471">
        <w:t xml:space="preserve"> as follows: (a) litigations up to one crore, between one and ten crores and </w:t>
      </w:r>
      <w:r w:rsidR="00A20D29">
        <w:t>more than ten crores would be</w:t>
      </w:r>
      <w:r w:rsidRPr="004E7471">
        <w:t xml:space="preserve"> filed in the District, State, and National Commission respectively</w:t>
      </w:r>
      <w:r w:rsidR="007037A9">
        <w:t>,</w:t>
      </w:r>
      <w:r w:rsidR="00CB2F6F">
        <w:t xml:space="preserve"> </w:t>
      </w:r>
      <w:r w:rsidR="002D323F">
        <w:t xml:space="preserve">and </w:t>
      </w:r>
      <w:r w:rsidR="00CB2F6F">
        <w:t xml:space="preserve">(b) </w:t>
      </w:r>
      <w:r w:rsidR="00A20D29">
        <w:t xml:space="preserve">the pecuniary jurisdiction would rely </w:t>
      </w:r>
      <w:r w:rsidRPr="004E7471">
        <w:t xml:space="preserve">on the “considerate” and </w:t>
      </w:r>
      <w:r w:rsidR="007037A9">
        <w:t xml:space="preserve">not the “compensation” claimed. </w:t>
      </w:r>
      <w:r w:rsidR="007037A9" w:rsidRPr="004E7471">
        <w:t>“Considerate” means the amount</w:t>
      </w:r>
      <w:r w:rsidR="00F04811">
        <w:t xml:space="preserve"> of money</w:t>
      </w:r>
      <w:r w:rsidR="007037A9" w:rsidRPr="004E7471">
        <w:t xml:space="preserve"> paid by the patient to obtain the servic</w:t>
      </w:r>
      <w:r w:rsidR="00A20D29">
        <w:t>es provided by the</w:t>
      </w:r>
      <w:r w:rsidR="007037A9" w:rsidRPr="004E7471">
        <w:t xml:space="preserve"> doctor.</w:t>
      </w:r>
      <w:r w:rsidR="007037A9">
        <w:t xml:space="preserve"> </w:t>
      </w:r>
      <w:r w:rsidRPr="004E7471">
        <w:t>This is an important change as the pe</w:t>
      </w:r>
      <w:r w:rsidR="00F04811">
        <w:t xml:space="preserve">cuniary jurisdiction under CPA </w:t>
      </w:r>
      <w:r w:rsidR="00A20D29">
        <w:t>1986 was determined</w:t>
      </w:r>
      <w:r w:rsidRPr="004E7471">
        <w:t xml:space="preserve"> by the compensation claimed by the patient</w:t>
      </w:r>
      <w:r w:rsidR="007037A9">
        <w:t xml:space="preserve"> and not the considerate amount</w:t>
      </w:r>
      <w:r w:rsidRPr="004E7471">
        <w:t xml:space="preserve">. </w:t>
      </w:r>
      <w:r w:rsidR="00A20D29">
        <w:t>For instance, if a</w:t>
      </w:r>
      <w:r w:rsidRPr="004E7471">
        <w:t xml:space="preserve"> doctor/hospital was paid rupees 2 lakh by a patient for an operation and the patient sustained an injury during the operation du</w:t>
      </w:r>
      <w:r w:rsidR="00A20D29">
        <w:t xml:space="preserve">e to </w:t>
      </w:r>
      <w:r w:rsidR="005D1FBF">
        <w:t>a</w:t>
      </w:r>
      <w:r w:rsidR="00A20D29">
        <w:t>lleged medical neglig</w:t>
      </w:r>
      <w:r w:rsidR="005D1FBF">
        <w:t>ence for which a</w:t>
      </w:r>
      <w:r w:rsidR="007037A9">
        <w:t xml:space="preserve"> claim </w:t>
      </w:r>
      <w:r w:rsidR="005D1FBF">
        <w:t xml:space="preserve">of </w:t>
      </w:r>
      <w:r w:rsidR="007037A9">
        <w:t xml:space="preserve">2 crore </w:t>
      </w:r>
      <w:r w:rsidR="005D1FBF">
        <w:t>was made as compensation, the patient would</w:t>
      </w:r>
      <w:r w:rsidR="007037A9">
        <w:t xml:space="preserve"> </w:t>
      </w:r>
      <w:r w:rsidRPr="004E7471">
        <w:t>have to approach the District Com</w:t>
      </w:r>
      <w:r w:rsidR="007037A9">
        <w:t>mission as his considerate</w:t>
      </w:r>
      <w:r w:rsidR="005D1FBF">
        <w:t xml:space="preserve"> </w:t>
      </w:r>
      <w:r w:rsidRPr="004E7471">
        <w:t>is 2 lakhs. The second concern is</w:t>
      </w:r>
      <w:r w:rsidR="00B05F2C">
        <w:t xml:space="preserve"> about</w:t>
      </w:r>
      <w:r w:rsidRPr="004E7471">
        <w:t xml:space="preserve"> the place where </w:t>
      </w:r>
      <w:r w:rsidR="00B05F2C">
        <w:t>the</w:t>
      </w:r>
      <w:r w:rsidRPr="004E7471">
        <w:t xml:space="preserve"> complaint ca</w:t>
      </w:r>
      <w:r w:rsidR="007037A9">
        <w:t>n be lodged.</w:t>
      </w:r>
      <w:r w:rsidR="00F04811">
        <w:t xml:space="preserve"> </w:t>
      </w:r>
      <w:r w:rsidR="007037A9">
        <w:t xml:space="preserve">For </w:t>
      </w:r>
      <w:r w:rsidR="005D1FBF">
        <w:t xml:space="preserve">instance, if </w:t>
      </w:r>
      <w:r w:rsidR="007037A9">
        <w:t xml:space="preserve">a </w:t>
      </w:r>
      <w:r w:rsidR="005D1FBF">
        <w:t xml:space="preserve">doctor who resided in Bengaluru </w:t>
      </w:r>
      <w:r w:rsidRPr="004E7471">
        <w:t>prov</w:t>
      </w:r>
      <w:r w:rsidR="007037A9">
        <w:t>ide</w:t>
      </w:r>
      <w:r w:rsidR="005D1FBF">
        <w:t>d</w:t>
      </w:r>
      <w:r w:rsidR="007037A9">
        <w:t xml:space="preserve"> specialist urolog</w:t>
      </w:r>
      <w:r w:rsidR="005D1FBF">
        <w:t>y care to a patient from Bihar, during which the patient developed some complications and decided to file a complaint against the doctor. Where would</w:t>
      </w:r>
      <w:r w:rsidRPr="004E7471">
        <w:t xml:space="preserve"> the patient complain? In Bihar or Bengaluru? </w:t>
      </w:r>
      <w:r w:rsidR="005D1FBF">
        <w:t>Under CPA 2019, the patient has been embossed with the</w:t>
      </w:r>
      <w:r w:rsidRPr="004E7471">
        <w:t xml:space="preserve"> choice of filing the complaint at a place where he either resides or works or at the place where </w:t>
      </w:r>
      <w:r w:rsidR="005D1FBF">
        <w:t>the "service provider" resides.</w:t>
      </w:r>
      <w:r w:rsidR="00AB243E">
        <w:t xml:space="preserve"> </w:t>
      </w:r>
      <w:r w:rsidRPr="00F04811">
        <w:rPr>
          <w:b/>
        </w:rPr>
        <w:t>Arguments</w:t>
      </w:r>
      <w:r>
        <w:t xml:space="preserve">: </w:t>
      </w:r>
      <w:r w:rsidR="007C33FD">
        <w:t>(a)</w:t>
      </w:r>
      <w:r w:rsidR="005D1FBF">
        <w:t xml:space="preserve"> </w:t>
      </w:r>
      <w:r w:rsidR="00797865">
        <w:t>t</w:t>
      </w:r>
      <w:r w:rsidR="005D1FBF">
        <w:t xml:space="preserve">he </w:t>
      </w:r>
      <w:r w:rsidRPr="004E7471">
        <w:t>provi</w:t>
      </w:r>
      <w:r w:rsidR="005D1FBF">
        <w:t xml:space="preserve">sion of ADR </w:t>
      </w:r>
      <w:r w:rsidRPr="004E7471">
        <w:t>may reduce the burden on the District Commission</w:t>
      </w:r>
      <w:r w:rsidR="005D1FBF">
        <w:t>, which is otherwise expected to increase</w:t>
      </w:r>
      <w:r w:rsidR="00797865">
        <w:t>,</w:t>
      </w:r>
      <w:r w:rsidR="007C33FD">
        <w:t xml:space="preserve"> (b) </w:t>
      </w:r>
      <w:r w:rsidR="00797865">
        <w:t>t</w:t>
      </w:r>
      <w:r w:rsidR="000F1E58">
        <w:t xml:space="preserve">he determination of considerate is based on the amount of money paid by the consumer and not </w:t>
      </w:r>
      <w:r w:rsidR="00797865">
        <w:t>the actual value of the service, and</w:t>
      </w:r>
      <w:r w:rsidR="000F1E58">
        <w:t xml:space="preserve"> </w:t>
      </w:r>
      <w:r w:rsidR="007C33FD">
        <w:t xml:space="preserve">(c) </w:t>
      </w:r>
      <w:r w:rsidR="00B05F2C">
        <w:t>t</w:t>
      </w:r>
      <w:r w:rsidR="000F1E58">
        <w:t>he p</w:t>
      </w:r>
      <w:r w:rsidRPr="00F04811">
        <w:t xml:space="preserve">rovision for tele-hearing </w:t>
      </w:r>
      <w:r w:rsidR="000F1E58">
        <w:t xml:space="preserve">is available which allows the doctors to participate in the hearings from any part of the </w:t>
      </w:r>
      <w:r w:rsidR="00797865">
        <w:t>country.</w:t>
      </w:r>
      <w:r w:rsidR="00A96997">
        <w:t xml:space="preserve"> </w:t>
      </w:r>
      <w:r w:rsidR="00AB243E">
        <w:rPr>
          <w:b/>
        </w:rPr>
        <w:t>Counter-argument</w:t>
      </w:r>
      <w:r>
        <w:rPr>
          <w:b/>
        </w:rPr>
        <w:t xml:space="preserve">: </w:t>
      </w:r>
      <w:r w:rsidR="00966C2A" w:rsidRPr="004E7471">
        <w:t>The workload of the District Commission is likely to increase substantially as litigations of the considerate amount of up to on</w:t>
      </w:r>
      <w:r>
        <w:t>e crore will be taken up by these courts</w:t>
      </w:r>
      <w:r w:rsidR="00966C2A" w:rsidRPr="004E7471">
        <w:t xml:space="preserve">. </w:t>
      </w:r>
      <w:r w:rsidR="00E94BCB">
        <w:t xml:space="preserve">Already these courts are working under-staff and may require human resources to meet the objectives of this aspirational law. </w:t>
      </w:r>
      <w:r w:rsidR="00966C2A" w:rsidRPr="004E7471">
        <w:t>This</w:t>
      </w:r>
      <w:r w:rsidR="00797865">
        <w:t xml:space="preserve"> may result in a </w:t>
      </w:r>
      <w:r w:rsidR="00E94BCB">
        <w:t xml:space="preserve">marked </w:t>
      </w:r>
      <w:r w:rsidR="00797865">
        <w:t>delay in</w:t>
      </w:r>
      <w:r w:rsidR="007C33FD">
        <w:t xml:space="preserve"> </w:t>
      </w:r>
      <w:r w:rsidR="00B05F2C">
        <w:t>delivering justice, which could act</w:t>
      </w:r>
      <w:r w:rsidR="00797865">
        <w:t xml:space="preserve"> as a potential threat of</w:t>
      </w:r>
      <w:r>
        <w:t xml:space="preserve"> violence against doctors</w:t>
      </w:r>
      <w:r w:rsidR="00797865">
        <w:t xml:space="preserve">. </w:t>
      </w:r>
    </w:p>
    <w:p w14:paraId="438BD187" w14:textId="77777777" w:rsidR="00411C82" w:rsidRDefault="00411C82" w:rsidP="007D5FC0">
      <w:pPr>
        <w:spacing w:after="240"/>
        <w:jc w:val="both"/>
        <w:rPr>
          <w:b/>
        </w:rPr>
      </w:pPr>
    </w:p>
    <w:p w14:paraId="60E9EB57" w14:textId="77777777" w:rsidR="00347204" w:rsidRDefault="00347204" w:rsidP="007D5FC0">
      <w:pPr>
        <w:spacing w:after="160" w:line="259" w:lineRule="auto"/>
        <w:jc w:val="both"/>
        <w:rPr>
          <w:b/>
        </w:rPr>
      </w:pPr>
      <w:r>
        <w:rPr>
          <w:b/>
        </w:rPr>
        <w:br w:type="page"/>
      </w:r>
    </w:p>
    <w:p w14:paraId="65F2016E" w14:textId="64A31F05" w:rsidR="007662A2" w:rsidRPr="004E7471" w:rsidRDefault="00347204" w:rsidP="007D5FC0">
      <w:pPr>
        <w:spacing w:after="240"/>
        <w:jc w:val="both"/>
        <w:rPr>
          <w:b/>
        </w:rPr>
      </w:pPr>
      <w:r>
        <w:rPr>
          <w:b/>
        </w:rPr>
        <w:lastRenderedPageBreak/>
        <w:t>(2</w:t>
      </w:r>
      <w:r w:rsidR="00ED3EBB" w:rsidRPr="004E7471">
        <w:rPr>
          <w:b/>
        </w:rPr>
        <w:t>) Mediation Cells</w:t>
      </w:r>
    </w:p>
    <w:p w14:paraId="483365FA" w14:textId="6294426A" w:rsidR="007662A2" w:rsidRPr="00A96997" w:rsidRDefault="00347204" w:rsidP="007D5FC0">
      <w:pPr>
        <w:spacing w:after="240"/>
        <w:jc w:val="both"/>
      </w:pPr>
      <w:r>
        <w:t>ADR</w:t>
      </w:r>
      <w:r w:rsidR="00966C2A" w:rsidRPr="004E7471">
        <w:t xml:space="preserve"> mechanisms in</w:t>
      </w:r>
      <w:r w:rsidR="00F04811">
        <w:t xml:space="preserve"> the form of mediation cells have</w:t>
      </w:r>
      <w:r w:rsidR="00A95E32">
        <w:t xml:space="preserve"> been introduced in CPA 2019</w:t>
      </w:r>
      <w:r w:rsidR="00966C2A" w:rsidRPr="004E7471">
        <w:t>. Mediation is a process through which the people involved in a dispute decide to mutually settle their legal problems with the help of an unbiased third party who acts as a mediator</w:t>
      </w:r>
      <w:r w:rsidR="00966C2A" w:rsidRPr="004E7471">
        <w:fldChar w:fldCharType="begin" w:fldLock="1"/>
      </w:r>
      <w:r w:rsidR="007067BB">
        <w:instrText>ADDIN CSL_CITATION {"citationItems":[{"id":"ITEM-1","itemData":{"URL":"https://www.mediate.com/articles/mediation-in-india-articile.cfm","accessed":{"date-parts":[["2020","8","7"]]},"id":"ITEM-1","issued":{"date-parts":[["0"]]},"title":"Mediation in India","type":"webpage"},"uris":["http://www.mendeley.com/documents/?uuid=6c139f0d-b3a1-3cea-8e97-f3547c432e17"]}],"mendeley":{"formattedCitation":"(14)","plainTextFormattedCitation":"(14)","previouslyFormattedCitation":"(14)"},"properties":{"noteIndex":0},"schema":"https://github.com/citation-style-language/schema/raw/master/csl-citation.json"}</w:instrText>
      </w:r>
      <w:r w:rsidR="00966C2A" w:rsidRPr="004E7471">
        <w:fldChar w:fldCharType="separate"/>
      </w:r>
      <w:r w:rsidR="007067BB" w:rsidRPr="007067BB">
        <w:rPr>
          <w:noProof/>
        </w:rPr>
        <w:t>(14)</w:t>
      </w:r>
      <w:r w:rsidR="00966C2A" w:rsidRPr="004E7471">
        <w:fldChar w:fldCharType="end"/>
      </w:r>
      <w:r w:rsidR="00966C2A" w:rsidRPr="004E7471">
        <w:t>. Once the dispute has been settled between the parties i</w:t>
      </w:r>
      <w:r w:rsidR="00BB2917">
        <w:t>nvolved</w:t>
      </w:r>
      <w:r w:rsidR="00966C2A" w:rsidRPr="004E7471">
        <w:t>, it cannot be appealed against at a later stage in the court of law</w:t>
      </w:r>
      <w:r w:rsidR="00D07CDB">
        <w:t xml:space="preserve">. </w:t>
      </w:r>
      <w:r w:rsidR="00372F7E" w:rsidRPr="004E7471">
        <w:t xml:space="preserve"> </w:t>
      </w:r>
      <w:r w:rsidRPr="00D07CDB">
        <w:rPr>
          <w:b/>
        </w:rPr>
        <w:t xml:space="preserve">Arguments: </w:t>
      </w:r>
      <w:r w:rsidR="007C33FD">
        <w:t xml:space="preserve">(a) </w:t>
      </w:r>
      <w:r w:rsidRPr="004E7471">
        <w:t>The involvement of mediation cells may hasten the process of settlement between parties which may otherwise take se</w:t>
      </w:r>
      <w:r w:rsidR="002D323F">
        <w:t>veral months or years to settle, and</w:t>
      </w:r>
      <w:r w:rsidR="007C33FD">
        <w:t xml:space="preserve"> (b) </w:t>
      </w:r>
      <w:r w:rsidRPr="004E7471">
        <w:t xml:space="preserve">As against litigation, the settlement in mediation is reached after the demands of the parties involved are heard. The settlement, therefore, is mutually </w:t>
      </w:r>
      <w:r w:rsidR="00AB243E">
        <w:t>agreed, legalized, and settled once for all and no appeal is allowed</w:t>
      </w:r>
      <w:r w:rsidRPr="004E7471">
        <w:t>.</w:t>
      </w:r>
      <w:r w:rsidR="00A96997">
        <w:t xml:space="preserve"> </w:t>
      </w:r>
      <w:r w:rsidR="00AB243E">
        <w:rPr>
          <w:b/>
        </w:rPr>
        <w:t>Counter-argument:</w:t>
      </w:r>
      <w:r>
        <w:rPr>
          <w:b/>
        </w:rPr>
        <w:t xml:space="preserve"> </w:t>
      </w:r>
      <w:r w:rsidR="007C33FD">
        <w:rPr>
          <w:b/>
        </w:rPr>
        <w:t>(a)</w:t>
      </w:r>
      <w:r w:rsidR="00A95E32">
        <w:rPr>
          <w:b/>
        </w:rPr>
        <w:t xml:space="preserve"> </w:t>
      </w:r>
      <w:r w:rsidR="00411C82">
        <w:t>i</w:t>
      </w:r>
      <w:r w:rsidR="00A95E32">
        <w:t>f a grievous injury is sustained from a commercial commodity, the case may be taken up by mediation cells if it does not amount to medical negligence. For instance, i</w:t>
      </w:r>
      <w:r>
        <w:t>f</w:t>
      </w:r>
      <w:r w:rsidRPr="004E7471">
        <w:t xml:space="preserve"> a person </w:t>
      </w:r>
      <w:r w:rsidR="00A95E32">
        <w:t>were to sustain</w:t>
      </w:r>
      <w:r w:rsidRPr="004E7471">
        <w:t xml:space="preserve"> a grievous inju</w:t>
      </w:r>
      <w:r>
        <w:t>ry due to</w:t>
      </w:r>
      <w:r w:rsidRPr="004E7471">
        <w:t xml:space="preserve"> the explosion of </w:t>
      </w:r>
      <w:r w:rsidR="00A95E32">
        <w:t>his electric geyser, the</w:t>
      </w:r>
      <w:r w:rsidRPr="004E7471">
        <w:t xml:space="preserve"> case can </w:t>
      </w:r>
      <w:r>
        <w:t>be taken up by mediation cells. However, cases of medical negligence that result</w:t>
      </w:r>
      <w:r w:rsidRPr="004E7471">
        <w:t xml:space="preserve"> in grievous hurt or death</w:t>
      </w:r>
      <w:r>
        <w:t xml:space="preserve"> cannot</w:t>
      </w:r>
      <w:r w:rsidR="002D323F">
        <w:t xml:space="preserve"> be taken up by mediation cells, and</w:t>
      </w:r>
      <w:r>
        <w:t xml:space="preserve"> </w:t>
      </w:r>
      <w:r w:rsidR="007C33FD">
        <w:t>(b)</w:t>
      </w:r>
      <w:r w:rsidR="007C33FD">
        <w:rPr>
          <w:b/>
        </w:rPr>
        <w:t xml:space="preserve"> </w:t>
      </w:r>
      <w:r w:rsidR="002D323F">
        <w:t>t</w:t>
      </w:r>
      <w:r w:rsidR="00A95E32">
        <w:t>he</w:t>
      </w:r>
      <w:r w:rsidRPr="004E7471">
        <w:t xml:space="preserve"> m</w:t>
      </w:r>
      <w:r w:rsidR="00B05F2C">
        <w:t xml:space="preserve">ediation </w:t>
      </w:r>
      <w:proofErr w:type="spellStart"/>
      <w:r w:rsidR="00B05F2C">
        <w:t>panellist</w:t>
      </w:r>
      <w:proofErr w:type="spellEnd"/>
      <w:r w:rsidR="00B05F2C">
        <w:t xml:space="preserve"> need not</w:t>
      </w:r>
      <w:r w:rsidR="00A95E32">
        <w:t xml:space="preserve"> be</w:t>
      </w:r>
      <w:r w:rsidRPr="004E7471">
        <w:t xml:space="preserve"> a specialist/professional in the</w:t>
      </w:r>
      <w:r w:rsidR="00A95E32">
        <w:t xml:space="preserve"> area of</w:t>
      </w:r>
      <w:r w:rsidRPr="004E7471">
        <w:t xml:space="preserve"> the case involved. As the panellists are appointed by the selection committee, would individuals with no training in the medical profession be suitable for being a part of the mediation cell?   </w:t>
      </w:r>
    </w:p>
    <w:p w14:paraId="76DBF3CB" w14:textId="77777777" w:rsidR="00411C82" w:rsidRDefault="00411C82" w:rsidP="007D5FC0">
      <w:pPr>
        <w:spacing w:after="240"/>
        <w:jc w:val="both"/>
        <w:rPr>
          <w:b/>
        </w:rPr>
      </w:pPr>
    </w:p>
    <w:p w14:paraId="6F24B9FD" w14:textId="77777777" w:rsidR="007662A2" w:rsidRPr="004E7471" w:rsidRDefault="00347204" w:rsidP="007D5FC0">
      <w:pPr>
        <w:spacing w:after="240"/>
        <w:jc w:val="both"/>
        <w:rPr>
          <w:b/>
        </w:rPr>
      </w:pPr>
      <w:r>
        <w:rPr>
          <w:b/>
        </w:rPr>
        <w:t>(3</w:t>
      </w:r>
      <w:r w:rsidR="00411C82">
        <w:rPr>
          <w:b/>
        </w:rPr>
        <w:t xml:space="preserve">) </w:t>
      </w:r>
      <w:r w:rsidR="00ED3EBB" w:rsidRPr="004E7471">
        <w:rPr>
          <w:b/>
        </w:rPr>
        <w:t xml:space="preserve">Jury </w:t>
      </w:r>
    </w:p>
    <w:p w14:paraId="6F0019DD" w14:textId="44C593C4" w:rsidR="00722BCC" w:rsidRDefault="00EE0B5A" w:rsidP="007D5FC0">
      <w:pPr>
        <w:spacing w:after="240"/>
        <w:jc w:val="both"/>
      </w:pPr>
      <w:r>
        <w:t>D</w:t>
      </w:r>
      <w:r w:rsidR="00347204" w:rsidRPr="004E7471">
        <w:t xml:space="preserve">eciding jury is the bench of the commission. </w:t>
      </w:r>
      <w:r w:rsidR="003F2579">
        <w:t>I</w:t>
      </w:r>
      <w:r w:rsidR="00347204" w:rsidRPr="004E7471">
        <w:t>n the CPA</w:t>
      </w:r>
      <w:r w:rsidR="00D07CDB">
        <w:t xml:space="preserve"> </w:t>
      </w:r>
      <w:r w:rsidR="00347204" w:rsidRPr="004E7471">
        <w:t xml:space="preserve">1986, it was mandatory that in all consumer fora, one of the members of the bench had to be a former judge either from the </w:t>
      </w:r>
      <w:r w:rsidR="00347204">
        <w:t>High C</w:t>
      </w:r>
      <w:r w:rsidR="003F2579">
        <w:t>ourt or the Supreme C</w:t>
      </w:r>
      <w:r>
        <w:t>ourt, which is not the case with CPA 2019.</w:t>
      </w:r>
      <w:r w:rsidR="00347204" w:rsidRPr="004E7471">
        <w:t xml:space="preserve"> </w:t>
      </w:r>
      <w:r w:rsidR="00E94BCB" w:rsidRPr="00E652A5">
        <w:rPr>
          <w:b/>
          <w:bCs/>
        </w:rPr>
        <w:t>Argument</w:t>
      </w:r>
      <w:r w:rsidR="00E94BCB">
        <w:t xml:space="preserve">: The involvement of civil society and no mandatory involvement of the judiciary may help in easing out the overburdened judiciary. </w:t>
      </w:r>
      <w:r w:rsidR="00E94BCB" w:rsidRPr="00E652A5">
        <w:rPr>
          <w:b/>
          <w:bCs/>
        </w:rPr>
        <w:t>Counter-argument:</w:t>
      </w:r>
      <w:r w:rsidR="00E94BCB">
        <w:t xml:space="preserve"> </w:t>
      </w:r>
      <w:r w:rsidR="009B197B">
        <w:t>I</w:t>
      </w:r>
      <w:r w:rsidR="00347204" w:rsidRPr="004E7471">
        <w:t>n the CPA 2019, there may not be a single individual with any form of professional training in law and judiciary</w:t>
      </w:r>
      <w:r w:rsidR="00E94BCB">
        <w:t>, medical professionals</w:t>
      </w:r>
      <w:r w:rsidR="00347204" w:rsidRPr="004E7471">
        <w:t xml:space="preserve"> as a member of the bench</w:t>
      </w:r>
      <w:r w:rsidR="00347204">
        <w:t xml:space="preserve">. </w:t>
      </w:r>
      <w:r w:rsidR="00E94BCB">
        <w:t xml:space="preserve">This may have a direct impact on the quality of judgment. </w:t>
      </w:r>
      <w:r w:rsidR="00347204">
        <w:t>S</w:t>
      </w:r>
      <w:r w:rsidR="00347204" w:rsidRPr="004E7471">
        <w:t>pecific</w:t>
      </w:r>
      <w:r w:rsidR="00347204">
        <w:t>ally, the appraisal is for cases related to</w:t>
      </w:r>
      <w:r w:rsidR="00347204" w:rsidRPr="004E7471">
        <w:t xml:space="preserve"> the medical profession</w:t>
      </w:r>
      <w:r w:rsidR="00347204">
        <w:t xml:space="preserve"> which involves various complexities in understanding sensitive and nuanced medical aspects.</w:t>
      </w:r>
    </w:p>
    <w:p w14:paraId="71ED3655" w14:textId="77777777" w:rsidR="00411C82" w:rsidRDefault="00411C82" w:rsidP="007D5FC0">
      <w:pPr>
        <w:spacing w:after="240"/>
        <w:jc w:val="both"/>
        <w:rPr>
          <w:b/>
        </w:rPr>
      </w:pPr>
    </w:p>
    <w:p w14:paraId="344A4F3E" w14:textId="77777777" w:rsidR="007662A2" w:rsidRPr="004E7471" w:rsidRDefault="00347204" w:rsidP="007D5FC0">
      <w:pPr>
        <w:spacing w:after="240"/>
        <w:jc w:val="both"/>
        <w:rPr>
          <w:b/>
        </w:rPr>
      </w:pPr>
      <w:r>
        <w:rPr>
          <w:b/>
        </w:rPr>
        <w:t>(4</w:t>
      </w:r>
      <w:r w:rsidR="00411C82">
        <w:rPr>
          <w:b/>
        </w:rPr>
        <w:t>) L</w:t>
      </w:r>
      <w:r w:rsidR="00ED3EBB" w:rsidRPr="004E7471">
        <w:rPr>
          <w:b/>
        </w:rPr>
        <w:t xml:space="preserve">itigation </w:t>
      </w:r>
    </w:p>
    <w:p w14:paraId="21CEDAD0" w14:textId="77777777" w:rsidR="007662A2" w:rsidRPr="004E7471" w:rsidRDefault="00347204" w:rsidP="007D5FC0">
      <w:pPr>
        <w:spacing w:after="240"/>
        <w:jc w:val="both"/>
      </w:pPr>
      <w:r>
        <w:t>India has witnessed an alarming</w:t>
      </w:r>
      <w:r w:rsidR="00966C2A" w:rsidRPr="004E7471">
        <w:t xml:space="preserve"> increase in </w:t>
      </w:r>
      <w:r>
        <w:t>medical litigations</w:t>
      </w:r>
      <w:r w:rsidR="00966C2A" w:rsidRPr="004E7471">
        <w:t xml:space="preserve"> after the </w:t>
      </w:r>
      <w:r w:rsidR="00966C2A" w:rsidRPr="004E7471">
        <w:rPr>
          <w:i/>
          <w:iCs/>
        </w:rPr>
        <w:t xml:space="preserve">Indian Medical Association v. V P Shantha </w:t>
      </w:r>
      <w:r w:rsidR="00966C2A" w:rsidRPr="004E7471">
        <w:t>case judgment was passed</w:t>
      </w:r>
      <w:r>
        <w:fldChar w:fldCharType="begin" w:fldLock="1"/>
      </w:r>
      <w:r w:rsidR="007067BB">
        <w:instrText>ADDIN CSL_CITATION {"citationItems":[{"id":"ITEM-1","itemData":{"URL":"https://health.economictimes.indiatimes.com/news/industry/patients-are-now-suing-doctors-at-an-alarming-rate-mahendrakumar-bajpai/51420266","accessed":{"date-parts":[["2020","10","10"]]},"id":"ITEM-1","issued":{"date-parts":[["0"]]},"title":"Patients are now suing doctors at an alarming rate : Mahendrakumar Bajpai, Health News, ET HealthWorld","type":"webpage"},"uris":["http://www.mendeley.com/documents/?uuid=007c8290-dbd2-3e4b-a29a-0476acd637d9"]},{"id":"ITEM-2","itemData":{"URL":"https://health.economictimes.indiatimes.com/news/industry/medical-litigation-cases-go-up-by-400-show-stats/50062328","accessed":{"date-parts":[["2020","10","10"]]},"id":"ITEM-2","issued":{"date-parts":[["0"]]},"title":"Medical litigation cases go up by 400%, show stats, Health News, ET HealthWorld","type":"webpage"},"uris":["http://www.mendeley.com/documents/?uuid=2674f511-38d0-3223-8322-5e9f70eb49eb"]}],"mendeley":{"formattedCitation":"(15,16)","plainTextFormattedCitation":"(15,16)","previouslyFormattedCitation":"(15,16)"},"properties":{"noteIndex":0},"schema":"https://github.com/citation-style-language/schema/raw/master/csl-citation.json"}</w:instrText>
      </w:r>
      <w:r>
        <w:fldChar w:fldCharType="separate"/>
      </w:r>
      <w:r w:rsidR="007067BB" w:rsidRPr="007067BB">
        <w:rPr>
          <w:noProof/>
        </w:rPr>
        <w:t>(15,16)</w:t>
      </w:r>
      <w:r>
        <w:fldChar w:fldCharType="end"/>
      </w:r>
      <w:r w:rsidR="00B85934">
        <w:t xml:space="preserve">. </w:t>
      </w:r>
      <w:r w:rsidR="00966C2A" w:rsidRPr="004E7471">
        <w:t>Some of the new</w:t>
      </w:r>
      <w:r w:rsidR="003B18B0">
        <w:t>er</w:t>
      </w:r>
      <w:r w:rsidR="00966C2A" w:rsidRPr="004E7471">
        <w:t xml:space="preserve"> provisions for litigation and their processes</w:t>
      </w:r>
      <w:r w:rsidR="003B18B0">
        <w:t xml:space="preserve"> under CPA 2019</w:t>
      </w:r>
      <w:r w:rsidR="00966C2A" w:rsidRPr="004E7471">
        <w:t xml:space="preserve"> have been enumerated:</w:t>
      </w:r>
    </w:p>
    <w:p w14:paraId="17AD1683" w14:textId="77777777" w:rsidR="007C33FD" w:rsidRDefault="00347204" w:rsidP="007D5FC0">
      <w:pPr>
        <w:pStyle w:val="ListParagraph"/>
        <w:numPr>
          <w:ilvl w:val="0"/>
          <w:numId w:val="7"/>
        </w:numPr>
        <w:spacing w:after="240"/>
        <w:jc w:val="both"/>
      </w:pPr>
      <w:r w:rsidRPr="004E7471">
        <w:t xml:space="preserve">Grounds for litigation: (a) failure to issue a receipt or bill to the patient (b) failure to take an informed consent comes in the ambit of unfair trade practice (c) failure to maintain confidentiality (d) false endorsement of services or any misleading advertisement </w:t>
      </w:r>
      <w:r w:rsidR="005471DF">
        <w:t>and (e) p</w:t>
      </w:r>
      <w:r w:rsidRPr="004E7471">
        <w:t>roduct service liabilit</w:t>
      </w:r>
      <w:r w:rsidR="00D07CDB">
        <w:t>y and “deficiency” in services which encompasses “</w:t>
      </w:r>
      <w:r w:rsidRPr="004E7471">
        <w:t>any act of negligence or omission or commission by such person which causes</w:t>
      </w:r>
      <w:r w:rsidR="005471DF">
        <w:t xml:space="preserve"> loss or injury to the consumer and</w:t>
      </w:r>
      <w:r w:rsidRPr="004E7471">
        <w:t xml:space="preserve"> deliberate withholding of relevant information by such person to the consumer</w:t>
      </w:r>
      <w:r w:rsidR="00D07CDB">
        <w:t>”</w:t>
      </w:r>
      <w:r w:rsidR="009D573C">
        <w:t xml:space="preserve">. </w:t>
      </w:r>
    </w:p>
    <w:p w14:paraId="664554DD" w14:textId="1CE37DDD" w:rsidR="007662A2" w:rsidRDefault="00347204" w:rsidP="007D5FC0">
      <w:pPr>
        <w:pStyle w:val="ListParagraph"/>
        <w:numPr>
          <w:ilvl w:val="0"/>
          <w:numId w:val="7"/>
        </w:numPr>
        <w:spacing w:after="240"/>
        <w:jc w:val="both"/>
      </w:pPr>
      <w:r w:rsidRPr="004E7471">
        <w:t xml:space="preserve">Processes of litigation: (a) </w:t>
      </w:r>
      <w:r w:rsidR="009B197B">
        <w:t>there is no requirement of</w:t>
      </w:r>
      <w:r w:rsidR="009B197B" w:rsidRPr="004E7471">
        <w:t xml:space="preserve"> fee </w:t>
      </w:r>
      <w:r w:rsidRPr="004E7471">
        <w:t xml:space="preserve">for filing litigation for services (considerate) up to 5 lakhs, (b) for filing litigation for services that cost more than five lakh rupees, a nominal fee needs to be paid which has been summarized in table 1, (c) </w:t>
      </w:r>
      <w:r w:rsidRPr="004E7471">
        <w:lastRenderedPageBreak/>
        <w:t>availabi</w:t>
      </w:r>
      <w:r w:rsidR="005471DF">
        <w:t>lity of electronic filing of</w:t>
      </w:r>
      <w:r w:rsidR="00D07CDB">
        <w:t xml:space="preserve"> complaints, (d)</w:t>
      </w:r>
      <w:r w:rsidRPr="004E7471">
        <w:t xml:space="preserve"> availab</w:t>
      </w:r>
      <w:r w:rsidR="005471DF">
        <w:t>ility of tele-hearings, and</w:t>
      </w:r>
      <w:r w:rsidR="007C33FD">
        <w:t xml:space="preserve"> (e) </w:t>
      </w:r>
      <w:r w:rsidRPr="004E7471">
        <w:t xml:space="preserve">changes in the pecuniary jurisdiction reducing logistic issues in filing complaints which have been discussed earlier. </w:t>
      </w:r>
    </w:p>
    <w:p w14:paraId="0CD581BF" w14:textId="150CB6C2" w:rsidR="009D573C" w:rsidRPr="00A96997" w:rsidRDefault="00347204" w:rsidP="007D5FC0">
      <w:pPr>
        <w:spacing w:after="240"/>
        <w:jc w:val="both"/>
        <w:rPr>
          <w:b/>
        </w:rPr>
      </w:pPr>
      <w:r>
        <w:rPr>
          <w:b/>
        </w:rPr>
        <w:t>A</w:t>
      </w:r>
      <w:r w:rsidR="009F7554">
        <w:rPr>
          <w:b/>
        </w:rPr>
        <w:t xml:space="preserve">rgument: </w:t>
      </w:r>
      <w:r w:rsidR="009F7554" w:rsidRPr="004E7471">
        <w:t>Liability for ma</w:t>
      </w:r>
      <w:r w:rsidR="002D323F">
        <w:t>nufacturing defects could be</w:t>
      </w:r>
      <w:r w:rsidR="009F7554" w:rsidRPr="004E7471">
        <w:t xml:space="preserve"> diverted to the product manufacturers and sellers. For example, if a doctor </w:t>
      </w:r>
      <w:r w:rsidR="002D323F">
        <w:t>placed an</w:t>
      </w:r>
      <w:r w:rsidR="009F7554" w:rsidRPr="004E7471">
        <w:t xml:space="preserve"> ear implant that broke inside the ear after the operation due to its manufacturing defect, then the prod</w:t>
      </w:r>
      <w:r w:rsidR="002D323F">
        <w:t>uct manufacturers would be</w:t>
      </w:r>
      <w:r w:rsidR="009F7554" w:rsidRPr="004E7471">
        <w:t xml:space="preserve"> held responsible for the mishap and not the doctor.</w:t>
      </w:r>
      <w:r w:rsidR="00A96997">
        <w:rPr>
          <w:b/>
        </w:rPr>
        <w:t xml:space="preserve"> </w:t>
      </w:r>
      <w:r>
        <w:rPr>
          <w:b/>
        </w:rPr>
        <w:t>Counter-a</w:t>
      </w:r>
      <w:r w:rsidR="009F7554" w:rsidRPr="004E7471">
        <w:rPr>
          <w:b/>
        </w:rPr>
        <w:t>rguments</w:t>
      </w:r>
      <w:r w:rsidR="009F7554">
        <w:rPr>
          <w:b/>
        </w:rPr>
        <w:t xml:space="preserve">: (a) </w:t>
      </w:r>
      <w:r w:rsidR="009F7554" w:rsidRPr="004E7471">
        <w:t xml:space="preserve">The new provisions could propagate an increase in the number of </w:t>
      </w:r>
      <w:r w:rsidR="003F0F0B">
        <w:t xml:space="preserve">frivolous </w:t>
      </w:r>
      <w:r w:rsidR="009F7554" w:rsidRPr="004E7471">
        <w:t>litigations against doctors due to the s</w:t>
      </w:r>
      <w:r w:rsidR="003F0F0B">
        <w:t xml:space="preserve">implification of procedures, </w:t>
      </w:r>
      <w:r w:rsidR="009F7554" w:rsidRPr="004E7471">
        <w:t>newer id</w:t>
      </w:r>
      <w:r w:rsidR="002D323F">
        <w:t>entified grounds for litigation</w:t>
      </w:r>
      <w:r w:rsidR="003F0F0B">
        <w:t>, and lack of any retribution for filing false complaints</w:t>
      </w:r>
      <w:r w:rsidR="009F7554">
        <w:t xml:space="preserve">, and </w:t>
      </w:r>
      <w:r w:rsidR="009F7554">
        <w:rPr>
          <w:b/>
        </w:rPr>
        <w:t xml:space="preserve">(b) </w:t>
      </w:r>
      <w:r w:rsidR="009F7554" w:rsidRPr="004E7471">
        <w:t xml:space="preserve">With newly identified grounds of </w:t>
      </w:r>
      <w:r w:rsidR="002D323F">
        <w:t xml:space="preserve">litigation, the paperwork of </w:t>
      </w:r>
      <w:r w:rsidR="009F7554" w:rsidRPr="004E7471">
        <w:t>doctor</w:t>
      </w:r>
      <w:r w:rsidR="002D323F">
        <w:t>s</w:t>
      </w:r>
      <w:r w:rsidR="009F7554" w:rsidRPr="004E7471">
        <w:t xml:space="preserve"> may substantially increase </w:t>
      </w:r>
      <w:r w:rsidR="002D323F">
        <w:t>whi</w:t>
      </w:r>
      <w:r w:rsidR="009F7554">
        <w:t>ch might increase their burden</w:t>
      </w:r>
    </w:p>
    <w:p w14:paraId="75DF3F98" w14:textId="77777777" w:rsidR="00411C82" w:rsidRDefault="00411C82" w:rsidP="007D5FC0">
      <w:pPr>
        <w:spacing w:after="240"/>
        <w:jc w:val="both"/>
        <w:rPr>
          <w:b/>
        </w:rPr>
      </w:pPr>
    </w:p>
    <w:p w14:paraId="1097A7CD" w14:textId="340732A0" w:rsidR="007C33FD" w:rsidRDefault="00347204" w:rsidP="007D5FC0">
      <w:pPr>
        <w:spacing w:after="160" w:line="259" w:lineRule="auto"/>
        <w:jc w:val="both"/>
      </w:pPr>
      <w:r>
        <w:rPr>
          <w:b/>
        </w:rPr>
        <w:t>(5</w:t>
      </w:r>
      <w:r w:rsidR="00ED3EBB" w:rsidRPr="007C33FD">
        <w:rPr>
          <w:b/>
        </w:rPr>
        <w:t xml:space="preserve">) Compensation </w:t>
      </w:r>
    </w:p>
    <w:p w14:paraId="250D276F" w14:textId="77777777" w:rsidR="007C33FD" w:rsidRDefault="00347204" w:rsidP="007D5FC0">
      <w:pPr>
        <w:spacing w:after="240"/>
        <w:jc w:val="both"/>
      </w:pPr>
      <w:r w:rsidRPr="004E7471">
        <w:t>In 2013, the Supreme Court awarded a compensation of 11 crores for the death of a victim on the grounds of medical negligence which was borne by doctors and a private hospital</w:t>
      </w:r>
      <w:r w:rsidRPr="004E7471">
        <w:fldChar w:fldCharType="begin" w:fldLock="1"/>
      </w:r>
      <w:r w:rsidR="007067BB">
        <w:instrText>ADDIN CSL_CITATION {"citationItems":[{"id":"ITEM-1","itemData":{"DOI":"10.4103/0972-2327.192887","ISSN":"19983549","abstract":"In a recent judgment on medical negligence, the Supreme Court awarded compensation amounting to Rs. 11 crore to a victim, which was to be paid by the doctors and the private hospital deemed responsible for the wrongful death of a patient. This landmark decision was by far the largest compensation award in the history of Indian medical negligence litigation. Hence, the process of calculating compensation for medical negligence has received great attention and debate, largely due to the impact that it is going to have on the practice of medicine within the country, in the near future. However, the method of calculation of compensation is unpredictable as it varies hugely across different cases, courts and tribunals resulting, in a loss of faith in the system, protracted litigation, and frequent appeals. With over 80% of India's healthcare being provided by the private sector, predictability and uniformity in the regulation of compensation in medical negligence would benefit the victims and the doctors concerned. A basic knowledge of how medical negligence compensation is calculated and adjudicated in the judicial courts of India will aid a doctor in planning his/her professional indemnity insurance, as well as in practicing his/her profession without undue worry about facing litigation for alleged medical negligence. This article addresses the merits and demerits of large compensation awards, and also discusses whether the system is broken, needs a quick fix, or a massive overhaul.","author":[{"dropping-particle":"","family":"Chandra","given":"Meghana S.","non-dropping-particle":"","parse-names":false,"suffix":""},{"dropping-particle":"","family":"Math","given":"Suresh Bada","non-dropping-particle":"","parse-names":false,"suffix":""}],"container-title":"Annals of Indian Academy of Neurology","id":"ITEM-1","issue":"5","issued":{"date-parts":[["2016","10","1"]]},"page":"S21-S27","publisher":"Medknow Publications","title":"Progress in Medicine: Compensation and medical negligence in India: Does the system need a quick fix or an overhaul?","type":"article","volume":"19"},"uris":["http://www.mendeley.com/documents/?uuid=d01b7c4d-5799-3aa7-a158-f92732875696"]}],"mendeley":{"formattedCitation":"(17)","plainTextFormattedCitation":"(17)","previouslyFormattedCitation":"(17)"},"properties":{"noteIndex":0},"schema":"https://github.com/citation-style-language/schema/raw/master/csl-citation.json"}</w:instrText>
      </w:r>
      <w:r w:rsidRPr="004E7471">
        <w:fldChar w:fldCharType="separate"/>
      </w:r>
      <w:r w:rsidR="007067BB" w:rsidRPr="007067BB">
        <w:rPr>
          <w:noProof/>
        </w:rPr>
        <w:t>(17)</w:t>
      </w:r>
      <w:r w:rsidRPr="004E7471">
        <w:fldChar w:fldCharType="end"/>
      </w:r>
      <w:r w:rsidRPr="004E7471">
        <w:t xml:space="preserve">. </w:t>
      </w:r>
    </w:p>
    <w:p w14:paraId="04AE9D80" w14:textId="47BC2EE2" w:rsidR="00FB5460" w:rsidRPr="004E7471" w:rsidRDefault="00347204" w:rsidP="007D5FC0">
      <w:pPr>
        <w:spacing w:after="240"/>
        <w:jc w:val="both"/>
      </w:pPr>
      <w:r w:rsidRPr="004E7471">
        <w:rPr>
          <w:b/>
        </w:rPr>
        <w:t>Arguments</w:t>
      </w:r>
      <w:r>
        <w:rPr>
          <w:b/>
        </w:rPr>
        <w:t xml:space="preserve">: </w:t>
      </w:r>
      <w:r w:rsidRPr="003B24AB">
        <w:t xml:space="preserve">(a) </w:t>
      </w:r>
      <w:r w:rsidR="003B24AB">
        <w:t>l</w:t>
      </w:r>
      <w:r w:rsidRPr="003B24AB">
        <w:t>arge</w:t>
      </w:r>
      <w:r w:rsidRPr="004E7471">
        <w:t xml:space="preserve"> pay-outs awarded by courts might be prudent to ensure accountability</w:t>
      </w:r>
      <w:r>
        <w:t>,</w:t>
      </w:r>
      <w:r w:rsidRPr="00FB5460">
        <w:t xml:space="preserve"> </w:t>
      </w:r>
      <w:r w:rsidRPr="004E7471">
        <w:t>deter medical negligence, and unethical practice</w:t>
      </w:r>
      <w:r>
        <w:t xml:space="preserve">. (b) </w:t>
      </w:r>
      <w:r w:rsidRPr="004E7471">
        <w:t>Providing financial support (in the form of compensation) to either the victim or victim’s family is an important way of helping them handle the loss/injury.</w:t>
      </w:r>
      <w:r w:rsidR="00A96997">
        <w:t xml:space="preserve"> </w:t>
      </w:r>
      <w:r w:rsidR="00E94BCB" w:rsidRPr="009B197B">
        <w:rPr>
          <w:b/>
        </w:rPr>
        <w:t>Counter-</w:t>
      </w:r>
      <w:r w:rsidR="009B197B">
        <w:rPr>
          <w:b/>
        </w:rPr>
        <w:t>a</w:t>
      </w:r>
      <w:r w:rsidRPr="004E7471">
        <w:rPr>
          <w:b/>
        </w:rPr>
        <w:t>rguments</w:t>
      </w:r>
      <w:r w:rsidR="002D323F">
        <w:rPr>
          <w:b/>
        </w:rPr>
        <w:t xml:space="preserve">: </w:t>
      </w:r>
      <w:r w:rsidR="002D323F" w:rsidRPr="003B24AB">
        <w:t>(a) non</w:t>
      </w:r>
      <w:r w:rsidR="002D323F">
        <w:t xml:space="preserve">-availability of resources </w:t>
      </w:r>
      <w:r w:rsidRPr="004E7471">
        <w:t>could compro</w:t>
      </w:r>
      <w:r w:rsidR="003B24AB">
        <w:t>mise the care of the patients, hence</w:t>
      </w:r>
      <w:r w:rsidRPr="004E7471">
        <w:t xml:space="preserve"> the State </w:t>
      </w:r>
      <w:r w:rsidR="003B24AB">
        <w:t xml:space="preserve">is </w:t>
      </w:r>
      <w:r w:rsidRPr="004E7471">
        <w:t xml:space="preserve">also responsible for lapses </w:t>
      </w:r>
      <w:r w:rsidR="002D323F">
        <w:t>or d</w:t>
      </w:r>
      <w:r w:rsidR="003B24AB">
        <w:t>eficiency in care and it is hard to</w:t>
      </w:r>
      <w:r w:rsidR="003B24AB" w:rsidRPr="004E7471">
        <w:t xml:space="preserve"> implement a first-world regulatory structure to a third-world infrastructure</w:t>
      </w:r>
      <w:r w:rsidR="003B24AB">
        <w:t>,</w:t>
      </w:r>
      <w:r>
        <w:t xml:space="preserve"> (b) </w:t>
      </w:r>
      <w:r w:rsidR="002D323F">
        <w:t>t</w:t>
      </w:r>
      <w:r w:rsidRPr="004E7471">
        <w:t xml:space="preserve">he method of calculating the </w:t>
      </w:r>
      <w:r w:rsidR="002D323F">
        <w:t>compensation</w:t>
      </w:r>
      <w:r w:rsidRPr="004E7471">
        <w:t xml:space="preserve"> is unpredictable and varies significantly between cases in the absence of a standard method of calculation</w:t>
      </w:r>
      <w:r w:rsidR="002D323F">
        <w:t>, and</w:t>
      </w:r>
      <w:r>
        <w:t xml:space="preserve"> (c) </w:t>
      </w:r>
      <w:r w:rsidR="002D323F">
        <w:t>h</w:t>
      </w:r>
      <w:r w:rsidRPr="004E7471">
        <w:t>igh rates of compensation may</w:t>
      </w:r>
      <w:r w:rsidR="002D323F">
        <w:t xml:space="preserve"> lead to</w:t>
      </w:r>
      <w:r w:rsidRPr="004E7471">
        <w:t xml:space="preserve"> the propagat</w:t>
      </w:r>
      <w:r w:rsidR="002D323F">
        <w:t>ion of</w:t>
      </w:r>
      <w:r w:rsidRPr="004E7471">
        <w:t xml:space="preserve"> defensive practice</w:t>
      </w:r>
      <w:r>
        <w:t xml:space="preserve">s, </w:t>
      </w:r>
      <w:r w:rsidRPr="004E7471">
        <w:t>impairment of the mental health of doctors due to con</w:t>
      </w:r>
      <w:r>
        <w:t>stant fear of scrutiny,</w:t>
      </w:r>
      <w:r w:rsidRPr="004E7471">
        <w:t xml:space="preserve"> bankruptcy and more time spent in legal proceedings compromising patient care. Doctors from small towns may move to big cities as the resources are better available. </w:t>
      </w:r>
    </w:p>
    <w:p w14:paraId="39DCF89D" w14:textId="77777777" w:rsidR="00411C82" w:rsidRDefault="00411C82" w:rsidP="007D5FC0">
      <w:pPr>
        <w:spacing w:after="240"/>
        <w:jc w:val="both"/>
        <w:rPr>
          <w:b/>
        </w:rPr>
      </w:pPr>
    </w:p>
    <w:p w14:paraId="6D3A72F4" w14:textId="77777777" w:rsidR="007662A2" w:rsidRPr="004E7471" w:rsidRDefault="00347204" w:rsidP="007D5FC0">
      <w:pPr>
        <w:spacing w:after="240"/>
        <w:jc w:val="both"/>
        <w:rPr>
          <w:b/>
        </w:rPr>
      </w:pPr>
      <w:r>
        <w:rPr>
          <w:b/>
        </w:rPr>
        <w:t>(6</w:t>
      </w:r>
      <w:r w:rsidR="00ED3EBB" w:rsidRPr="004E7471">
        <w:rPr>
          <w:b/>
        </w:rPr>
        <w:t>) Regulation</w:t>
      </w:r>
    </w:p>
    <w:p w14:paraId="7658E543" w14:textId="77777777" w:rsidR="007662A2" w:rsidRDefault="00347204" w:rsidP="007D5FC0">
      <w:pPr>
        <w:spacing w:after="240"/>
        <w:jc w:val="both"/>
      </w:pPr>
      <w:r w:rsidRPr="004E7471">
        <w:t>The regulation under CPA has become more stringent with the intro</w:t>
      </w:r>
      <w:r w:rsidR="00992D27">
        <w:t>duction of the CCPA</w:t>
      </w:r>
      <w:r w:rsidRPr="004E7471">
        <w:t xml:space="preserve"> which has been vested with ample powers to investigate suo-moto or based on a consumer complaint. It would look into matters related to consumer rights, product liability, unfair trade practices, etc. For example, if a hospital is offering a package 'x', the CCPA would have the power to investigate the quality and cost of the products available in the service and accordingly question the hospital about the same.  The authority is also endowed with the power to give its advisory and form new rules for such a package including setting its cost which </w:t>
      </w:r>
      <w:r w:rsidR="00FB5460">
        <w:t>is considered ‘fair’</w:t>
      </w:r>
      <w:r w:rsidRPr="004E7471">
        <w:t xml:space="preserve">. </w:t>
      </w:r>
    </w:p>
    <w:p w14:paraId="4B602776" w14:textId="3B7B1FB8" w:rsidR="00FB5460" w:rsidRPr="00A96997" w:rsidRDefault="00347204" w:rsidP="007D5FC0">
      <w:pPr>
        <w:spacing w:after="240"/>
        <w:jc w:val="both"/>
      </w:pPr>
      <w:r w:rsidRPr="004E7471">
        <w:rPr>
          <w:b/>
        </w:rPr>
        <w:t>Arguments</w:t>
      </w:r>
      <w:r>
        <w:rPr>
          <w:b/>
        </w:rPr>
        <w:t xml:space="preserve">: </w:t>
      </w:r>
      <w:r w:rsidR="009B197B">
        <w:t>This</w:t>
      </w:r>
      <w:r w:rsidRPr="00FB5460">
        <w:t xml:space="preserve"> might improve</w:t>
      </w:r>
      <w:r w:rsidR="00992D27">
        <w:t xml:space="preserve"> the quality of services, cut down their cost, and </w:t>
      </w:r>
      <w:r>
        <w:t>indirectly promote health tourism</w:t>
      </w:r>
      <w:r w:rsidR="00A96997">
        <w:t xml:space="preserve">. </w:t>
      </w:r>
      <w:r w:rsidR="00E94BCB" w:rsidRPr="00E652A5">
        <w:rPr>
          <w:b/>
          <w:bCs/>
        </w:rPr>
        <w:t>Counter-</w:t>
      </w:r>
      <w:r w:rsidR="009B197B">
        <w:rPr>
          <w:b/>
        </w:rPr>
        <w:t>a</w:t>
      </w:r>
      <w:r w:rsidRPr="004E7471">
        <w:rPr>
          <w:b/>
        </w:rPr>
        <w:t>rguments</w:t>
      </w:r>
      <w:r>
        <w:rPr>
          <w:b/>
        </w:rPr>
        <w:t xml:space="preserve">: (a) </w:t>
      </w:r>
      <w:r w:rsidR="00992D27">
        <w:t>t</w:t>
      </w:r>
      <w:r>
        <w:t>his could</w:t>
      </w:r>
      <w:r w:rsidRPr="004E7471">
        <w:t xml:space="preserve"> lead to a paradoxical increase in the cost of the products as the product manufacturer will have to take extra measures to ensure </w:t>
      </w:r>
      <w:r w:rsidR="00992D27">
        <w:t xml:space="preserve">a good quality of the products which </w:t>
      </w:r>
      <w:r w:rsidRPr="004E7471">
        <w:t>would indirectly l</w:t>
      </w:r>
      <w:r w:rsidR="00992D27">
        <w:t>ead to an increase in the cost of compensation, and</w:t>
      </w:r>
      <w:r>
        <w:t xml:space="preserve"> (b) </w:t>
      </w:r>
      <w:r w:rsidRPr="004E7471">
        <w:t>CPA is not the only regulatory body for doctors</w:t>
      </w:r>
      <w:r w:rsidR="00BA17CF">
        <w:t xml:space="preserve"> that may</w:t>
      </w:r>
      <w:r w:rsidR="00E94BCB">
        <w:t xml:space="preserve"> </w:t>
      </w:r>
      <w:r w:rsidR="00BA17CF">
        <w:t>impugn</w:t>
      </w:r>
      <w:r w:rsidR="00C45813">
        <w:t xml:space="preserve"> on the clinical professional boundaries</w:t>
      </w:r>
      <w:r w:rsidRPr="004E7471">
        <w:t>. There are a host of other regulatory bodies and laws gov</w:t>
      </w:r>
      <w:r w:rsidR="00992D27">
        <w:t xml:space="preserve">erning </w:t>
      </w:r>
      <w:r w:rsidR="00992D27">
        <w:lastRenderedPageBreak/>
        <w:t>their practice which include</w:t>
      </w:r>
      <w:r w:rsidRPr="004E7471">
        <w:t xml:space="preserve"> </w:t>
      </w:r>
      <w:r w:rsidR="00992D27">
        <w:t>the Medical Council of India</w:t>
      </w:r>
      <w:r w:rsidRPr="004E7471">
        <w:t xml:space="preserve">, State Medical Council, Clinical Establishment Act 2010, National Human Rights Commission, etc. which could lead to litigation of doctors </w:t>
      </w:r>
      <w:r w:rsidR="00992D27">
        <w:t xml:space="preserve">in the civil or criminal courts, additionally. </w:t>
      </w:r>
    </w:p>
    <w:p w14:paraId="42D6B7E7" w14:textId="77777777" w:rsidR="00411C82" w:rsidRDefault="00411C82" w:rsidP="007D5FC0">
      <w:pPr>
        <w:spacing w:after="240"/>
        <w:jc w:val="both"/>
        <w:rPr>
          <w:b/>
        </w:rPr>
      </w:pPr>
    </w:p>
    <w:p w14:paraId="4259F12F" w14:textId="263B9165" w:rsidR="0005458C" w:rsidRDefault="00347204" w:rsidP="007D5FC0">
      <w:pPr>
        <w:spacing w:after="240"/>
        <w:jc w:val="both"/>
        <w:rPr>
          <w:b/>
        </w:rPr>
      </w:pPr>
      <w:r>
        <w:rPr>
          <w:b/>
        </w:rPr>
        <w:t>(7) Telemarketing</w:t>
      </w:r>
      <w:r w:rsidR="00C45813">
        <w:rPr>
          <w:b/>
        </w:rPr>
        <w:t xml:space="preserve"> &amp; e-filing of complaints</w:t>
      </w:r>
      <w:r>
        <w:rPr>
          <w:b/>
        </w:rPr>
        <w:t>: the “hot-cake”</w:t>
      </w:r>
    </w:p>
    <w:p w14:paraId="0F8670DE" w14:textId="77777777" w:rsidR="0005458C" w:rsidRPr="0005458C" w:rsidRDefault="00347204" w:rsidP="007D5FC0">
      <w:pPr>
        <w:spacing w:after="240"/>
        <w:jc w:val="both"/>
        <w:rPr>
          <w:b/>
        </w:rPr>
      </w:pPr>
      <w:r w:rsidRPr="004E7471">
        <w:t xml:space="preserve">The practice of telemedicine is increasing due to various factors like advancement in technology, awareness, affordability, acceptability, convenience, and the requirement due to </w:t>
      </w:r>
      <w:r>
        <w:t>the COVID-19</w:t>
      </w:r>
      <w:r w:rsidRPr="004E7471">
        <w:t xml:space="preserve"> pandemic. </w:t>
      </w:r>
    </w:p>
    <w:p w14:paraId="33A4B17E" w14:textId="5063EF4C" w:rsidR="002A0DAF" w:rsidRDefault="00347204" w:rsidP="007D5FC0">
      <w:pPr>
        <w:spacing w:after="240"/>
        <w:jc w:val="both"/>
      </w:pPr>
      <w:r w:rsidRPr="00D54D9C">
        <w:rPr>
          <w:b/>
        </w:rPr>
        <w:t>Argument</w:t>
      </w:r>
      <w:r>
        <w:rPr>
          <w:b/>
        </w:rPr>
        <w:t xml:space="preserve">: </w:t>
      </w:r>
      <w:r w:rsidR="007E4F91" w:rsidRPr="007E4F91">
        <w:t>(a) t</w:t>
      </w:r>
      <w:r w:rsidRPr="007E4F91">
        <w:t>elemedicine</w:t>
      </w:r>
      <w:r w:rsidRPr="004E7471">
        <w:t xml:space="preserve"> requires the doctors to see the patients with the same level of care and accountability as an in-person consultation. The guidelines for telemedicine are laid and one has to just adhere to these to ensure a safe and transparent practice</w:t>
      </w:r>
      <w:r w:rsidRPr="004E7471">
        <w:fldChar w:fldCharType="begin" w:fldLock="1"/>
      </w:r>
      <w:r w:rsidR="007067BB">
        <w:instrText>ADDIN CSL_CITATION {"citationItems":[{"id":"ITEM-1","itemData":{"id":"ITEM-1","issued":{"date-parts":[["2020"]]},"title":"BOARD OF GOVERNORS In supersession of the Medical Council of India Telemedicine Practice Guidelines Enabling Registered Medical Practitioners to Provide Healthcare Using Telemedicine","type":"report"},"uris":["http://www.mendeley.com/documents/?uuid=beba4b51-9cdf-3124-a20c-358ce7d0ebb8"]}],"mendeley":{"formattedCitation":"(18)","plainTextFormattedCitation":"(18)","previouslyFormattedCitation":"(18)"},"properties":{"noteIndex":0},"schema":"https://github.com/citation-style-language/schema/raw/master/csl-citation.json"}</w:instrText>
      </w:r>
      <w:r w:rsidRPr="004E7471">
        <w:fldChar w:fldCharType="separate"/>
      </w:r>
      <w:r w:rsidR="007067BB" w:rsidRPr="007067BB">
        <w:rPr>
          <w:noProof/>
        </w:rPr>
        <w:t>(18)</w:t>
      </w:r>
      <w:r w:rsidRPr="004E7471">
        <w:fldChar w:fldCharType="end"/>
      </w:r>
      <w:r w:rsidR="007E4F91">
        <w:t>, and (b)</w:t>
      </w:r>
      <w:r w:rsidRPr="004E7471">
        <w:t xml:space="preserve"> </w:t>
      </w:r>
      <w:r w:rsidR="007369A7">
        <w:t>d</w:t>
      </w:r>
      <w:r w:rsidR="007E4F91">
        <w:t xml:space="preserve">ue </w:t>
      </w:r>
      <w:r w:rsidRPr="004E7471">
        <w:t xml:space="preserve">to its potential to reach out to </w:t>
      </w:r>
      <w:r w:rsidR="007E4F91">
        <w:t>distant parts of the country, telemedicine</w:t>
      </w:r>
      <w:r w:rsidRPr="004E7471">
        <w:t xml:space="preserve"> will be a mainstream practice in few years to come</w:t>
      </w:r>
      <w:r w:rsidRPr="004E7471">
        <w:fldChar w:fldCharType="begin" w:fldLock="1"/>
      </w:r>
      <w:r w:rsidR="007067BB">
        <w:instrText>ADDIN CSL_CITATION {"citationItems":[{"id":"ITEM-1","itemData":{"DOI":"10.4103/jfmpc.jfmpc_264_19","ISSN":"2249-4863","abstract":"Telemedicine is considered to be the remote diagnosis and treatment of patients by means of telecommunications technology, thereby providing substantial healthcare to low income regions. Earliest published record of telemedicine is in the first half if the 20th century when ECG was transmitted over telephone lines. From then to today, telemedicine has come a long way in terms of both healthcare delivery and technology. A major role in this was played by NASA and ISRO. The setting up of the National Telemedicine Taskforce by the Health Ministry of India, in 2005, paved way for the success of various projects like the ICMR-AROGYASREE, NeHA and VRCs. Telemedicine also helps family physicians by giving them easy acess to speciality doctors and helping them in close monitoring of patients. Different types of telemedicine services like store and forward, real-time and remote or self-monitoring provides various educational, healthcare delivery and management, disease screening and disaster management services all over the globe. Even though telemedicine cannot be a solution to all the problems, it can surely help decrease the burden of the healthcare system to a large extent.","author":[{"dropping-particle":"","family":"Chellaiyan","given":"VinothG","non-dropping-particle":"","parse-names":false,"suffix":""},{"dropping-particle":"","family":"Nirupama","given":"AY","non-dropping-particle":"","parse-names":false,"suffix":""},{"dropping-particle":"","family":"Taneja","given":"Neha","non-dropping-particle":"","parse-names":false,"suffix":""}],"container-title":"Journal of Family Medicine and Primary Care","id":"ITEM-1","issue":"6","issued":{"date-parts":[["2019"]]},"page":"1872","publisher":"Medknow","title":"Telemedicine in India: Where do we stand?","type":"article-journal","volume":"8"},"uris":["http://www.mendeley.com/documents/?uuid=26649a4b-6447-3258-8766-f5616fdb64b3"]}],"mendeley":{"formattedCitation":"(19)","plainTextFormattedCitation":"(19)","previouslyFormattedCitation":"(19)"},"properties":{"noteIndex":0},"schema":"https://github.com/citation-style-language/schema/raw/master/csl-citation.json"}</w:instrText>
      </w:r>
      <w:r w:rsidRPr="004E7471">
        <w:fldChar w:fldCharType="separate"/>
      </w:r>
      <w:r w:rsidR="007067BB" w:rsidRPr="007067BB">
        <w:rPr>
          <w:noProof/>
        </w:rPr>
        <w:t>(19)</w:t>
      </w:r>
      <w:r w:rsidRPr="004E7471">
        <w:fldChar w:fldCharType="end"/>
      </w:r>
      <w:r w:rsidRPr="004E7471">
        <w:t xml:space="preserve">. </w:t>
      </w:r>
      <w:r w:rsidR="00C45813">
        <w:t>(c) e-filing of complaints would help many patients to fight their cases and they need not go to the consumer court,</w:t>
      </w:r>
      <w:r w:rsidR="00BA17CF">
        <w:t xml:space="preserve"> and therefore</w:t>
      </w:r>
      <w:r w:rsidRPr="004E7471">
        <w:t xml:space="preserve"> needs to be a part of the CPA 2019.</w:t>
      </w:r>
      <w:r w:rsidR="00A96997">
        <w:t xml:space="preserve"> </w:t>
      </w:r>
      <w:r w:rsidR="00C45813" w:rsidRPr="00E652A5">
        <w:rPr>
          <w:b/>
        </w:rPr>
        <w:t>Counter-</w:t>
      </w:r>
      <w:r w:rsidR="00BA17CF">
        <w:rPr>
          <w:b/>
        </w:rPr>
        <w:t>a</w:t>
      </w:r>
      <w:r>
        <w:rPr>
          <w:b/>
        </w:rPr>
        <w:t>rgument</w:t>
      </w:r>
      <w:r w:rsidR="00A96997">
        <w:rPr>
          <w:b/>
        </w:rPr>
        <w:t>s</w:t>
      </w:r>
      <w:r w:rsidR="0005458C">
        <w:rPr>
          <w:b/>
        </w:rPr>
        <w:t xml:space="preserve">: </w:t>
      </w:r>
      <w:r w:rsidR="007369A7">
        <w:t xml:space="preserve">(a) </w:t>
      </w:r>
      <w:r w:rsidR="0005458C" w:rsidRPr="004E7471">
        <w:t>75% of the doctors in India reside in urban areas whereas 68.7% of India’s population resides in rural areas</w:t>
      </w:r>
      <w:r w:rsidR="0005458C" w:rsidRPr="004E7471">
        <w:fldChar w:fldCharType="begin" w:fldLock="1"/>
      </w:r>
      <w:r w:rsidR="007067BB">
        <w:instrText>ADDIN CSL_CITATION {"citationItems":[{"id":"ITEM-1","itemData":{"URL":"https://censusindia.gov.in/2011-prov-results/paper2/data_files/india/Rural_Urban_2011.pdf","accessed":{"date-parts":[["2020","8","8"]]},"id":"ITEM-1","issued":{"date-parts":[["0"]]},"title":"(No Title)","type":"webpage"},"uris":["http://www.mendeley.com/documents/?uuid=c29c7702-2f75-3e5c-91d3-30503ad13138"]}],"mendeley":{"formattedCitation":"(20)","plainTextFormattedCitation":"(20)","previouslyFormattedCitation":"(20)"},"properties":{"noteIndex":0},"schema":"https://github.com/citation-style-language/schema/raw/master/csl-citation.json"}</w:instrText>
      </w:r>
      <w:r w:rsidR="0005458C" w:rsidRPr="004E7471">
        <w:fldChar w:fldCharType="separate"/>
      </w:r>
      <w:r w:rsidR="007067BB" w:rsidRPr="007067BB">
        <w:rPr>
          <w:noProof/>
        </w:rPr>
        <w:t>(20)</w:t>
      </w:r>
      <w:r w:rsidR="0005458C" w:rsidRPr="004E7471">
        <w:fldChar w:fldCharType="end"/>
      </w:r>
      <w:r w:rsidR="0005458C" w:rsidRPr="004E7471">
        <w:t xml:space="preserve">. Telemedicine is known for its </w:t>
      </w:r>
      <w:r w:rsidR="0005458C">
        <w:t xml:space="preserve">utility in </w:t>
      </w:r>
      <w:r w:rsidR="0005458C" w:rsidRPr="004E7471">
        <w:t>remote diagnosis and management of cases</w:t>
      </w:r>
      <w:r w:rsidR="0005458C" w:rsidRPr="004E7471">
        <w:fldChar w:fldCharType="begin" w:fldLock="1"/>
      </w:r>
      <w:r w:rsidR="007067BB">
        <w:instrText>ADDIN CSL_CITATION {"citationItems":[{"id":"ITEM-1","itemData":{"DOI":"10.4103/jfmpc.jfmpc_264_19","ISSN":"2249-4863","abstract":"Telemedicine is considered to be the remote diagnosis and treatment of patients by means of telecommunications technology, thereby providing substantial healthcare to low income regions. Earliest published record of telemedicine is in the first half if the 20th century when ECG was transmitted over telephone lines. From then to today, telemedicine has come a long way in terms of both healthcare delivery and technology. A major role in this was played by NASA and ISRO. The setting up of the National Telemedicine Taskforce by the Health Ministry of India, in 2005, paved way for the success of various projects like the ICMR-AROGYASREE, NeHA and VRCs. Telemedicine also helps family physicians by giving them easy acess to speciality doctors and helping them in close monitoring of patients. Different types of telemedicine services like store and forward, real-time and remote or self-monitoring provides various educational, healthcare delivery and management, disease screening and disaster management services all over the globe. Even though telemedicine cannot be a solution to all the problems, it can surely help decrease the burden of the healthcare system to a large extent.","author":[{"dropping-particle":"","family":"Chellaiyan","given":"VinothG","non-dropping-particle":"","parse-names":false,"suffix":""},{"dropping-particle":"","family":"Nirupama","given":"AY","non-dropping-particle":"","parse-names":false,"suffix":""},{"dropping-particle":"","family":"Taneja","given":"Neha","non-dropping-particle":"","parse-names":false,"suffix":""}],"container-title":"Journal of Family Medicine and Primary Care","id":"ITEM-1","issue":"6","issued":{"date-parts":[["2019"]]},"page":"1872","publisher":"Medknow","title":"Telemedicine in India: Where do we stand?","type":"article-journal","volume":"8"},"uris":["http://www.mendeley.com/documents/?uuid=26649a4b-6447-3258-8766-f5616fdb64b3"]}],"mendeley":{"formattedCitation":"(19)","plainTextFormattedCitation":"(19)","previouslyFormattedCitation":"(19)"},"properties":{"noteIndex":0},"schema":"https://github.com/citation-style-language/schema/raw/master/csl-citation.json"}</w:instrText>
      </w:r>
      <w:r w:rsidR="0005458C" w:rsidRPr="004E7471">
        <w:fldChar w:fldCharType="separate"/>
      </w:r>
      <w:r w:rsidR="007067BB" w:rsidRPr="007067BB">
        <w:rPr>
          <w:noProof/>
        </w:rPr>
        <w:t>(19)</w:t>
      </w:r>
      <w:r w:rsidR="0005458C" w:rsidRPr="004E7471">
        <w:fldChar w:fldCharType="end"/>
      </w:r>
      <w:r w:rsidR="0005458C" w:rsidRPr="004E7471">
        <w:t>. It is, therefore, essential for care in low-income regions. Due to the changes in pecuniary jurisdiction, if the doctors are required to travel to remote areas for hearings, it may propagate a defensive practice and consultation of patients fro</w:t>
      </w:r>
      <w:r w:rsidR="007369A7">
        <w:t xml:space="preserve">m distant places may be avoided, and (b) </w:t>
      </w:r>
      <w:r w:rsidR="00C45813">
        <w:t>bringing the telemedic</w:t>
      </w:r>
      <w:r w:rsidR="00BA17CF">
        <w:t>ine under the ambit of CPA 2019</w:t>
      </w:r>
      <w:r w:rsidR="00C45813">
        <w:t xml:space="preserve"> may have a serious impact on the growth of telem</w:t>
      </w:r>
      <w:r w:rsidR="00C678E3">
        <w:t>e</w:t>
      </w:r>
      <w:r w:rsidR="00C45813">
        <w:t>dicine specialty, because the patient can give complaint in his home town and the doctor will have to fight the case sitting in a different city &amp; (c) e-filing of complaints may increase the number of frivolous cases against doctors and other service providers enormously and may have a direct impact on the quality of medical services, defensive pra</w:t>
      </w:r>
      <w:r w:rsidR="00FD209C">
        <w:t>ctices may increase, cost of medical services may increase,</w:t>
      </w:r>
      <w:r w:rsidR="00C45813">
        <w:t xml:space="preserve"> and </w:t>
      </w:r>
      <w:r w:rsidR="00FD209C">
        <w:t xml:space="preserve">the quality of the </w:t>
      </w:r>
      <w:r w:rsidR="00C45813">
        <w:t>justice provided under the CPA</w:t>
      </w:r>
      <w:r w:rsidR="00BA17CF">
        <w:t xml:space="preserve"> may also suffer</w:t>
      </w:r>
      <w:r w:rsidR="00C45813">
        <w:t xml:space="preserve">. </w:t>
      </w:r>
    </w:p>
    <w:p w14:paraId="5039F521" w14:textId="77777777" w:rsidR="001E6975" w:rsidRDefault="001E6975" w:rsidP="007D5FC0">
      <w:pPr>
        <w:spacing w:after="240"/>
        <w:jc w:val="both"/>
        <w:rPr>
          <w:b/>
        </w:rPr>
      </w:pPr>
    </w:p>
    <w:p w14:paraId="5A7DE255" w14:textId="77777777" w:rsidR="007662A2" w:rsidRPr="00D54D9C" w:rsidRDefault="00347204" w:rsidP="007D5FC0">
      <w:pPr>
        <w:spacing w:after="240"/>
        <w:jc w:val="both"/>
      </w:pPr>
      <w:r w:rsidRPr="004E7471">
        <w:rPr>
          <w:b/>
        </w:rPr>
        <w:t xml:space="preserve">Conclusions </w:t>
      </w:r>
    </w:p>
    <w:p w14:paraId="2A60AD93" w14:textId="39C8F1E8" w:rsidR="007662A2" w:rsidRPr="004E7471" w:rsidRDefault="00347204" w:rsidP="007D5FC0">
      <w:pPr>
        <w:spacing w:after="240"/>
        <w:jc w:val="both"/>
        <w:rPr>
          <w:b/>
        </w:rPr>
      </w:pPr>
      <w:r>
        <w:t>The</w:t>
      </w:r>
      <w:r w:rsidR="00966C2A" w:rsidRPr="004E7471">
        <w:t xml:space="preserve"> introduction of several novel provisions, changes in the existing provisions, and simplification of the procedures will all act synergistically as a significant tool in protecting consumer rights in India.</w:t>
      </w:r>
      <w:r w:rsidR="009D573C">
        <w:t xml:space="preserve"> However, certain nuances that require a closer look at the interpretation of the law have been highlighted.</w:t>
      </w:r>
      <w:r w:rsidR="00966C2A" w:rsidRPr="004E7471">
        <w:t xml:space="preserve"> </w:t>
      </w:r>
      <w:r w:rsidR="009D573C">
        <w:t>There are certain forms of evidence-based mental health services such as psychotherapy which are dependent on the various therapist, illness, and patient-related factors for its outcomes. Would the failure of psychotherapy be considered as a ground for litigation? Would treatment modalities like psychotherapy, complementary, and alternative medicine</w:t>
      </w:r>
      <w:r w:rsidR="007369A7">
        <w:t xml:space="preserve"> also be a part of services under CPA 2019? </w:t>
      </w:r>
      <w:r w:rsidR="00966C2A" w:rsidRPr="004E7471">
        <w:t>As the brunt of compensation is most o</w:t>
      </w:r>
      <w:r w:rsidR="0005458C">
        <w:t xml:space="preserve">f the time borne by doctors, it might be important that (a) all doctors </w:t>
      </w:r>
      <w:r w:rsidR="00966C2A" w:rsidRPr="004E7471">
        <w:t>have indemnity insurance as more than 80% of healthcare in India is dispensed by the private sectors</w:t>
      </w:r>
      <w:r w:rsidR="00966C2A" w:rsidRPr="004E7471">
        <w:fldChar w:fldCharType="begin" w:fldLock="1"/>
      </w:r>
      <w:r w:rsidR="007067BB">
        <w:instrText>ADDIN CSL_CITATION {"citationItems":[{"id":"ITEM-1","itemData":{"DOI":"10.4103/0972-2327.192887","ISSN":"19983549","abstract":"In a recent judgment on medical negligence, the Supreme Court awarded compensation amounting to Rs. 11 crore to a victim, which was to be paid by the doctors and the private hospital deemed responsible for the wrongful death of a patient. This landmark decision was by far the largest compensation award in the history of Indian medical negligence litigation. Hence, the process of calculating compensation for medical negligence has received great attention and debate, largely due to the impact that it is going to have on the practice of medicine within the country, in the near future. However, the method of calculation of compensation is unpredictable as it varies hugely across different cases, courts and tribunals resulting, in a loss of faith in the system, protracted litigation, and frequent appeals. With over 80% of India's healthcare being provided by the private sector, predictability and uniformity in the regulation of compensation in medical negligence would benefit the victims and the doctors concerned. A basic knowledge of how medical negligence compensation is calculated and adjudicated in the judicial courts of India will aid a doctor in planning his/her professional indemnity insurance, as well as in practicing his/her profession without undue worry about facing litigation for alleged medical negligence. This article addresses the merits and demerits of large compensation awards, and also discusses whether the system is broken, needs a quick fix, or a massive overhaul.","author":[{"dropping-particle":"","family":"Chandra","given":"Meghana S.","non-dropping-particle":"","parse-names":false,"suffix":""},{"dropping-particle":"","family":"Math","given":"Suresh Bada","non-dropping-particle":"","parse-names":false,"suffix":""}],"container-title":"Annals of Indian Academy of Neurology","id":"ITEM-1","issue":"5","issued":{"date-parts":[["2016","10","1"]]},"page":"S21-S27","publisher":"Medknow Publications","title":"Progress in Medicine: Compensation and medical negligence in India: Does the system need a quick fix or an overhaul?","type":"article","volume":"19"},"uris":["http://www.mendeley.com/documents/?uuid=d01b7c4d-5799-3aa7-a158-f92732875696"]}],"mendeley":{"formattedCitation":"(17)","plainTextFormattedCitation":"(17)","previouslyFormattedCitation":"(17)"},"properties":{"noteIndex":0},"schema":"https://github.com/citation-style-language/schema/raw/master/csl-citation.json"}</w:instrText>
      </w:r>
      <w:r w:rsidR="00966C2A" w:rsidRPr="004E7471">
        <w:fldChar w:fldCharType="separate"/>
      </w:r>
      <w:r w:rsidR="007067BB" w:rsidRPr="007067BB">
        <w:rPr>
          <w:noProof/>
        </w:rPr>
        <w:t>(17)</w:t>
      </w:r>
      <w:r w:rsidR="00966C2A" w:rsidRPr="004E7471">
        <w:fldChar w:fldCharType="end"/>
      </w:r>
      <w:r w:rsidR="00C354A2">
        <w:t>,</w:t>
      </w:r>
      <w:r w:rsidR="00E9408B">
        <w:t xml:space="preserve"> (b) </w:t>
      </w:r>
      <w:r w:rsidR="00966C2A" w:rsidRPr="004E7471">
        <w:t>a uniform and predictable method of calculating c</w:t>
      </w:r>
      <w:r w:rsidR="00E9408B">
        <w:t xml:space="preserve">ompensation or </w:t>
      </w:r>
      <w:r w:rsidR="00966C2A" w:rsidRPr="004E7471">
        <w:t>a no-fault liability system</w:t>
      </w:r>
      <w:r w:rsidR="00E9408B">
        <w:t xml:space="preserve"> geared up having</w:t>
      </w:r>
      <w:r w:rsidR="00966C2A" w:rsidRPr="004E7471">
        <w:t xml:space="preserve"> upper limits to the compensation</w:t>
      </w:r>
      <w:r w:rsidR="00E9408B">
        <w:t xml:space="preserve"> amount and (c) </w:t>
      </w:r>
      <w:r w:rsidR="00966C2A" w:rsidRPr="004E7471">
        <w:t xml:space="preserve">State held responsibility in financing the claims of the compensation. </w:t>
      </w:r>
      <w:r w:rsidR="003F0F0B">
        <w:t>As the number of litigations is expected to increase, it would be vital to have mechanisms for timely dispensation of cases to prevent violence against doctors and for early redressal of the consumers’ grievances. This would require increasing the number of courts</w:t>
      </w:r>
      <w:r w:rsidR="00E9408B">
        <w:t xml:space="preserve"> and resources</w:t>
      </w:r>
      <w:r w:rsidR="003F0F0B">
        <w:t xml:space="preserve">, especially at the district level. </w:t>
      </w:r>
      <w:r w:rsidR="003F0F0B">
        <w:lastRenderedPageBreak/>
        <w:t xml:space="preserve">For </w:t>
      </w:r>
      <w:r w:rsidR="00E9408B">
        <w:t xml:space="preserve">the </w:t>
      </w:r>
      <w:r w:rsidR="003F0F0B">
        <w:t>lack of any inherent retribution for filing false complaints, the number of frivolous cases might increase</w:t>
      </w:r>
      <w:r w:rsidR="00E9408B">
        <w:t>,</w:t>
      </w:r>
      <w:r w:rsidR="003F0F0B">
        <w:t xml:space="preserve"> therefore mechanisms like fining false complaints should be rolled in and if the doctors are not found guilty, loss of pay should be granted</w:t>
      </w:r>
      <w:r w:rsidR="00E9408B">
        <w:t xml:space="preserve"> to them</w:t>
      </w:r>
      <w:r w:rsidR="003F0F0B">
        <w:t xml:space="preserve">. </w:t>
      </w:r>
      <w:r w:rsidR="00966C2A" w:rsidRPr="004E7471">
        <w:t>As the re</w:t>
      </w:r>
      <w:r w:rsidR="00E9408B">
        <w:t>solution of litigations requires</w:t>
      </w:r>
      <w:r w:rsidR="00966C2A" w:rsidRPr="004E7471">
        <w:t xml:space="preserve"> expertise</w:t>
      </w:r>
      <w:r w:rsidR="00D774A1" w:rsidRPr="004E7471">
        <w:t>,</w:t>
      </w:r>
      <w:r w:rsidR="00966C2A" w:rsidRPr="004E7471">
        <w:t xml:space="preserve"> </w:t>
      </w:r>
      <w:r w:rsidR="00C33B6F">
        <w:t>it is</w:t>
      </w:r>
      <w:r w:rsidR="00966C2A" w:rsidRPr="004E7471">
        <w:t xml:space="preserve"> recommend</w:t>
      </w:r>
      <w:r w:rsidR="00C33B6F">
        <w:t>ed</w:t>
      </w:r>
      <w:r w:rsidR="00966C2A" w:rsidRPr="004E7471">
        <w:t xml:space="preserve"> that doctors</w:t>
      </w:r>
      <w:r w:rsidR="00C33B6F">
        <w:t xml:space="preserve"> should</w:t>
      </w:r>
      <w:r w:rsidR="00966C2A" w:rsidRPr="004E7471">
        <w:t xml:space="preserve"> be a part of the bench of various commissions and mediation cells. There is </w:t>
      </w:r>
      <w:r w:rsidR="00E9408B">
        <w:t xml:space="preserve">also </w:t>
      </w:r>
      <w:r w:rsidR="00966C2A" w:rsidRPr="004E7471">
        <w:t>a need to relook into the requirement of the number of reg</w:t>
      </w:r>
      <w:r w:rsidR="00E9408B">
        <w:t>ulatory bodies for the doctors.</w:t>
      </w:r>
      <w:r w:rsidR="00E217E9">
        <w:t xml:space="preserve"> Lastly, it is</w:t>
      </w:r>
      <w:r w:rsidR="00312340">
        <w:t xml:space="preserve"> important to take steps to enhance the awareness of this "game-changing" act among health care professionals.  </w:t>
      </w:r>
    </w:p>
    <w:p w14:paraId="59EF99F2" w14:textId="77777777" w:rsidR="001E6975" w:rsidRDefault="001E6975" w:rsidP="007D5FC0">
      <w:pPr>
        <w:spacing w:after="240"/>
        <w:jc w:val="both"/>
        <w:rPr>
          <w:b/>
        </w:rPr>
      </w:pPr>
    </w:p>
    <w:p w14:paraId="57F1C5EF" w14:textId="77777777" w:rsidR="007662A2" w:rsidRPr="004E7471" w:rsidRDefault="00347204" w:rsidP="007D5FC0">
      <w:pPr>
        <w:spacing w:after="240"/>
        <w:jc w:val="both"/>
        <w:rPr>
          <w:b/>
        </w:rPr>
      </w:pPr>
      <w:r w:rsidRPr="004E7471">
        <w:rPr>
          <w:b/>
        </w:rPr>
        <w:t xml:space="preserve">References </w:t>
      </w:r>
    </w:p>
    <w:p w14:paraId="714346AD" w14:textId="77777777" w:rsidR="007067BB" w:rsidRPr="007067BB" w:rsidRDefault="00347204" w:rsidP="007D5FC0">
      <w:pPr>
        <w:widowControl w:val="0"/>
        <w:autoSpaceDE w:val="0"/>
        <w:autoSpaceDN w:val="0"/>
        <w:adjustRightInd w:val="0"/>
        <w:spacing w:after="240"/>
        <w:ind w:left="640" w:hanging="640"/>
        <w:jc w:val="both"/>
        <w:rPr>
          <w:noProof/>
        </w:rPr>
      </w:pPr>
      <w:r w:rsidRPr="004E7471">
        <w:rPr>
          <w:b/>
        </w:rPr>
        <w:fldChar w:fldCharType="begin" w:fldLock="1"/>
      </w:r>
      <w:r w:rsidRPr="004E7471">
        <w:rPr>
          <w:b/>
        </w:rPr>
        <w:instrText xml:space="preserve">ADDIN Mendeley Bibliography CSL_BIBLIOGRAPHY </w:instrText>
      </w:r>
      <w:r w:rsidRPr="004E7471">
        <w:rPr>
          <w:b/>
        </w:rPr>
        <w:fldChar w:fldCharType="separate"/>
      </w:r>
      <w:r w:rsidRPr="007067BB">
        <w:rPr>
          <w:noProof/>
        </w:rPr>
        <w:t xml:space="preserve">1. </w:t>
      </w:r>
      <w:r w:rsidRPr="007067BB">
        <w:rPr>
          <w:noProof/>
        </w:rPr>
        <w:tab/>
        <w:t xml:space="preserve">Dorr Goold S, Lipkin M. The Doctor-Patient Relationship Challenges, Opportunities, and Strategies </w:t>
      </w:r>
      <w:r w:rsidR="00D82744" w:rsidRPr="007067BB">
        <w:rPr>
          <w:noProof/>
        </w:rPr>
        <w:t>a special relationship</w:t>
      </w:r>
      <w:r w:rsidRPr="007067BB">
        <w:rPr>
          <w:noProof/>
        </w:rPr>
        <w:t xml:space="preserve">. 1997. </w:t>
      </w:r>
    </w:p>
    <w:p w14:paraId="3CFB476B"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2. </w:t>
      </w:r>
      <w:r w:rsidRPr="007067BB">
        <w:rPr>
          <w:noProof/>
        </w:rPr>
        <w:tab/>
        <w:t>Ghosh K. Violence against doctors: A wake-up call [Internet]. Vol. 148, Indian Journal of Medical Research. Indian Council of Medical Research; 2018 [cited 2020 Oct 10]. p. 130–3. Available from: https://www.ncbi.nlm.nih.gov/pmc/articles/PMC6206759/</w:t>
      </w:r>
    </w:p>
    <w:p w14:paraId="0EEFB55B"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3. </w:t>
      </w:r>
      <w:r w:rsidRPr="007067BB">
        <w:rPr>
          <w:noProof/>
        </w:rPr>
        <w:tab/>
        <w:t>‘Only 15% medical negligence cases genuine’ | Gurgaon News - Times of India [Internet]. [cited 2020 Oct 10]. Available from: https://timesofindia.indiatimes.com/city/gurgaon/only-15-medical-negligence-cases-genuine/articleshow/67579198.cms</w:t>
      </w:r>
    </w:p>
    <w:p w14:paraId="1D0D239A" w14:textId="77777777" w:rsidR="007067BB" w:rsidRPr="007067BB" w:rsidRDefault="00347204" w:rsidP="007D5FC0">
      <w:pPr>
        <w:widowControl w:val="0"/>
        <w:autoSpaceDE w:val="0"/>
        <w:autoSpaceDN w:val="0"/>
        <w:adjustRightInd w:val="0"/>
        <w:spacing w:after="240"/>
        <w:ind w:left="640" w:hanging="640"/>
        <w:jc w:val="both"/>
        <w:rPr>
          <w:noProof/>
        </w:rPr>
      </w:pPr>
      <w:r>
        <w:rPr>
          <w:noProof/>
        </w:rPr>
        <w:t xml:space="preserve">4. </w:t>
      </w:r>
      <w:r>
        <w:rPr>
          <w:noProof/>
        </w:rPr>
        <w:tab/>
      </w:r>
      <w:r w:rsidRPr="007067BB">
        <w:rPr>
          <w:noProof/>
        </w:rPr>
        <w:t>http://legislative.gov.in/sites/default/files/A1986-68_0.pdf</w:t>
      </w:r>
    </w:p>
    <w:p w14:paraId="1C1B7F9F"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5. </w:t>
      </w:r>
      <w:r w:rsidRPr="007067BB">
        <w:rPr>
          <w:noProof/>
        </w:rPr>
        <w:tab/>
        <w:t>Dr. A.S. Chandra And Ors. vs Union Of India (Uoi) And Ors. on 17 April, 1992 [Internet]. [cited 2020 Jul 31]. Available from: https://indiankanoon.org/doc/1595175/?type=print</w:t>
      </w:r>
    </w:p>
    <w:p w14:paraId="65FBC4D6"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6. </w:t>
      </w:r>
      <w:r w:rsidRPr="007067BB">
        <w:rPr>
          <w:noProof/>
        </w:rPr>
        <w:tab/>
        <w:t>Indian Medical Association vs V.P. Shantha &amp; Ors on 13 November, 1995 [Internet]. [cited 2020 Jul 29]. Available from: https://indiankanoon.org/doc/723973/</w:t>
      </w:r>
    </w:p>
    <w:p w14:paraId="06BB29ED"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7. </w:t>
      </w:r>
      <w:r w:rsidRPr="007067BB">
        <w:rPr>
          <w:noProof/>
        </w:rPr>
        <w:tab/>
        <w:t xml:space="preserve">Mohanty A. Medical Negligence under Consumer Protection Act: A Judicial Approach. </w:t>
      </w:r>
    </w:p>
    <w:p w14:paraId="554416F4"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8. </w:t>
      </w:r>
      <w:r w:rsidRPr="007067BB">
        <w:rPr>
          <w:noProof/>
        </w:rPr>
        <w:tab/>
        <w:t>Healthcare to be out of consumer courts [Internet]. [cited 2020 Oct 10]. Available from: https://www.deccanchronicle.com/nation/current-affairs/080719/healthcare-to-be-out-of-consumer-courts.html</w:t>
      </w:r>
    </w:p>
    <w:p w14:paraId="30316EC6"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9. </w:t>
      </w:r>
      <w:r w:rsidRPr="007067BB">
        <w:rPr>
          <w:noProof/>
        </w:rPr>
        <w:tab/>
        <w:t>Pandit MS, Pandit S. Medical negligence: Coverage of the profession, duties, ethics, case law, and enlightened defense - A legal perspective. In: Indian Journal of Urology [Internet]. Wolters Kluwer -- Medknow Publications; 2009 [cited 2020 Aug 6]. p. 372–8. Available from: /pmc/articles/PMC2779963/?report=abstract</w:t>
      </w:r>
    </w:p>
    <w:p w14:paraId="73737D7D"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10. </w:t>
      </w:r>
      <w:r w:rsidRPr="007067BB">
        <w:rPr>
          <w:noProof/>
        </w:rPr>
        <w:tab/>
        <w:t>Singh K, Shetty S, Bhat N, Sharda A, Agrawal A, Chaudhary H. Awareness of Consumer Protection Act among Doctors in Udaipur City, India. J Dent (Tehran) [Internet]. 2010 [cited 2020 Oct 10];7(1):19–23. Available from: http://www.ncbi.nlm.nih.gov/pubmed/21998771</w:t>
      </w:r>
    </w:p>
    <w:p w14:paraId="30A22344" w14:textId="77777777" w:rsidR="007067BB" w:rsidRPr="007067BB" w:rsidRDefault="00347204" w:rsidP="007D5FC0">
      <w:pPr>
        <w:widowControl w:val="0"/>
        <w:autoSpaceDE w:val="0"/>
        <w:autoSpaceDN w:val="0"/>
        <w:adjustRightInd w:val="0"/>
        <w:spacing w:after="240"/>
        <w:ind w:left="640" w:hanging="640"/>
        <w:jc w:val="both"/>
        <w:rPr>
          <w:noProof/>
        </w:rPr>
      </w:pPr>
      <w:r>
        <w:rPr>
          <w:noProof/>
        </w:rPr>
        <w:t xml:space="preserve">11. </w:t>
      </w:r>
      <w:r>
        <w:rPr>
          <w:noProof/>
        </w:rPr>
        <w:tab/>
      </w:r>
      <w:r w:rsidRPr="007067BB">
        <w:rPr>
          <w:noProof/>
        </w:rPr>
        <w:t>http://www.mlam.in/pdf/currentissue/awareness-about-consumer-protection-act-among-junior-doctors.pdf</w:t>
      </w:r>
    </w:p>
    <w:p w14:paraId="572FAF1C"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lastRenderedPageBreak/>
        <w:t xml:space="preserve">12. </w:t>
      </w:r>
      <w:r w:rsidRPr="007067BB">
        <w:rPr>
          <w:noProof/>
        </w:rPr>
        <w:tab/>
        <w:t>Pecuniary | Definition of Pecuniary by Oxford Dictionary on Lexico.com also meaning of Pecuniary [Internet]. [cited 2020 Aug 7]. Available from: https://www.lexico.com/en/definition/pecuniary</w:t>
      </w:r>
    </w:p>
    <w:p w14:paraId="5B5DA2FB"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13. </w:t>
      </w:r>
      <w:r w:rsidRPr="007067BB">
        <w:rPr>
          <w:noProof/>
        </w:rPr>
        <w:tab/>
        <w:t>Jurisdiction | Definition of Jurisdiction by Oxford Dictionary on Lexico.com also meaning of Jurisdiction [Internet]. [cited 2020 Aug 7]. Available from: https://www.lexico.com/en/definition/jurisdiction</w:t>
      </w:r>
    </w:p>
    <w:p w14:paraId="324260E9"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14. </w:t>
      </w:r>
      <w:r w:rsidRPr="007067BB">
        <w:rPr>
          <w:noProof/>
        </w:rPr>
        <w:tab/>
        <w:t>Mediation in India [Internet]. [cited 2020 Aug 7]. Available from: https://www.mediate.com/articles/mediation-in-india-articile.cfm</w:t>
      </w:r>
    </w:p>
    <w:p w14:paraId="378C896F"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15. </w:t>
      </w:r>
      <w:r w:rsidRPr="007067BB">
        <w:rPr>
          <w:noProof/>
        </w:rPr>
        <w:tab/>
        <w:t>Patients are now suing doctors at an alarming rate : Mahendrakumar Bajpai, Health News, ET HealthWorld [Internet]. [cited 2020 Oct 10]. Available from: https://health.economictimes.indiatimes.com/news/industry/patients-are-now-suing-doctors-at-an-alarming-rate-mahendrakumar-bajpai/51420266</w:t>
      </w:r>
    </w:p>
    <w:p w14:paraId="25814968"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16. </w:t>
      </w:r>
      <w:r w:rsidRPr="007067BB">
        <w:rPr>
          <w:noProof/>
        </w:rPr>
        <w:tab/>
        <w:t>Medical litigation cases go up by 400%, show stats, Health News, ET HealthWorld [Internet]. [cited 2020 Oct 10]. Available from: https://health.economictimes.indiatimes.com/news/industry/medical-litigation-cases-go-up-by-400-show-stats/50062328</w:t>
      </w:r>
    </w:p>
    <w:p w14:paraId="6BE9EBB4"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17. </w:t>
      </w:r>
      <w:r w:rsidRPr="007067BB">
        <w:rPr>
          <w:noProof/>
        </w:rPr>
        <w:tab/>
        <w:t>Chandra MS, Math SB. Progress in Medicine: Compensation and medical negligence in India: Does the system need a quick fix or an overhaul? [Internet]. Vol. 19, Annals of Indian Academy of Neurology. Medknow Publications; 2016 [cited 2020 Aug 1]. p. S21–7. Available from: /pmc/articles/PMC5109756/?report=abstract</w:t>
      </w:r>
    </w:p>
    <w:p w14:paraId="080438D4"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18. </w:t>
      </w:r>
      <w:r w:rsidRPr="007067BB">
        <w:rPr>
          <w:noProof/>
        </w:rPr>
        <w:tab/>
        <w:t xml:space="preserve">BOARD OF GOVERNORS In supersession of the Medical Council of India Telemedicine Practice Guidelines Enabling Registered Medical Practitioners to Provide Healthcare Using Telemedicine. 2020. </w:t>
      </w:r>
    </w:p>
    <w:p w14:paraId="2504C7CD"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19. </w:t>
      </w:r>
      <w:r w:rsidRPr="007067BB">
        <w:rPr>
          <w:noProof/>
        </w:rPr>
        <w:tab/>
        <w:t>Chellaiyan V, Nirupama A, Taneja N. Telemedicine in India: Where do we stand? J Fam Med Prim Care [Internet]. 2019 [cited 2020 Aug 8];8(6):1872. Available from: /pmc/articles/PMC6618173/?report=abstract</w:t>
      </w:r>
    </w:p>
    <w:p w14:paraId="4371D272"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20. </w:t>
      </w:r>
      <w:r w:rsidRPr="007067BB">
        <w:rPr>
          <w:noProof/>
        </w:rPr>
        <w:tab/>
        <w:t>https://censusindia.gov.in/2011-prov-results/paper2/data_files/india/Rural_Urban_</w:t>
      </w:r>
      <w:r w:rsidR="00D82744">
        <w:rPr>
          <w:noProof/>
        </w:rPr>
        <w:t xml:space="preserve"> </w:t>
      </w:r>
      <w:r w:rsidRPr="007067BB">
        <w:rPr>
          <w:noProof/>
        </w:rPr>
        <w:t>2011.pdf</w:t>
      </w:r>
    </w:p>
    <w:p w14:paraId="00A34A7E" w14:textId="77777777" w:rsidR="007662A2" w:rsidRPr="004E7471" w:rsidRDefault="00347204" w:rsidP="007D5FC0">
      <w:pPr>
        <w:jc w:val="both"/>
      </w:pPr>
      <w:r w:rsidRPr="004E7471">
        <w:rPr>
          <w:b/>
        </w:rPr>
        <w:fldChar w:fldCharType="end"/>
      </w:r>
    </w:p>
    <w:p w14:paraId="136D668B" w14:textId="77777777" w:rsidR="007662A2" w:rsidRPr="004E7471" w:rsidRDefault="007662A2" w:rsidP="007D5FC0">
      <w:pPr>
        <w:jc w:val="both"/>
      </w:pPr>
    </w:p>
    <w:p w14:paraId="6703A0C3" w14:textId="77777777" w:rsidR="007662A2" w:rsidRPr="004E7471" w:rsidRDefault="007662A2" w:rsidP="007D5FC0">
      <w:pPr>
        <w:jc w:val="both"/>
      </w:pPr>
    </w:p>
    <w:p w14:paraId="113B3C03" w14:textId="77777777" w:rsidR="007662A2" w:rsidRPr="004E7471" w:rsidRDefault="007662A2" w:rsidP="007D5FC0">
      <w:pPr>
        <w:jc w:val="both"/>
      </w:pPr>
    </w:p>
    <w:sectPr w:rsidR="007662A2" w:rsidRPr="004E7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70AFC"/>
    <w:multiLevelType w:val="hybridMultilevel"/>
    <w:tmpl w:val="D2E898CE"/>
    <w:lvl w:ilvl="0" w:tplc="C00AFB7E">
      <w:start w:val="1"/>
      <w:numFmt w:val="lowerLetter"/>
      <w:lvlText w:val="%1)"/>
      <w:lvlJc w:val="left"/>
      <w:pPr>
        <w:ind w:left="720" w:hanging="360"/>
      </w:pPr>
      <w:rPr>
        <w:rFonts w:hint="default"/>
      </w:rPr>
    </w:lvl>
    <w:lvl w:ilvl="1" w:tplc="AF7A4A7E" w:tentative="1">
      <w:start w:val="1"/>
      <w:numFmt w:val="lowerLetter"/>
      <w:lvlText w:val="%2."/>
      <w:lvlJc w:val="left"/>
      <w:pPr>
        <w:ind w:left="1440" w:hanging="360"/>
      </w:pPr>
    </w:lvl>
    <w:lvl w:ilvl="2" w:tplc="3B4AF52C" w:tentative="1">
      <w:start w:val="1"/>
      <w:numFmt w:val="lowerRoman"/>
      <w:lvlText w:val="%3."/>
      <w:lvlJc w:val="right"/>
      <w:pPr>
        <w:ind w:left="2160" w:hanging="180"/>
      </w:pPr>
    </w:lvl>
    <w:lvl w:ilvl="3" w:tplc="2A92A752" w:tentative="1">
      <w:start w:val="1"/>
      <w:numFmt w:val="decimal"/>
      <w:lvlText w:val="%4."/>
      <w:lvlJc w:val="left"/>
      <w:pPr>
        <w:ind w:left="2880" w:hanging="360"/>
      </w:pPr>
    </w:lvl>
    <w:lvl w:ilvl="4" w:tplc="6A1ACFD8" w:tentative="1">
      <w:start w:val="1"/>
      <w:numFmt w:val="lowerLetter"/>
      <w:lvlText w:val="%5."/>
      <w:lvlJc w:val="left"/>
      <w:pPr>
        <w:ind w:left="3600" w:hanging="360"/>
      </w:pPr>
    </w:lvl>
    <w:lvl w:ilvl="5" w:tplc="40A46450" w:tentative="1">
      <w:start w:val="1"/>
      <w:numFmt w:val="lowerRoman"/>
      <w:lvlText w:val="%6."/>
      <w:lvlJc w:val="right"/>
      <w:pPr>
        <w:ind w:left="4320" w:hanging="180"/>
      </w:pPr>
    </w:lvl>
    <w:lvl w:ilvl="6" w:tplc="BCD49E1A" w:tentative="1">
      <w:start w:val="1"/>
      <w:numFmt w:val="decimal"/>
      <w:lvlText w:val="%7."/>
      <w:lvlJc w:val="left"/>
      <w:pPr>
        <w:ind w:left="5040" w:hanging="360"/>
      </w:pPr>
    </w:lvl>
    <w:lvl w:ilvl="7" w:tplc="EE6A0FA4" w:tentative="1">
      <w:start w:val="1"/>
      <w:numFmt w:val="lowerLetter"/>
      <w:lvlText w:val="%8."/>
      <w:lvlJc w:val="left"/>
      <w:pPr>
        <w:ind w:left="5760" w:hanging="360"/>
      </w:pPr>
    </w:lvl>
    <w:lvl w:ilvl="8" w:tplc="56CC51EC" w:tentative="1">
      <w:start w:val="1"/>
      <w:numFmt w:val="lowerRoman"/>
      <w:lvlText w:val="%9."/>
      <w:lvlJc w:val="right"/>
      <w:pPr>
        <w:ind w:left="6480" w:hanging="180"/>
      </w:pPr>
    </w:lvl>
  </w:abstractNum>
  <w:abstractNum w:abstractNumId="1">
    <w:nsid w:val="28D70584"/>
    <w:multiLevelType w:val="hybridMultilevel"/>
    <w:tmpl w:val="90DCD45E"/>
    <w:lvl w:ilvl="0" w:tplc="7390DA9C">
      <w:start w:val="1"/>
      <w:numFmt w:val="decimal"/>
      <w:lvlText w:val="%1."/>
      <w:lvlJc w:val="left"/>
      <w:pPr>
        <w:ind w:left="720" w:hanging="360"/>
      </w:pPr>
    </w:lvl>
    <w:lvl w:ilvl="1" w:tplc="2ED62B3E" w:tentative="1">
      <w:start w:val="1"/>
      <w:numFmt w:val="lowerLetter"/>
      <w:lvlText w:val="%2."/>
      <w:lvlJc w:val="left"/>
      <w:pPr>
        <w:ind w:left="1440" w:hanging="360"/>
      </w:pPr>
    </w:lvl>
    <w:lvl w:ilvl="2" w:tplc="414EC45C" w:tentative="1">
      <w:start w:val="1"/>
      <w:numFmt w:val="lowerRoman"/>
      <w:lvlText w:val="%3."/>
      <w:lvlJc w:val="right"/>
      <w:pPr>
        <w:ind w:left="2160" w:hanging="180"/>
      </w:pPr>
    </w:lvl>
    <w:lvl w:ilvl="3" w:tplc="BAA845D4" w:tentative="1">
      <w:start w:val="1"/>
      <w:numFmt w:val="decimal"/>
      <w:lvlText w:val="%4."/>
      <w:lvlJc w:val="left"/>
      <w:pPr>
        <w:ind w:left="2880" w:hanging="360"/>
      </w:pPr>
    </w:lvl>
    <w:lvl w:ilvl="4" w:tplc="29643604" w:tentative="1">
      <w:start w:val="1"/>
      <w:numFmt w:val="lowerLetter"/>
      <w:lvlText w:val="%5."/>
      <w:lvlJc w:val="left"/>
      <w:pPr>
        <w:ind w:left="3600" w:hanging="360"/>
      </w:pPr>
    </w:lvl>
    <w:lvl w:ilvl="5" w:tplc="938C0A00" w:tentative="1">
      <w:start w:val="1"/>
      <w:numFmt w:val="lowerRoman"/>
      <w:lvlText w:val="%6."/>
      <w:lvlJc w:val="right"/>
      <w:pPr>
        <w:ind w:left="4320" w:hanging="180"/>
      </w:pPr>
    </w:lvl>
    <w:lvl w:ilvl="6" w:tplc="E4288DF6" w:tentative="1">
      <w:start w:val="1"/>
      <w:numFmt w:val="decimal"/>
      <w:lvlText w:val="%7."/>
      <w:lvlJc w:val="left"/>
      <w:pPr>
        <w:ind w:left="5040" w:hanging="360"/>
      </w:pPr>
    </w:lvl>
    <w:lvl w:ilvl="7" w:tplc="8822FE2A" w:tentative="1">
      <w:start w:val="1"/>
      <w:numFmt w:val="lowerLetter"/>
      <w:lvlText w:val="%8."/>
      <w:lvlJc w:val="left"/>
      <w:pPr>
        <w:ind w:left="5760" w:hanging="360"/>
      </w:pPr>
    </w:lvl>
    <w:lvl w:ilvl="8" w:tplc="40100AD4" w:tentative="1">
      <w:start w:val="1"/>
      <w:numFmt w:val="lowerRoman"/>
      <w:lvlText w:val="%9."/>
      <w:lvlJc w:val="right"/>
      <w:pPr>
        <w:ind w:left="6480" w:hanging="180"/>
      </w:pPr>
    </w:lvl>
  </w:abstractNum>
  <w:abstractNum w:abstractNumId="2">
    <w:nsid w:val="36CD03A0"/>
    <w:multiLevelType w:val="hybridMultilevel"/>
    <w:tmpl w:val="A5180C78"/>
    <w:lvl w:ilvl="0" w:tplc="D7F69D58">
      <w:start w:val="1"/>
      <w:numFmt w:val="decimal"/>
      <w:lvlText w:val="%1."/>
      <w:lvlJc w:val="left"/>
      <w:pPr>
        <w:ind w:left="720" w:hanging="360"/>
      </w:pPr>
    </w:lvl>
    <w:lvl w:ilvl="1" w:tplc="CC682FD6" w:tentative="1">
      <w:start w:val="1"/>
      <w:numFmt w:val="lowerLetter"/>
      <w:lvlText w:val="%2."/>
      <w:lvlJc w:val="left"/>
      <w:pPr>
        <w:ind w:left="1440" w:hanging="360"/>
      </w:pPr>
    </w:lvl>
    <w:lvl w:ilvl="2" w:tplc="968A9A16" w:tentative="1">
      <w:start w:val="1"/>
      <w:numFmt w:val="lowerRoman"/>
      <w:lvlText w:val="%3."/>
      <w:lvlJc w:val="right"/>
      <w:pPr>
        <w:ind w:left="2160" w:hanging="180"/>
      </w:pPr>
    </w:lvl>
    <w:lvl w:ilvl="3" w:tplc="C2D0416C" w:tentative="1">
      <w:start w:val="1"/>
      <w:numFmt w:val="decimal"/>
      <w:lvlText w:val="%4."/>
      <w:lvlJc w:val="left"/>
      <w:pPr>
        <w:ind w:left="2880" w:hanging="360"/>
      </w:pPr>
    </w:lvl>
    <w:lvl w:ilvl="4" w:tplc="4AD2F1AE" w:tentative="1">
      <w:start w:val="1"/>
      <w:numFmt w:val="lowerLetter"/>
      <w:lvlText w:val="%5."/>
      <w:lvlJc w:val="left"/>
      <w:pPr>
        <w:ind w:left="3600" w:hanging="360"/>
      </w:pPr>
    </w:lvl>
    <w:lvl w:ilvl="5" w:tplc="2DBE511C" w:tentative="1">
      <w:start w:val="1"/>
      <w:numFmt w:val="lowerRoman"/>
      <w:lvlText w:val="%6."/>
      <w:lvlJc w:val="right"/>
      <w:pPr>
        <w:ind w:left="4320" w:hanging="180"/>
      </w:pPr>
    </w:lvl>
    <w:lvl w:ilvl="6" w:tplc="03E6C9B2" w:tentative="1">
      <w:start w:val="1"/>
      <w:numFmt w:val="decimal"/>
      <w:lvlText w:val="%7."/>
      <w:lvlJc w:val="left"/>
      <w:pPr>
        <w:ind w:left="5040" w:hanging="360"/>
      </w:pPr>
    </w:lvl>
    <w:lvl w:ilvl="7" w:tplc="3ECA45A0" w:tentative="1">
      <w:start w:val="1"/>
      <w:numFmt w:val="lowerLetter"/>
      <w:lvlText w:val="%8."/>
      <w:lvlJc w:val="left"/>
      <w:pPr>
        <w:ind w:left="5760" w:hanging="360"/>
      </w:pPr>
    </w:lvl>
    <w:lvl w:ilvl="8" w:tplc="62721444" w:tentative="1">
      <w:start w:val="1"/>
      <w:numFmt w:val="lowerRoman"/>
      <w:lvlText w:val="%9."/>
      <w:lvlJc w:val="right"/>
      <w:pPr>
        <w:ind w:left="6480" w:hanging="180"/>
      </w:pPr>
    </w:lvl>
  </w:abstractNum>
  <w:abstractNum w:abstractNumId="3">
    <w:nsid w:val="391760B4"/>
    <w:multiLevelType w:val="hybridMultilevel"/>
    <w:tmpl w:val="34305CBC"/>
    <w:lvl w:ilvl="0" w:tplc="25A8FD9A">
      <w:start w:val="1"/>
      <w:numFmt w:val="upperLetter"/>
      <w:lvlText w:val="%1."/>
      <w:lvlJc w:val="left"/>
      <w:pPr>
        <w:ind w:left="360" w:hanging="360"/>
      </w:pPr>
    </w:lvl>
    <w:lvl w:ilvl="1" w:tplc="A37A3220" w:tentative="1">
      <w:start w:val="1"/>
      <w:numFmt w:val="lowerLetter"/>
      <w:lvlText w:val="%2."/>
      <w:lvlJc w:val="left"/>
      <w:pPr>
        <w:ind w:left="1080" w:hanging="360"/>
      </w:pPr>
    </w:lvl>
    <w:lvl w:ilvl="2" w:tplc="3F9EF2D8" w:tentative="1">
      <w:start w:val="1"/>
      <w:numFmt w:val="lowerRoman"/>
      <w:lvlText w:val="%3."/>
      <w:lvlJc w:val="right"/>
      <w:pPr>
        <w:ind w:left="1800" w:hanging="180"/>
      </w:pPr>
    </w:lvl>
    <w:lvl w:ilvl="3" w:tplc="F9C81DDE" w:tentative="1">
      <w:start w:val="1"/>
      <w:numFmt w:val="decimal"/>
      <w:lvlText w:val="%4."/>
      <w:lvlJc w:val="left"/>
      <w:pPr>
        <w:ind w:left="2520" w:hanging="360"/>
      </w:pPr>
    </w:lvl>
    <w:lvl w:ilvl="4" w:tplc="1C403348" w:tentative="1">
      <w:start w:val="1"/>
      <w:numFmt w:val="lowerLetter"/>
      <w:lvlText w:val="%5."/>
      <w:lvlJc w:val="left"/>
      <w:pPr>
        <w:ind w:left="3240" w:hanging="360"/>
      </w:pPr>
    </w:lvl>
    <w:lvl w:ilvl="5" w:tplc="DABE5C36" w:tentative="1">
      <w:start w:val="1"/>
      <w:numFmt w:val="lowerRoman"/>
      <w:lvlText w:val="%6."/>
      <w:lvlJc w:val="right"/>
      <w:pPr>
        <w:ind w:left="3960" w:hanging="180"/>
      </w:pPr>
    </w:lvl>
    <w:lvl w:ilvl="6" w:tplc="0EB806CC" w:tentative="1">
      <w:start w:val="1"/>
      <w:numFmt w:val="decimal"/>
      <w:lvlText w:val="%7."/>
      <w:lvlJc w:val="left"/>
      <w:pPr>
        <w:ind w:left="4680" w:hanging="360"/>
      </w:pPr>
    </w:lvl>
    <w:lvl w:ilvl="7" w:tplc="3A483148" w:tentative="1">
      <w:start w:val="1"/>
      <w:numFmt w:val="lowerLetter"/>
      <w:lvlText w:val="%8."/>
      <w:lvlJc w:val="left"/>
      <w:pPr>
        <w:ind w:left="5400" w:hanging="360"/>
      </w:pPr>
    </w:lvl>
    <w:lvl w:ilvl="8" w:tplc="1F2C21CA" w:tentative="1">
      <w:start w:val="1"/>
      <w:numFmt w:val="lowerRoman"/>
      <w:lvlText w:val="%9."/>
      <w:lvlJc w:val="right"/>
      <w:pPr>
        <w:ind w:left="6120" w:hanging="180"/>
      </w:pPr>
    </w:lvl>
  </w:abstractNum>
  <w:abstractNum w:abstractNumId="4">
    <w:nsid w:val="3A8D7067"/>
    <w:multiLevelType w:val="hybridMultilevel"/>
    <w:tmpl w:val="FB46515E"/>
    <w:lvl w:ilvl="0" w:tplc="710AF112">
      <w:start w:val="1"/>
      <w:numFmt w:val="decimal"/>
      <w:lvlText w:val="%1."/>
      <w:lvlJc w:val="left"/>
      <w:pPr>
        <w:ind w:left="720" w:hanging="360"/>
      </w:pPr>
    </w:lvl>
    <w:lvl w:ilvl="1" w:tplc="C77C8AA2" w:tentative="1">
      <w:start w:val="1"/>
      <w:numFmt w:val="lowerLetter"/>
      <w:lvlText w:val="%2."/>
      <w:lvlJc w:val="left"/>
      <w:pPr>
        <w:ind w:left="1440" w:hanging="360"/>
      </w:pPr>
    </w:lvl>
    <w:lvl w:ilvl="2" w:tplc="FC38808E" w:tentative="1">
      <w:start w:val="1"/>
      <w:numFmt w:val="lowerRoman"/>
      <w:lvlText w:val="%3."/>
      <w:lvlJc w:val="right"/>
      <w:pPr>
        <w:ind w:left="2160" w:hanging="180"/>
      </w:pPr>
    </w:lvl>
    <w:lvl w:ilvl="3" w:tplc="263EA0C4" w:tentative="1">
      <w:start w:val="1"/>
      <w:numFmt w:val="decimal"/>
      <w:lvlText w:val="%4."/>
      <w:lvlJc w:val="left"/>
      <w:pPr>
        <w:ind w:left="2880" w:hanging="360"/>
      </w:pPr>
    </w:lvl>
    <w:lvl w:ilvl="4" w:tplc="31D653E0" w:tentative="1">
      <w:start w:val="1"/>
      <w:numFmt w:val="lowerLetter"/>
      <w:lvlText w:val="%5."/>
      <w:lvlJc w:val="left"/>
      <w:pPr>
        <w:ind w:left="3600" w:hanging="360"/>
      </w:pPr>
    </w:lvl>
    <w:lvl w:ilvl="5" w:tplc="414C4D4E" w:tentative="1">
      <w:start w:val="1"/>
      <w:numFmt w:val="lowerRoman"/>
      <w:lvlText w:val="%6."/>
      <w:lvlJc w:val="right"/>
      <w:pPr>
        <w:ind w:left="4320" w:hanging="180"/>
      </w:pPr>
    </w:lvl>
    <w:lvl w:ilvl="6" w:tplc="1EFAA490" w:tentative="1">
      <w:start w:val="1"/>
      <w:numFmt w:val="decimal"/>
      <w:lvlText w:val="%7."/>
      <w:lvlJc w:val="left"/>
      <w:pPr>
        <w:ind w:left="5040" w:hanging="360"/>
      </w:pPr>
    </w:lvl>
    <w:lvl w:ilvl="7" w:tplc="CD583ABE" w:tentative="1">
      <w:start w:val="1"/>
      <w:numFmt w:val="lowerLetter"/>
      <w:lvlText w:val="%8."/>
      <w:lvlJc w:val="left"/>
      <w:pPr>
        <w:ind w:left="5760" w:hanging="360"/>
      </w:pPr>
    </w:lvl>
    <w:lvl w:ilvl="8" w:tplc="F2740C42" w:tentative="1">
      <w:start w:val="1"/>
      <w:numFmt w:val="lowerRoman"/>
      <w:lvlText w:val="%9."/>
      <w:lvlJc w:val="right"/>
      <w:pPr>
        <w:ind w:left="6480" w:hanging="180"/>
      </w:pPr>
    </w:lvl>
  </w:abstractNum>
  <w:abstractNum w:abstractNumId="5">
    <w:nsid w:val="3CA429AC"/>
    <w:multiLevelType w:val="hybridMultilevel"/>
    <w:tmpl w:val="AC4082DE"/>
    <w:lvl w:ilvl="0" w:tplc="C4604552">
      <w:start w:val="1"/>
      <w:numFmt w:val="decimal"/>
      <w:lvlText w:val="%1."/>
      <w:lvlJc w:val="left"/>
      <w:pPr>
        <w:ind w:left="720" w:hanging="360"/>
      </w:pPr>
    </w:lvl>
    <w:lvl w:ilvl="1" w:tplc="AA644F22" w:tentative="1">
      <w:start w:val="1"/>
      <w:numFmt w:val="lowerLetter"/>
      <w:lvlText w:val="%2."/>
      <w:lvlJc w:val="left"/>
      <w:pPr>
        <w:ind w:left="1440" w:hanging="360"/>
      </w:pPr>
    </w:lvl>
    <w:lvl w:ilvl="2" w:tplc="21F61FE2" w:tentative="1">
      <w:start w:val="1"/>
      <w:numFmt w:val="lowerRoman"/>
      <w:lvlText w:val="%3."/>
      <w:lvlJc w:val="right"/>
      <w:pPr>
        <w:ind w:left="2160" w:hanging="180"/>
      </w:pPr>
    </w:lvl>
    <w:lvl w:ilvl="3" w:tplc="8908790C" w:tentative="1">
      <w:start w:val="1"/>
      <w:numFmt w:val="decimal"/>
      <w:lvlText w:val="%4."/>
      <w:lvlJc w:val="left"/>
      <w:pPr>
        <w:ind w:left="2880" w:hanging="360"/>
      </w:pPr>
    </w:lvl>
    <w:lvl w:ilvl="4" w:tplc="1FDEC8C8" w:tentative="1">
      <w:start w:val="1"/>
      <w:numFmt w:val="lowerLetter"/>
      <w:lvlText w:val="%5."/>
      <w:lvlJc w:val="left"/>
      <w:pPr>
        <w:ind w:left="3600" w:hanging="360"/>
      </w:pPr>
    </w:lvl>
    <w:lvl w:ilvl="5" w:tplc="37F2AA6A" w:tentative="1">
      <w:start w:val="1"/>
      <w:numFmt w:val="lowerRoman"/>
      <w:lvlText w:val="%6."/>
      <w:lvlJc w:val="right"/>
      <w:pPr>
        <w:ind w:left="4320" w:hanging="180"/>
      </w:pPr>
    </w:lvl>
    <w:lvl w:ilvl="6" w:tplc="4FF859C2" w:tentative="1">
      <w:start w:val="1"/>
      <w:numFmt w:val="decimal"/>
      <w:lvlText w:val="%7."/>
      <w:lvlJc w:val="left"/>
      <w:pPr>
        <w:ind w:left="5040" w:hanging="360"/>
      </w:pPr>
    </w:lvl>
    <w:lvl w:ilvl="7" w:tplc="BA40DE2A" w:tentative="1">
      <w:start w:val="1"/>
      <w:numFmt w:val="lowerLetter"/>
      <w:lvlText w:val="%8."/>
      <w:lvlJc w:val="left"/>
      <w:pPr>
        <w:ind w:left="5760" w:hanging="360"/>
      </w:pPr>
    </w:lvl>
    <w:lvl w:ilvl="8" w:tplc="8F7AE788" w:tentative="1">
      <w:start w:val="1"/>
      <w:numFmt w:val="lowerRoman"/>
      <w:lvlText w:val="%9."/>
      <w:lvlJc w:val="right"/>
      <w:pPr>
        <w:ind w:left="6480" w:hanging="180"/>
      </w:pPr>
    </w:lvl>
  </w:abstractNum>
  <w:abstractNum w:abstractNumId="6">
    <w:nsid w:val="708977B5"/>
    <w:multiLevelType w:val="hybridMultilevel"/>
    <w:tmpl w:val="4BEAAC54"/>
    <w:lvl w:ilvl="0" w:tplc="DB42111A">
      <w:start w:val="1"/>
      <w:numFmt w:val="lowerLetter"/>
      <w:lvlText w:val="%1)"/>
      <w:lvlJc w:val="left"/>
      <w:pPr>
        <w:ind w:left="720" w:hanging="360"/>
      </w:pPr>
    </w:lvl>
    <w:lvl w:ilvl="1" w:tplc="7DB8781C" w:tentative="1">
      <w:start w:val="1"/>
      <w:numFmt w:val="lowerLetter"/>
      <w:lvlText w:val="%2."/>
      <w:lvlJc w:val="left"/>
      <w:pPr>
        <w:ind w:left="1440" w:hanging="360"/>
      </w:pPr>
    </w:lvl>
    <w:lvl w:ilvl="2" w:tplc="461CFCD8" w:tentative="1">
      <w:start w:val="1"/>
      <w:numFmt w:val="lowerRoman"/>
      <w:lvlText w:val="%3."/>
      <w:lvlJc w:val="right"/>
      <w:pPr>
        <w:ind w:left="2160" w:hanging="180"/>
      </w:pPr>
    </w:lvl>
    <w:lvl w:ilvl="3" w:tplc="AC6A0F96" w:tentative="1">
      <w:start w:val="1"/>
      <w:numFmt w:val="decimal"/>
      <w:lvlText w:val="%4."/>
      <w:lvlJc w:val="left"/>
      <w:pPr>
        <w:ind w:left="2880" w:hanging="360"/>
      </w:pPr>
    </w:lvl>
    <w:lvl w:ilvl="4" w:tplc="72A6C8AE" w:tentative="1">
      <w:start w:val="1"/>
      <w:numFmt w:val="lowerLetter"/>
      <w:lvlText w:val="%5."/>
      <w:lvlJc w:val="left"/>
      <w:pPr>
        <w:ind w:left="3600" w:hanging="360"/>
      </w:pPr>
    </w:lvl>
    <w:lvl w:ilvl="5" w:tplc="5262FC24" w:tentative="1">
      <w:start w:val="1"/>
      <w:numFmt w:val="lowerRoman"/>
      <w:lvlText w:val="%6."/>
      <w:lvlJc w:val="right"/>
      <w:pPr>
        <w:ind w:left="4320" w:hanging="180"/>
      </w:pPr>
    </w:lvl>
    <w:lvl w:ilvl="6" w:tplc="AF76BDB2" w:tentative="1">
      <w:start w:val="1"/>
      <w:numFmt w:val="decimal"/>
      <w:lvlText w:val="%7."/>
      <w:lvlJc w:val="left"/>
      <w:pPr>
        <w:ind w:left="5040" w:hanging="360"/>
      </w:pPr>
    </w:lvl>
    <w:lvl w:ilvl="7" w:tplc="D16248BA" w:tentative="1">
      <w:start w:val="1"/>
      <w:numFmt w:val="lowerLetter"/>
      <w:lvlText w:val="%8."/>
      <w:lvlJc w:val="left"/>
      <w:pPr>
        <w:ind w:left="5760" w:hanging="360"/>
      </w:pPr>
    </w:lvl>
    <w:lvl w:ilvl="8" w:tplc="9CB07126" w:tentative="1">
      <w:start w:val="1"/>
      <w:numFmt w:val="lowerRoman"/>
      <w:lvlText w:val="%9."/>
      <w:lvlJc w:val="right"/>
      <w:pPr>
        <w:ind w:left="6480" w:hanging="180"/>
      </w:pPr>
    </w:lvl>
  </w:abstractNum>
  <w:abstractNum w:abstractNumId="7">
    <w:nsid w:val="7F634C59"/>
    <w:multiLevelType w:val="hybridMultilevel"/>
    <w:tmpl w:val="51D48870"/>
    <w:lvl w:ilvl="0" w:tplc="AA0285EC">
      <w:start w:val="1"/>
      <w:numFmt w:val="decimal"/>
      <w:lvlText w:val="%1."/>
      <w:lvlJc w:val="left"/>
      <w:pPr>
        <w:ind w:left="720" w:hanging="360"/>
      </w:pPr>
    </w:lvl>
    <w:lvl w:ilvl="1" w:tplc="2A8CC3A2" w:tentative="1">
      <w:start w:val="1"/>
      <w:numFmt w:val="lowerLetter"/>
      <w:lvlText w:val="%2."/>
      <w:lvlJc w:val="left"/>
      <w:pPr>
        <w:ind w:left="1440" w:hanging="360"/>
      </w:pPr>
    </w:lvl>
    <w:lvl w:ilvl="2" w:tplc="BCCECA88" w:tentative="1">
      <w:start w:val="1"/>
      <w:numFmt w:val="lowerRoman"/>
      <w:lvlText w:val="%3."/>
      <w:lvlJc w:val="right"/>
      <w:pPr>
        <w:ind w:left="2160" w:hanging="180"/>
      </w:pPr>
    </w:lvl>
    <w:lvl w:ilvl="3" w:tplc="487895D4" w:tentative="1">
      <w:start w:val="1"/>
      <w:numFmt w:val="decimal"/>
      <w:lvlText w:val="%4."/>
      <w:lvlJc w:val="left"/>
      <w:pPr>
        <w:ind w:left="2880" w:hanging="360"/>
      </w:pPr>
    </w:lvl>
    <w:lvl w:ilvl="4" w:tplc="55B0A3AA" w:tentative="1">
      <w:start w:val="1"/>
      <w:numFmt w:val="lowerLetter"/>
      <w:lvlText w:val="%5."/>
      <w:lvlJc w:val="left"/>
      <w:pPr>
        <w:ind w:left="3600" w:hanging="360"/>
      </w:pPr>
    </w:lvl>
    <w:lvl w:ilvl="5" w:tplc="637ABC52" w:tentative="1">
      <w:start w:val="1"/>
      <w:numFmt w:val="lowerRoman"/>
      <w:lvlText w:val="%6."/>
      <w:lvlJc w:val="right"/>
      <w:pPr>
        <w:ind w:left="4320" w:hanging="180"/>
      </w:pPr>
    </w:lvl>
    <w:lvl w:ilvl="6" w:tplc="2EFA9AA4" w:tentative="1">
      <w:start w:val="1"/>
      <w:numFmt w:val="decimal"/>
      <w:lvlText w:val="%7."/>
      <w:lvlJc w:val="left"/>
      <w:pPr>
        <w:ind w:left="5040" w:hanging="360"/>
      </w:pPr>
    </w:lvl>
    <w:lvl w:ilvl="7" w:tplc="03787E56" w:tentative="1">
      <w:start w:val="1"/>
      <w:numFmt w:val="lowerLetter"/>
      <w:lvlText w:val="%8."/>
      <w:lvlJc w:val="left"/>
      <w:pPr>
        <w:ind w:left="5760" w:hanging="360"/>
      </w:pPr>
    </w:lvl>
    <w:lvl w:ilvl="8" w:tplc="47B0A0D8"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A2"/>
    <w:rsid w:val="00026596"/>
    <w:rsid w:val="0005458C"/>
    <w:rsid w:val="000E2D0B"/>
    <w:rsid w:val="000F1E58"/>
    <w:rsid w:val="00104FB2"/>
    <w:rsid w:val="001D5D9E"/>
    <w:rsid w:val="001E6975"/>
    <w:rsid w:val="0022754C"/>
    <w:rsid w:val="0027303F"/>
    <w:rsid w:val="002A0DAF"/>
    <w:rsid w:val="002D323F"/>
    <w:rsid w:val="00312340"/>
    <w:rsid w:val="003172C2"/>
    <w:rsid w:val="00347204"/>
    <w:rsid w:val="00372F7E"/>
    <w:rsid w:val="003B18B0"/>
    <w:rsid w:val="003B24AB"/>
    <w:rsid w:val="003B6614"/>
    <w:rsid w:val="003F0F0B"/>
    <w:rsid w:val="003F2579"/>
    <w:rsid w:val="003F7D47"/>
    <w:rsid w:val="004073CA"/>
    <w:rsid w:val="00411C82"/>
    <w:rsid w:val="00437825"/>
    <w:rsid w:val="00441EC7"/>
    <w:rsid w:val="004523F0"/>
    <w:rsid w:val="004E7471"/>
    <w:rsid w:val="00505289"/>
    <w:rsid w:val="0053618A"/>
    <w:rsid w:val="005471DF"/>
    <w:rsid w:val="00555ED3"/>
    <w:rsid w:val="005B3193"/>
    <w:rsid w:val="005D1FBF"/>
    <w:rsid w:val="005E6E10"/>
    <w:rsid w:val="005F5031"/>
    <w:rsid w:val="00612BA3"/>
    <w:rsid w:val="00653DD5"/>
    <w:rsid w:val="006549BE"/>
    <w:rsid w:val="006946C1"/>
    <w:rsid w:val="007037A9"/>
    <w:rsid w:val="0070422C"/>
    <w:rsid w:val="007067BB"/>
    <w:rsid w:val="00722BCC"/>
    <w:rsid w:val="00727737"/>
    <w:rsid w:val="00732F93"/>
    <w:rsid w:val="007369A7"/>
    <w:rsid w:val="00742959"/>
    <w:rsid w:val="007662A2"/>
    <w:rsid w:val="0078540B"/>
    <w:rsid w:val="00797865"/>
    <w:rsid w:val="007C33FD"/>
    <w:rsid w:val="007C7D27"/>
    <w:rsid w:val="007D5FC0"/>
    <w:rsid w:val="007E4F91"/>
    <w:rsid w:val="008529B1"/>
    <w:rsid w:val="00853D0B"/>
    <w:rsid w:val="00873453"/>
    <w:rsid w:val="00966C2A"/>
    <w:rsid w:val="00992D27"/>
    <w:rsid w:val="009A7FDC"/>
    <w:rsid w:val="009B0820"/>
    <w:rsid w:val="009B197B"/>
    <w:rsid w:val="009B3E89"/>
    <w:rsid w:val="009D573C"/>
    <w:rsid w:val="009F4FF2"/>
    <w:rsid w:val="009F7554"/>
    <w:rsid w:val="00A20D29"/>
    <w:rsid w:val="00A2506A"/>
    <w:rsid w:val="00A34EAD"/>
    <w:rsid w:val="00A5428F"/>
    <w:rsid w:val="00A63512"/>
    <w:rsid w:val="00A95E32"/>
    <w:rsid w:val="00A96997"/>
    <w:rsid w:val="00AA5BAF"/>
    <w:rsid w:val="00AB08C8"/>
    <w:rsid w:val="00AB243E"/>
    <w:rsid w:val="00AE2AEC"/>
    <w:rsid w:val="00AF7B8D"/>
    <w:rsid w:val="00B05F2C"/>
    <w:rsid w:val="00B21059"/>
    <w:rsid w:val="00B45BB7"/>
    <w:rsid w:val="00B642D4"/>
    <w:rsid w:val="00B85934"/>
    <w:rsid w:val="00B91D56"/>
    <w:rsid w:val="00BA17CF"/>
    <w:rsid w:val="00BB2917"/>
    <w:rsid w:val="00C32C65"/>
    <w:rsid w:val="00C33B6F"/>
    <w:rsid w:val="00C354A2"/>
    <w:rsid w:val="00C45813"/>
    <w:rsid w:val="00C47DC1"/>
    <w:rsid w:val="00C563E1"/>
    <w:rsid w:val="00C678E3"/>
    <w:rsid w:val="00C847A1"/>
    <w:rsid w:val="00CB2F6F"/>
    <w:rsid w:val="00D07CDB"/>
    <w:rsid w:val="00D54D9C"/>
    <w:rsid w:val="00D71119"/>
    <w:rsid w:val="00D774A1"/>
    <w:rsid w:val="00D82744"/>
    <w:rsid w:val="00D827B3"/>
    <w:rsid w:val="00DC0D41"/>
    <w:rsid w:val="00DE35FE"/>
    <w:rsid w:val="00E217E9"/>
    <w:rsid w:val="00E31D5B"/>
    <w:rsid w:val="00E60DEF"/>
    <w:rsid w:val="00E652A5"/>
    <w:rsid w:val="00E67153"/>
    <w:rsid w:val="00E86B07"/>
    <w:rsid w:val="00E9408B"/>
    <w:rsid w:val="00E94BCB"/>
    <w:rsid w:val="00EB5C22"/>
    <w:rsid w:val="00EC432E"/>
    <w:rsid w:val="00ED3EBB"/>
    <w:rsid w:val="00EE0B5A"/>
    <w:rsid w:val="00F04811"/>
    <w:rsid w:val="00F25BB5"/>
    <w:rsid w:val="00F52121"/>
    <w:rsid w:val="00F52C91"/>
    <w:rsid w:val="00F72EB3"/>
    <w:rsid w:val="00FB5460"/>
    <w:rsid w:val="00FD209C"/>
    <w:rsid w:val="00FE0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60ECA-DD90-470B-B377-794CC338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2A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62A2"/>
    <w:rPr>
      <w:i/>
      <w:iCs/>
    </w:rPr>
  </w:style>
  <w:style w:type="character" w:styleId="Strong">
    <w:name w:val="Strong"/>
    <w:basedOn w:val="DefaultParagraphFont"/>
    <w:uiPriority w:val="22"/>
    <w:qFormat/>
    <w:rsid w:val="007662A2"/>
    <w:rPr>
      <w:b/>
      <w:bCs/>
    </w:rPr>
  </w:style>
  <w:style w:type="table" w:styleId="TableGrid">
    <w:name w:val="Table Grid"/>
    <w:basedOn w:val="TableNormal"/>
    <w:uiPriority w:val="39"/>
    <w:rsid w:val="00766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62A2"/>
    <w:pPr>
      <w:ind w:left="720"/>
      <w:contextualSpacing/>
    </w:pPr>
  </w:style>
  <w:style w:type="character" w:styleId="CommentReference">
    <w:name w:val="annotation reference"/>
    <w:basedOn w:val="DefaultParagraphFont"/>
    <w:uiPriority w:val="99"/>
    <w:semiHidden/>
    <w:unhideWhenUsed/>
    <w:rsid w:val="007662A2"/>
    <w:rPr>
      <w:sz w:val="16"/>
      <w:szCs w:val="16"/>
    </w:rPr>
  </w:style>
  <w:style w:type="paragraph" w:styleId="CommentText">
    <w:name w:val="annotation text"/>
    <w:basedOn w:val="Normal"/>
    <w:link w:val="CommentTextChar"/>
    <w:uiPriority w:val="99"/>
    <w:semiHidden/>
    <w:unhideWhenUsed/>
    <w:rsid w:val="007662A2"/>
    <w:rPr>
      <w:sz w:val="20"/>
      <w:szCs w:val="20"/>
    </w:rPr>
  </w:style>
  <w:style w:type="character" w:customStyle="1" w:styleId="CommentTextChar">
    <w:name w:val="Comment Text Char"/>
    <w:basedOn w:val="DefaultParagraphFont"/>
    <w:link w:val="CommentText"/>
    <w:uiPriority w:val="99"/>
    <w:semiHidden/>
    <w:rsid w:val="007662A2"/>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7662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2A2"/>
    <w:rPr>
      <w:rFonts w:ascii="Segoe UI" w:eastAsia="Times New Roman" w:hAnsi="Segoe UI" w:cs="Segoe UI"/>
      <w:sz w:val="18"/>
      <w:szCs w:val="18"/>
      <w:lang w:val="en-US"/>
    </w:rPr>
  </w:style>
  <w:style w:type="character" w:styleId="Hyperlink">
    <w:name w:val="Hyperlink"/>
    <w:basedOn w:val="DefaultParagraphFont"/>
    <w:uiPriority w:val="99"/>
    <w:unhideWhenUsed/>
    <w:rsid w:val="009B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nandimath@nls.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ina.nimhans@gmail.com" TargetMode="External"/><Relationship Id="rId12" Type="http://schemas.openxmlformats.org/officeDocument/2006/relationships/hyperlink" Target="mailto:nimhan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bhavika@ymail.com" TargetMode="External"/><Relationship Id="rId11" Type="http://schemas.openxmlformats.org/officeDocument/2006/relationships/hyperlink" Target="mailto:drchethanraj@gmail.com" TargetMode="External"/><Relationship Id="rId5" Type="http://schemas.openxmlformats.org/officeDocument/2006/relationships/webSettings" Target="webSettings.xml"/><Relationship Id="rId10" Type="http://schemas.openxmlformats.org/officeDocument/2006/relationships/hyperlink" Target="mailto:cnkumar1974@gmail.com" TargetMode="External"/><Relationship Id="rId4" Type="http://schemas.openxmlformats.org/officeDocument/2006/relationships/settings" Target="settings.xml"/><Relationship Id="rId9" Type="http://schemas.openxmlformats.org/officeDocument/2006/relationships/hyperlink" Target="mailto:arpithahc@nls.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B1220-D963-4521-87E0-9574D2687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8923</Words>
  <Characters>50862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bhavika</dc:creator>
  <cp:lastModifiedBy>MD</cp:lastModifiedBy>
  <cp:revision>2</cp:revision>
  <dcterms:created xsi:type="dcterms:W3CDTF">2020-10-16T01:00:00Z</dcterms:created>
  <dcterms:modified xsi:type="dcterms:W3CDTF">2020-10-16T01:00:00Z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http://www.zotero.org/styles/american-sociological-association</vt:lpwstr>
  </property>
  <property fmtid="{D5CDD505-2E9C-101B-9397-08002B2CF9AE}" pid="7" name="Mendeley Recent Style Id 3_1">
    <vt:lpwstr>http://www.zotero.org/styles/asian-journal-of-psychiatry</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http://www.zotero.org/styles/nature</vt:lpwstr>
  </property>
  <property fmtid="{D5CDD505-2E9C-101B-9397-08002B2CF9AE}" pid="13" name="Mendeley Recent Style Id 9_1">
    <vt:lpwstr>http://www.zotero.org/styles/vancouver</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6th edition</vt:lpwstr>
  </property>
  <property fmtid="{D5CDD505-2E9C-101B-9397-08002B2CF9AE}" pid="16" name="Mendeley Recent Style Name 2_1">
    <vt:lpwstr>American Sociological Association</vt:lpwstr>
  </property>
  <property fmtid="{D5CDD505-2E9C-101B-9397-08002B2CF9AE}" pid="17" name="Mendeley Recent Style Name 3_1">
    <vt:lpwstr>Asian Journal of Psychiatry</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Nature</vt:lpwstr>
  </property>
  <property fmtid="{D5CDD505-2E9C-101B-9397-08002B2CF9AE}" pid="23" name="Mendeley Recent Style Name 9_1">
    <vt:lpwstr>Vancouver</vt:lpwstr>
  </property>
  <property fmtid="{D5CDD505-2E9C-101B-9397-08002B2CF9AE}" pid="24" name="Mendeley Unique User Id_1">
    <vt:lpwstr>71cfc2ab-1da4-3194-9904-2db583d4cb8f</vt:lpwstr>
  </property>
</Properties>
</file>