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04" w:rsidRDefault="00DE1304" w:rsidP="005314D9">
      <w:pPr>
        <w:spacing w:after="120" w:line="360" w:lineRule="auto"/>
        <w:jc w:val="center"/>
        <w:rPr>
          <w:b/>
          <w:sz w:val="40"/>
        </w:rPr>
      </w:pPr>
      <w:bookmarkStart w:id="0" w:name="_GoBack"/>
      <w:bookmarkEnd w:id="0"/>
    </w:p>
    <w:p w:rsidR="00DE1304" w:rsidRDefault="00DE1304" w:rsidP="005314D9">
      <w:pPr>
        <w:spacing w:after="120" w:line="360" w:lineRule="auto"/>
        <w:jc w:val="center"/>
        <w:rPr>
          <w:b/>
          <w:sz w:val="40"/>
        </w:rPr>
      </w:pPr>
    </w:p>
    <w:p w:rsidR="000B3368" w:rsidRPr="008676D2" w:rsidRDefault="000B3368" w:rsidP="005314D9">
      <w:pPr>
        <w:spacing w:after="120" w:line="360" w:lineRule="auto"/>
        <w:jc w:val="center"/>
        <w:rPr>
          <w:b/>
          <w:sz w:val="40"/>
        </w:rPr>
      </w:pPr>
      <w:r w:rsidRPr="008676D2">
        <w:rPr>
          <w:b/>
          <w:sz w:val="40"/>
        </w:rPr>
        <w:t xml:space="preserve">Pandemic of Placebos </w:t>
      </w:r>
      <w:r w:rsidR="005463EC" w:rsidRPr="008676D2">
        <w:rPr>
          <w:b/>
          <w:sz w:val="40"/>
        </w:rPr>
        <w:t xml:space="preserve">in </w:t>
      </w:r>
      <w:r w:rsidRPr="008676D2">
        <w:rPr>
          <w:b/>
          <w:sz w:val="40"/>
        </w:rPr>
        <w:t>Covid-19</w:t>
      </w:r>
    </w:p>
    <w:p w:rsidR="005314D9" w:rsidRDefault="005314D9" w:rsidP="005314D9">
      <w:pPr>
        <w:spacing w:after="120" w:line="360" w:lineRule="auto"/>
        <w:jc w:val="center"/>
        <w:rPr>
          <w:rFonts w:cstheme="minorHAnsi"/>
        </w:rPr>
      </w:pPr>
    </w:p>
    <w:p w:rsidR="005314D9" w:rsidRDefault="005314D9" w:rsidP="005314D9">
      <w:pPr>
        <w:spacing w:after="120" w:line="360" w:lineRule="auto"/>
        <w:jc w:val="center"/>
        <w:rPr>
          <w:rFonts w:cstheme="minorHAnsi"/>
        </w:rPr>
      </w:pPr>
    </w:p>
    <w:p w:rsidR="005314D9" w:rsidRDefault="005314D9" w:rsidP="005314D9">
      <w:pPr>
        <w:spacing w:after="120" w:line="360" w:lineRule="auto"/>
        <w:jc w:val="center"/>
        <w:rPr>
          <w:rFonts w:cstheme="minorHAnsi"/>
        </w:rPr>
      </w:pPr>
    </w:p>
    <w:p w:rsidR="005314D9" w:rsidRDefault="005314D9" w:rsidP="005314D9">
      <w:pPr>
        <w:spacing w:after="120" w:line="360" w:lineRule="auto"/>
        <w:jc w:val="center"/>
        <w:rPr>
          <w:rFonts w:cstheme="minorHAnsi"/>
        </w:rPr>
      </w:pPr>
    </w:p>
    <w:p w:rsidR="005314D9" w:rsidRDefault="005463EC" w:rsidP="005314D9">
      <w:pPr>
        <w:spacing w:after="120" w:line="360" w:lineRule="auto"/>
        <w:jc w:val="center"/>
        <w:rPr>
          <w:rFonts w:cstheme="minorHAnsi"/>
        </w:rPr>
      </w:pPr>
      <w:r w:rsidRPr="00451941">
        <w:rPr>
          <w:rFonts w:cstheme="minorHAnsi"/>
        </w:rPr>
        <w:t>Rajeev Gupta</w:t>
      </w:r>
      <w:r w:rsidRPr="00451941">
        <w:rPr>
          <w:rFonts w:cstheme="minorHAnsi"/>
          <w:vertAlign w:val="superscript"/>
        </w:rPr>
        <w:t>1</w:t>
      </w:r>
    </w:p>
    <w:p w:rsidR="000B3368" w:rsidRPr="00451941" w:rsidRDefault="000B3368" w:rsidP="005314D9">
      <w:pPr>
        <w:spacing w:after="120" w:line="360" w:lineRule="auto"/>
        <w:jc w:val="center"/>
        <w:rPr>
          <w:rFonts w:cstheme="minorHAnsi"/>
        </w:rPr>
      </w:pPr>
      <w:r w:rsidRPr="00451941">
        <w:rPr>
          <w:rFonts w:cstheme="minorHAnsi"/>
        </w:rPr>
        <w:t>Kishore Mangal</w:t>
      </w:r>
      <w:r w:rsidR="005463EC" w:rsidRPr="00451941">
        <w:rPr>
          <w:rFonts w:cstheme="minorHAnsi"/>
          <w:vertAlign w:val="superscript"/>
        </w:rPr>
        <w:t>2</w:t>
      </w:r>
    </w:p>
    <w:p w:rsidR="005314D9" w:rsidRDefault="005314D9" w:rsidP="005314D9">
      <w:pPr>
        <w:spacing w:after="120" w:line="360" w:lineRule="auto"/>
        <w:rPr>
          <w:rFonts w:cstheme="minorHAnsi"/>
          <w:i/>
        </w:rPr>
      </w:pPr>
    </w:p>
    <w:p w:rsidR="005314D9" w:rsidRDefault="005314D9" w:rsidP="005314D9">
      <w:pPr>
        <w:spacing w:after="120" w:line="360" w:lineRule="auto"/>
        <w:rPr>
          <w:rFonts w:cstheme="minorHAnsi"/>
          <w:i/>
        </w:rPr>
      </w:pPr>
    </w:p>
    <w:p w:rsidR="005314D9" w:rsidRDefault="005314D9" w:rsidP="005314D9">
      <w:pPr>
        <w:spacing w:after="120" w:line="360" w:lineRule="auto"/>
        <w:rPr>
          <w:rFonts w:cstheme="minorHAnsi"/>
          <w:i/>
        </w:rPr>
      </w:pPr>
    </w:p>
    <w:p w:rsidR="005314D9" w:rsidRDefault="005314D9" w:rsidP="005314D9">
      <w:pPr>
        <w:spacing w:after="120" w:line="360" w:lineRule="auto"/>
        <w:rPr>
          <w:rFonts w:cstheme="minorHAnsi"/>
          <w:i/>
        </w:rPr>
      </w:pPr>
    </w:p>
    <w:p w:rsidR="005314D9" w:rsidRDefault="005314D9" w:rsidP="005314D9">
      <w:pPr>
        <w:spacing w:after="120" w:line="360" w:lineRule="auto"/>
        <w:rPr>
          <w:rFonts w:cstheme="minorHAnsi"/>
          <w:i/>
        </w:rPr>
      </w:pPr>
    </w:p>
    <w:p w:rsidR="000B3368" w:rsidRPr="00451941" w:rsidRDefault="000B3368" w:rsidP="005314D9">
      <w:pPr>
        <w:spacing w:after="120" w:line="360" w:lineRule="auto"/>
        <w:rPr>
          <w:rFonts w:cstheme="minorHAnsi"/>
        </w:rPr>
      </w:pPr>
      <w:r w:rsidRPr="00451941">
        <w:rPr>
          <w:rFonts w:cstheme="minorHAnsi"/>
          <w:i/>
        </w:rPr>
        <w:t>From</w:t>
      </w:r>
      <w:r w:rsidRPr="00451941">
        <w:rPr>
          <w:rFonts w:cstheme="minorHAnsi"/>
        </w:rPr>
        <w:t xml:space="preserve">: Departments of </w:t>
      </w:r>
      <w:r w:rsidR="00A512F0" w:rsidRPr="00451941">
        <w:rPr>
          <w:rFonts w:cstheme="minorHAnsi"/>
          <w:vertAlign w:val="superscript"/>
        </w:rPr>
        <w:t>1</w:t>
      </w:r>
      <w:r w:rsidRPr="00451941">
        <w:rPr>
          <w:rFonts w:cstheme="minorHAnsi"/>
        </w:rPr>
        <w:t>Internal Medicine</w:t>
      </w:r>
      <w:r w:rsidR="005463EC" w:rsidRPr="00451941">
        <w:rPr>
          <w:rFonts w:cstheme="minorHAnsi"/>
        </w:rPr>
        <w:t xml:space="preserve"> and </w:t>
      </w:r>
      <w:r w:rsidR="00A512F0" w:rsidRPr="00451941">
        <w:rPr>
          <w:rFonts w:cstheme="minorHAnsi"/>
          <w:vertAlign w:val="superscript"/>
        </w:rPr>
        <w:t>2</w:t>
      </w:r>
      <w:r w:rsidR="005463EC" w:rsidRPr="00451941">
        <w:rPr>
          <w:rFonts w:cstheme="minorHAnsi"/>
        </w:rPr>
        <w:t>Critical Care</w:t>
      </w:r>
      <w:r w:rsidRPr="00451941">
        <w:rPr>
          <w:rFonts w:cstheme="minorHAnsi"/>
        </w:rPr>
        <w:t xml:space="preserve">, Eternal Heart Care Centre and Research Institute, </w:t>
      </w:r>
      <w:r w:rsidR="00783471" w:rsidRPr="00451941">
        <w:rPr>
          <w:rFonts w:cstheme="minorHAnsi"/>
        </w:rPr>
        <w:t xml:space="preserve">Mount Sinai New York Affiliate, </w:t>
      </w:r>
      <w:r w:rsidRPr="00451941">
        <w:rPr>
          <w:rFonts w:cstheme="minorHAnsi"/>
        </w:rPr>
        <w:t>Jaipur 302017</w:t>
      </w:r>
      <w:r w:rsidR="00F56FC3" w:rsidRPr="00451941">
        <w:rPr>
          <w:rFonts w:cstheme="minorHAnsi"/>
        </w:rPr>
        <w:t xml:space="preserve"> </w:t>
      </w:r>
      <w:r w:rsidRPr="00451941">
        <w:rPr>
          <w:rFonts w:cstheme="minorHAnsi"/>
        </w:rPr>
        <w:t>India.</w:t>
      </w:r>
    </w:p>
    <w:p w:rsidR="005314D9" w:rsidRDefault="005314D9" w:rsidP="005314D9">
      <w:pPr>
        <w:spacing w:after="120" w:line="360" w:lineRule="auto"/>
        <w:rPr>
          <w:rFonts w:cstheme="minorHAnsi"/>
        </w:rPr>
      </w:pPr>
      <w:r>
        <w:rPr>
          <w:rFonts w:cstheme="minorHAnsi"/>
        </w:rPr>
        <w:br w:type="page"/>
      </w:r>
    </w:p>
    <w:p w:rsidR="00DE1304" w:rsidRDefault="000422FB" w:rsidP="00DE1304">
      <w:pPr>
        <w:spacing w:after="120" w:line="360" w:lineRule="auto"/>
        <w:rPr>
          <w:rFonts w:cstheme="minorHAnsi"/>
        </w:rPr>
      </w:pPr>
      <w:r w:rsidRPr="000422FB">
        <w:rPr>
          <w:rFonts w:cstheme="minorHAnsi"/>
          <w:b/>
        </w:rPr>
        <w:lastRenderedPageBreak/>
        <w:t>Preamble</w:t>
      </w:r>
      <w:r>
        <w:rPr>
          <w:rFonts w:cstheme="minorHAnsi"/>
        </w:rPr>
        <w:t>:</w:t>
      </w:r>
    </w:p>
    <w:p w:rsidR="00B57DDD" w:rsidRPr="00451941" w:rsidRDefault="00DE1304" w:rsidP="000422FB">
      <w:pPr>
        <w:spacing w:after="120" w:line="360" w:lineRule="auto"/>
        <w:ind w:firstLine="720"/>
      </w:pPr>
      <w:r>
        <w:rPr>
          <w:rFonts w:cstheme="minorHAnsi"/>
        </w:rPr>
        <w:t xml:space="preserve">Within </w:t>
      </w:r>
      <w:r w:rsidR="00831DD8" w:rsidRPr="00451941">
        <w:rPr>
          <w:rFonts w:cstheme="minorHAnsi"/>
        </w:rPr>
        <w:t xml:space="preserve">months of </w:t>
      </w:r>
      <w:r w:rsidR="00AA25B9">
        <w:rPr>
          <w:rFonts w:cstheme="minorHAnsi"/>
        </w:rPr>
        <w:t xml:space="preserve">its </w:t>
      </w:r>
      <w:r w:rsidR="00831DD8" w:rsidRPr="00451941">
        <w:rPr>
          <w:rFonts w:cstheme="minorHAnsi"/>
        </w:rPr>
        <w:t>emergence</w:t>
      </w:r>
      <w:r w:rsidR="00AA25B9">
        <w:rPr>
          <w:rFonts w:cstheme="minorHAnsi"/>
        </w:rPr>
        <w:t>,</w:t>
      </w:r>
      <w:r w:rsidR="0033777F">
        <w:rPr>
          <w:rFonts w:cstheme="minorHAnsi"/>
        </w:rPr>
        <w:t xml:space="preserve"> Covid-19</w:t>
      </w:r>
      <w:r w:rsidR="00954C01" w:rsidRPr="00451941">
        <w:rPr>
          <w:rFonts w:cstheme="minorHAnsi"/>
        </w:rPr>
        <w:t xml:space="preserve"> </w:t>
      </w:r>
      <w:r w:rsidR="00831DD8" w:rsidRPr="00451941">
        <w:rPr>
          <w:rFonts w:cstheme="minorHAnsi"/>
        </w:rPr>
        <w:t xml:space="preserve">has </w:t>
      </w:r>
      <w:r w:rsidR="008550E8" w:rsidRPr="00451941">
        <w:rPr>
          <w:rFonts w:cstheme="minorHAnsi"/>
        </w:rPr>
        <w:t>emerge</w:t>
      </w:r>
      <w:r w:rsidR="00AA25B9">
        <w:rPr>
          <w:rFonts w:cstheme="minorHAnsi"/>
        </w:rPr>
        <w:t>d</w:t>
      </w:r>
      <w:r w:rsidR="008550E8" w:rsidRPr="00451941">
        <w:rPr>
          <w:rFonts w:cstheme="minorHAnsi"/>
        </w:rPr>
        <w:t xml:space="preserve"> as </w:t>
      </w:r>
      <w:r w:rsidR="00831DD8" w:rsidRPr="00451941">
        <w:rPr>
          <w:rFonts w:cstheme="minorHAnsi"/>
        </w:rPr>
        <w:t>one of the world’s largest pandemics</w:t>
      </w:r>
      <w:r w:rsidR="00451941">
        <w:rPr>
          <w:rFonts w:cstheme="minorHAnsi"/>
        </w:rPr>
        <w:t>.</w:t>
      </w:r>
      <w:r w:rsidR="00606926" w:rsidRPr="00451941">
        <w:rPr>
          <w:rFonts w:cstheme="minorHAnsi"/>
        </w:rPr>
        <w:t xml:space="preserve"> </w:t>
      </w:r>
      <w:r w:rsidR="00606926" w:rsidRPr="00451941">
        <w:t xml:space="preserve">High transmissibility of the virus and rapid spread from China to Europe, </w:t>
      </w:r>
      <w:r w:rsidR="00451941">
        <w:t xml:space="preserve">the Americas, South Asia and </w:t>
      </w:r>
      <w:r w:rsidR="00606926" w:rsidRPr="00451941">
        <w:t xml:space="preserve">Africa, and devastation of economies in many countries </w:t>
      </w:r>
      <w:r w:rsidR="00954C01" w:rsidRPr="00451941">
        <w:t xml:space="preserve">has led to </w:t>
      </w:r>
      <w:r w:rsidR="00606926" w:rsidRPr="00451941">
        <w:t xml:space="preserve">worldwide </w:t>
      </w:r>
      <w:r w:rsidR="00451941">
        <w:t>panic</w:t>
      </w:r>
      <w:r w:rsidR="00606926" w:rsidRPr="00451941">
        <w:t xml:space="preserve">. Since public health response was initially slow and containment, prevention and treatment strategies not developed a veritable pandemic of misinformation </w:t>
      </w:r>
      <w:r w:rsidR="00451941">
        <w:t xml:space="preserve">and </w:t>
      </w:r>
      <w:r w:rsidR="00954C01" w:rsidRPr="00451941">
        <w:t>placebo</w:t>
      </w:r>
      <w:r w:rsidR="00451941">
        <w:t>s</w:t>
      </w:r>
      <w:r w:rsidR="00954C01" w:rsidRPr="00451941">
        <w:t xml:space="preserve"> </w:t>
      </w:r>
      <w:r w:rsidR="00B8750D" w:rsidRPr="00451941">
        <w:t>ha</w:t>
      </w:r>
      <w:r w:rsidR="00AA25B9">
        <w:t>s</w:t>
      </w:r>
      <w:r w:rsidR="00B8750D" w:rsidRPr="00451941">
        <w:t xml:space="preserve"> </w:t>
      </w:r>
      <w:r w:rsidR="00606926" w:rsidRPr="00451941">
        <w:t>occurred. This pandemic</w:t>
      </w:r>
      <w:r w:rsidR="00100472" w:rsidRPr="00451941">
        <w:t xml:space="preserve"> </w:t>
      </w:r>
      <w:r w:rsidR="00606926" w:rsidRPr="00451941">
        <w:t xml:space="preserve">has been fuelled by mainstream </w:t>
      </w:r>
      <w:r w:rsidR="008550E8" w:rsidRPr="00451941">
        <w:t xml:space="preserve">and </w:t>
      </w:r>
      <w:r w:rsidR="00606926" w:rsidRPr="00451941">
        <w:t>social media and encompasses dubious public health interventions, preventive, curative and palliative treatment</w:t>
      </w:r>
      <w:r w:rsidR="000E0DDE" w:rsidRPr="00451941">
        <w:t>s</w:t>
      </w:r>
      <w:r w:rsidR="00606926" w:rsidRPr="00451941">
        <w:t xml:space="preserve"> and data dredging. </w:t>
      </w:r>
    </w:p>
    <w:p w:rsidR="000422FB" w:rsidRDefault="0061587E" w:rsidP="00451941">
      <w:pPr>
        <w:spacing w:after="120" w:line="360" w:lineRule="auto"/>
        <w:rPr>
          <w:rFonts w:cstheme="minorHAnsi"/>
        </w:rPr>
      </w:pPr>
      <w:r>
        <w:rPr>
          <w:rFonts w:cstheme="minorHAnsi"/>
          <w:b/>
        </w:rPr>
        <w:t>Public health</w:t>
      </w:r>
      <w:r w:rsidR="00122DE9" w:rsidRPr="00451941">
        <w:rPr>
          <w:rFonts w:cstheme="minorHAnsi"/>
        </w:rPr>
        <w:t xml:space="preserve">: </w:t>
      </w:r>
    </w:p>
    <w:p w:rsidR="000E0DDE" w:rsidRPr="00451941" w:rsidRDefault="007B518B" w:rsidP="000422FB">
      <w:pPr>
        <w:spacing w:after="120" w:line="360" w:lineRule="auto"/>
        <w:ind w:firstLine="720"/>
        <w:rPr>
          <w:rFonts w:cstheme="minorHAnsi"/>
        </w:rPr>
      </w:pPr>
      <w:r w:rsidRPr="00451941">
        <w:rPr>
          <w:rFonts w:cstheme="minorHAnsi"/>
        </w:rPr>
        <w:t>Classic public health response to</w:t>
      </w:r>
      <w:r w:rsidRPr="00451941">
        <w:rPr>
          <w:rFonts w:cstheme="minorHAnsi"/>
          <w:b/>
        </w:rPr>
        <w:t xml:space="preserve"> </w:t>
      </w:r>
      <w:r w:rsidR="0003797E" w:rsidRPr="00451941">
        <w:rPr>
          <w:rFonts w:cstheme="minorHAnsi"/>
        </w:rPr>
        <w:t>rapidly spreading respiratory infections has been promot</w:t>
      </w:r>
      <w:r w:rsidR="00B8750D" w:rsidRPr="00451941">
        <w:rPr>
          <w:rFonts w:cstheme="minorHAnsi"/>
        </w:rPr>
        <w:t>ion of</w:t>
      </w:r>
      <w:r w:rsidR="0003797E" w:rsidRPr="00451941">
        <w:rPr>
          <w:rFonts w:cstheme="minorHAnsi"/>
        </w:rPr>
        <w:t xml:space="preserve"> </w:t>
      </w:r>
      <w:r w:rsidR="004F33D3" w:rsidRPr="00451941">
        <w:rPr>
          <w:rFonts w:cstheme="minorHAnsi"/>
        </w:rPr>
        <w:t>isolation</w:t>
      </w:r>
      <w:r w:rsidR="00100472" w:rsidRPr="00451941">
        <w:rPr>
          <w:rFonts w:cstheme="minorHAnsi"/>
        </w:rPr>
        <w:t xml:space="preserve"> and quarantine</w:t>
      </w:r>
      <w:r w:rsidR="004F33D3" w:rsidRPr="00451941">
        <w:rPr>
          <w:rFonts w:cstheme="minorHAnsi"/>
        </w:rPr>
        <w:t>.</w:t>
      </w:r>
      <w:r w:rsidR="00954C01" w:rsidRPr="00451941">
        <w:rPr>
          <w:rFonts w:cstheme="minorHAnsi"/>
          <w:vertAlign w:val="superscript"/>
        </w:rPr>
        <w:t>1</w:t>
      </w:r>
      <w:r w:rsidR="004F33D3" w:rsidRPr="00451941">
        <w:rPr>
          <w:rFonts w:cstheme="minorHAnsi"/>
        </w:rPr>
        <w:t xml:space="preserve"> </w:t>
      </w:r>
      <w:r w:rsidR="00060516" w:rsidRPr="00451941">
        <w:rPr>
          <w:rFonts w:cstheme="minorHAnsi"/>
        </w:rPr>
        <w:t>In Covid-19</w:t>
      </w:r>
      <w:r w:rsidR="00B8750D" w:rsidRPr="00451941">
        <w:rPr>
          <w:rFonts w:cstheme="minorHAnsi"/>
        </w:rPr>
        <w:t>,</w:t>
      </w:r>
      <w:r w:rsidR="00060516" w:rsidRPr="00451941">
        <w:rPr>
          <w:rFonts w:cstheme="minorHAnsi"/>
        </w:rPr>
        <w:t xml:space="preserve"> modern d</w:t>
      </w:r>
      <w:r w:rsidR="00B8750D" w:rsidRPr="00451941">
        <w:rPr>
          <w:rFonts w:cstheme="minorHAnsi"/>
        </w:rPr>
        <w:t xml:space="preserve">iagnostic innovations led to </w:t>
      </w:r>
      <w:r w:rsidR="004F33D3" w:rsidRPr="00451941">
        <w:rPr>
          <w:rFonts w:cstheme="minorHAnsi"/>
        </w:rPr>
        <w:t xml:space="preserve">rapid identification of virus structure and </w:t>
      </w:r>
      <w:r w:rsidR="00060516" w:rsidRPr="00451941">
        <w:rPr>
          <w:rFonts w:cstheme="minorHAnsi"/>
        </w:rPr>
        <w:t xml:space="preserve">development of </w:t>
      </w:r>
      <w:r w:rsidR="000E2DDC" w:rsidRPr="00451941">
        <w:rPr>
          <w:rFonts w:cstheme="minorHAnsi"/>
        </w:rPr>
        <w:t>gene-</w:t>
      </w:r>
      <w:r w:rsidR="008550E8" w:rsidRPr="00451941">
        <w:rPr>
          <w:rFonts w:cstheme="minorHAnsi"/>
        </w:rPr>
        <w:t>based testing</w:t>
      </w:r>
      <w:r w:rsidR="004F33D3" w:rsidRPr="00451941">
        <w:rPr>
          <w:rFonts w:cstheme="minorHAnsi"/>
        </w:rPr>
        <w:t xml:space="preserve">. Large scale contact tracing-testing-isolation (TTI) strategy was deployed </w:t>
      </w:r>
      <w:r w:rsidR="00060516" w:rsidRPr="00451941">
        <w:rPr>
          <w:rFonts w:cstheme="minorHAnsi"/>
        </w:rPr>
        <w:t xml:space="preserve">early </w:t>
      </w:r>
      <w:r w:rsidR="004F33D3" w:rsidRPr="00451941">
        <w:rPr>
          <w:rFonts w:cstheme="minorHAnsi"/>
        </w:rPr>
        <w:t xml:space="preserve">in </w:t>
      </w:r>
      <w:r w:rsidR="00060516" w:rsidRPr="00451941">
        <w:rPr>
          <w:rFonts w:cstheme="minorHAnsi"/>
        </w:rPr>
        <w:t xml:space="preserve">the course of the epidemic in </w:t>
      </w:r>
      <w:r w:rsidR="004F33D3" w:rsidRPr="00451941">
        <w:rPr>
          <w:rFonts w:cstheme="minorHAnsi"/>
        </w:rPr>
        <w:t>some countries with rapid containment. In countries where this strategy was delayed because of logistic</w:t>
      </w:r>
      <w:r w:rsidR="0033777F">
        <w:rPr>
          <w:rFonts w:cstheme="minorHAnsi"/>
        </w:rPr>
        <w:t xml:space="preserve">s </w:t>
      </w:r>
      <w:r w:rsidR="004F33D3" w:rsidRPr="00451941">
        <w:rPr>
          <w:rFonts w:cstheme="minorHAnsi"/>
        </w:rPr>
        <w:t>(Southern Europe, USA, Brazil</w:t>
      </w:r>
      <w:r w:rsidR="0042114F" w:rsidRPr="00451941">
        <w:rPr>
          <w:rFonts w:cstheme="minorHAnsi"/>
        </w:rPr>
        <w:t>,</w:t>
      </w:r>
      <w:r w:rsidR="004F33D3" w:rsidRPr="00451941">
        <w:rPr>
          <w:rFonts w:cstheme="minorHAnsi"/>
        </w:rPr>
        <w:t xml:space="preserve"> South America) or costs (South Asia)</w:t>
      </w:r>
      <w:r w:rsidR="00FC7B8B" w:rsidRPr="00451941">
        <w:rPr>
          <w:rFonts w:cstheme="minorHAnsi"/>
        </w:rPr>
        <w:t>,</w:t>
      </w:r>
      <w:r w:rsidR="004F33D3" w:rsidRPr="00451941">
        <w:rPr>
          <w:rFonts w:cstheme="minorHAnsi"/>
        </w:rPr>
        <w:t xml:space="preserve"> </w:t>
      </w:r>
      <w:r w:rsidR="00FC7B8B" w:rsidRPr="00451941">
        <w:rPr>
          <w:rFonts w:cstheme="minorHAnsi"/>
        </w:rPr>
        <w:t xml:space="preserve">infection </w:t>
      </w:r>
      <w:r w:rsidR="00AA25B9">
        <w:rPr>
          <w:rFonts w:cstheme="minorHAnsi"/>
        </w:rPr>
        <w:t xml:space="preserve">has </w:t>
      </w:r>
      <w:r w:rsidR="00FC7B8B" w:rsidRPr="00451941">
        <w:rPr>
          <w:rFonts w:cstheme="minorHAnsi"/>
        </w:rPr>
        <w:t>increased</w:t>
      </w:r>
      <w:r w:rsidR="004F33D3" w:rsidRPr="00451941">
        <w:rPr>
          <w:rFonts w:cstheme="minorHAnsi"/>
        </w:rPr>
        <w:t xml:space="preserve">. Lack of </w:t>
      </w:r>
      <w:r w:rsidR="00FC7B8B" w:rsidRPr="00451941">
        <w:rPr>
          <w:rFonts w:cstheme="minorHAnsi"/>
        </w:rPr>
        <w:t xml:space="preserve">the </w:t>
      </w:r>
      <w:r w:rsidR="004F33D3" w:rsidRPr="00451941">
        <w:rPr>
          <w:rFonts w:cstheme="minorHAnsi"/>
        </w:rPr>
        <w:t xml:space="preserve">manpower </w:t>
      </w:r>
      <w:r w:rsidR="008550E8" w:rsidRPr="00451941">
        <w:rPr>
          <w:rFonts w:cstheme="minorHAnsi"/>
        </w:rPr>
        <w:t xml:space="preserve">required </w:t>
      </w:r>
      <w:r w:rsidR="00FC7B8B" w:rsidRPr="00451941">
        <w:rPr>
          <w:rFonts w:cstheme="minorHAnsi"/>
        </w:rPr>
        <w:t xml:space="preserve">for </w:t>
      </w:r>
      <w:r w:rsidR="008550E8" w:rsidRPr="00451941">
        <w:rPr>
          <w:rFonts w:cstheme="minorHAnsi"/>
        </w:rPr>
        <w:t>TTI-</w:t>
      </w:r>
      <w:r w:rsidR="00FC7B8B" w:rsidRPr="00451941">
        <w:rPr>
          <w:rFonts w:cstheme="minorHAnsi"/>
        </w:rPr>
        <w:t xml:space="preserve">strategy </w:t>
      </w:r>
      <w:r w:rsidR="004F33D3" w:rsidRPr="00451941">
        <w:rPr>
          <w:rFonts w:cstheme="minorHAnsi"/>
        </w:rPr>
        <w:t>prompted many countries to deploy strategies such as prolonged lockdowns</w:t>
      </w:r>
      <w:r w:rsidR="00E6774A" w:rsidRPr="00451941">
        <w:rPr>
          <w:rFonts w:cstheme="minorHAnsi"/>
        </w:rPr>
        <w:t xml:space="preserve"> leading to economic hardships</w:t>
      </w:r>
      <w:r w:rsidR="004F33D3" w:rsidRPr="00451941">
        <w:rPr>
          <w:rFonts w:cstheme="minorHAnsi"/>
        </w:rPr>
        <w:t>. The most useful individual level intervention for prevention of spread of the virus has been universal m</w:t>
      </w:r>
      <w:r w:rsidR="0033777F">
        <w:rPr>
          <w:rFonts w:cstheme="minorHAnsi"/>
        </w:rPr>
        <w:t>asking, hygiene and distancing.</w:t>
      </w:r>
      <w:r w:rsidR="000E2DDC" w:rsidRPr="00451941">
        <w:rPr>
          <w:rFonts w:cstheme="minorHAnsi"/>
          <w:vertAlign w:val="superscript"/>
        </w:rPr>
        <w:t>2</w:t>
      </w:r>
      <w:r w:rsidR="00ED0043" w:rsidRPr="00451941">
        <w:rPr>
          <w:rFonts w:cstheme="minorHAnsi"/>
        </w:rPr>
        <w:t xml:space="preserve"> </w:t>
      </w:r>
      <w:r w:rsidR="004F33D3" w:rsidRPr="00451941">
        <w:rPr>
          <w:rFonts w:cstheme="minorHAnsi"/>
        </w:rPr>
        <w:t>Flouting of th</w:t>
      </w:r>
      <w:r w:rsidR="00540FE6" w:rsidRPr="00451941">
        <w:rPr>
          <w:rFonts w:cstheme="minorHAnsi"/>
        </w:rPr>
        <w:t>e</w:t>
      </w:r>
      <w:r w:rsidR="005314D9">
        <w:rPr>
          <w:rFonts w:cstheme="minorHAnsi"/>
        </w:rPr>
        <w:t xml:space="preserve">se interventions </w:t>
      </w:r>
      <w:r w:rsidR="004F33D3" w:rsidRPr="00451941">
        <w:rPr>
          <w:rFonts w:cstheme="minorHAnsi"/>
        </w:rPr>
        <w:t xml:space="preserve">has been </w:t>
      </w:r>
      <w:r w:rsidR="00540FE6" w:rsidRPr="00451941">
        <w:rPr>
          <w:rFonts w:cstheme="minorHAnsi"/>
        </w:rPr>
        <w:t xml:space="preserve">the </w:t>
      </w:r>
      <w:r w:rsidR="004F33D3" w:rsidRPr="00451941">
        <w:rPr>
          <w:rFonts w:cstheme="minorHAnsi"/>
        </w:rPr>
        <w:t xml:space="preserve">norm due to </w:t>
      </w:r>
      <w:r w:rsidR="00E6774A" w:rsidRPr="00451941">
        <w:rPr>
          <w:rFonts w:cstheme="minorHAnsi"/>
        </w:rPr>
        <w:t xml:space="preserve">poor </w:t>
      </w:r>
      <w:r w:rsidR="00756C1D" w:rsidRPr="00451941">
        <w:rPr>
          <w:rFonts w:cstheme="minorHAnsi"/>
        </w:rPr>
        <w:t xml:space="preserve">political and bureaucratic </w:t>
      </w:r>
      <w:r w:rsidR="00E6774A" w:rsidRPr="00451941">
        <w:rPr>
          <w:rFonts w:cstheme="minorHAnsi"/>
        </w:rPr>
        <w:t>communication</w:t>
      </w:r>
      <w:r w:rsidR="000E2DDC" w:rsidRPr="00451941">
        <w:rPr>
          <w:rFonts w:cstheme="minorHAnsi"/>
        </w:rPr>
        <w:t xml:space="preserve"> </w:t>
      </w:r>
      <w:r w:rsidR="00540FE6" w:rsidRPr="00451941">
        <w:rPr>
          <w:rFonts w:cstheme="minorHAnsi"/>
        </w:rPr>
        <w:t xml:space="preserve">and </w:t>
      </w:r>
      <w:r w:rsidR="000E2DDC" w:rsidRPr="00451941">
        <w:rPr>
          <w:rFonts w:cstheme="minorHAnsi"/>
        </w:rPr>
        <w:t xml:space="preserve">has led to improper masking and physical </w:t>
      </w:r>
      <w:r w:rsidR="00ED0043" w:rsidRPr="00451941">
        <w:rPr>
          <w:rFonts w:cstheme="minorHAnsi"/>
        </w:rPr>
        <w:t xml:space="preserve">crowding </w:t>
      </w:r>
      <w:r w:rsidR="00540FE6" w:rsidRPr="00451941">
        <w:rPr>
          <w:rFonts w:cstheme="minorHAnsi"/>
        </w:rPr>
        <w:t xml:space="preserve">along with use of </w:t>
      </w:r>
      <w:r w:rsidR="00ED0043" w:rsidRPr="00451941">
        <w:rPr>
          <w:rFonts w:cstheme="minorHAnsi"/>
        </w:rPr>
        <w:t>placebos such as inefficient designer masks, ineffective hand-sanitizers and high-cost air-purifiers</w:t>
      </w:r>
      <w:r w:rsidR="00060516" w:rsidRPr="00451941">
        <w:rPr>
          <w:rFonts w:cstheme="minorHAnsi"/>
        </w:rPr>
        <w:t xml:space="preserve">. </w:t>
      </w:r>
      <w:r w:rsidR="00AA25B9">
        <w:rPr>
          <w:rFonts w:cstheme="minorHAnsi"/>
        </w:rPr>
        <w:t xml:space="preserve">Masking is extremely important and is currently more protective than any other available intervention. </w:t>
      </w:r>
      <w:r w:rsidR="00756C1D" w:rsidRPr="00451941">
        <w:rPr>
          <w:rFonts w:cstheme="minorHAnsi"/>
        </w:rPr>
        <w:t xml:space="preserve">Herd immunity </w:t>
      </w:r>
      <w:r w:rsidR="009A76FF" w:rsidRPr="00451941">
        <w:rPr>
          <w:rFonts w:cstheme="minorHAnsi"/>
        </w:rPr>
        <w:t xml:space="preserve">through natural spread of infection or </w:t>
      </w:r>
      <w:r w:rsidR="00756C1D" w:rsidRPr="00451941">
        <w:rPr>
          <w:rFonts w:cstheme="minorHAnsi"/>
        </w:rPr>
        <w:t>vaccines ha</w:t>
      </w:r>
      <w:r w:rsidR="000E2DDC" w:rsidRPr="00451941">
        <w:rPr>
          <w:rFonts w:cstheme="minorHAnsi"/>
        </w:rPr>
        <w:t xml:space="preserve">s </w:t>
      </w:r>
      <w:r w:rsidR="00756C1D" w:rsidRPr="00451941">
        <w:rPr>
          <w:rFonts w:cstheme="minorHAnsi"/>
        </w:rPr>
        <w:t xml:space="preserve">been </w:t>
      </w:r>
      <w:r w:rsidR="000E2DDC" w:rsidRPr="00451941">
        <w:rPr>
          <w:rFonts w:cstheme="minorHAnsi"/>
        </w:rPr>
        <w:t>promoted</w:t>
      </w:r>
      <w:r w:rsidR="00756C1D" w:rsidRPr="00451941">
        <w:rPr>
          <w:rFonts w:cstheme="minorHAnsi"/>
        </w:rPr>
        <w:t xml:space="preserve">. </w:t>
      </w:r>
      <w:r w:rsidR="000E2DDC" w:rsidRPr="00451941">
        <w:rPr>
          <w:rFonts w:cstheme="minorHAnsi"/>
        </w:rPr>
        <w:t xml:space="preserve">It is worth recalling that </w:t>
      </w:r>
      <w:r w:rsidR="00756C1D" w:rsidRPr="00451941">
        <w:rPr>
          <w:rFonts w:cstheme="minorHAnsi"/>
        </w:rPr>
        <w:t xml:space="preserve">despite availability of effective vaccines, </w:t>
      </w:r>
      <w:r w:rsidR="009A76FF" w:rsidRPr="00451941">
        <w:rPr>
          <w:rFonts w:cstheme="minorHAnsi"/>
        </w:rPr>
        <w:t xml:space="preserve">eradication of </w:t>
      </w:r>
      <w:r w:rsidR="00756C1D" w:rsidRPr="00451941">
        <w:rPr>
          <w:rFonts w:cstheme="minorHAnsi"/>
        </w:rPr>
        <w:t xml:space="preserve">smallpox took </w:t>
      </w:r>
      <w:r w:rsidR="00540FE6" w:rsidRPr="00451941">
        <w:rPr>
          <w:rFonts w:cstheme="minorHAnsi"/>
        </w:rPr>
        <w:t>2</w:t>
      </w:r>
      <w:r w:rsidR="00756C1D" w:rsidRPr="00451941">
        <w:rPr>
          <w:rFonts w:cstheme="minorHAnsi"/>
        </w:rPr>
        <w:t xml:space="preserve">00 years and polio 60 years. </w:t>
      </w:r>
      <w:r w:rsidR="009A76FF" w:rsidRPr="00451941">
        <w:rPr>
          <w:rFonts w:cstheme="minorHAnsi"/>
        </w:rPr>
        <w:t>Process of natural herd immunity kill</w:t>
      </w:r>
      <w:r w:rsidR="00540FE6" w:rsidRPr="00451941">
        <w:rPr>
          <w:rFonts w:cstheme="minorHAnsi"/>
        </w:rPr>
        <w:t>s</w:t>
      </w:r>
      <w:r w:rsidR="009A76FF" w:rsidRPr="00451941">
        <w:rPr>
          <w:rFonts w:cstheme="minorHAnsi"/>
        </w:rPr>
        <w:t xml:space="preserve"> more than </w:t>
      </w:r>
      <w:r w:rsidR="00540FE6" w:rsidRPr="00451941">
        <w:rPr>
          <w:rFonts w:cstheme="minorHAnsi"/>
        </w:rPr>
        <w:t xml:space="preserve">it </w:t>
      </w:r>
      <w:r w:rsidR="009A76FF" w:rsidRPr="00451941">
        <w:rPr>
          <w:rFonts w:cstheme="minorHAnsi"/>
        </w:rPr>
        <w:t>save</w:t>
      </w:r>
      <w:r w:rsidR="00540FE6" w:rsidRPr="00451941">
        <w:rPr>
          <w:rFonts w:cstheme="minorHAnsi"/>
        </w:rPr>
        <w:t>s</w:t>
      </w:r>
      <w:r w:rsidR="009A76FF" w:rsidRPr="00451941">
        <w:rPr>
          <w:rFonts w:cstheme="minorHAnsi"/>
        </w:rPr>
        <w:t>.</w:t>
      </w:r>
      <w:r w:rsidR="000E2DDC" w:rsidRPr="00451941">
        <w:rPr>
          <w:rFonts w:cstheme="minorHAnsi"/>
          <w:vertAlign w:val="superscript"/>
        </w:rPr>
        <w:t>1</w:t>
      </w:r>
    </w:p>
    <w:p w:rsidR="000422FB" w:rsidRDefault="000E0DDE" w:rsidP="00451941">
      <w:pPr>
        <w:spacing w:after="120" w:line="360" w:lineRule="auto"/>
        <w:rPr>
          <w:rFonts w:cstheme="minorHAnsi"/>
        </w:rPr>
      </w:pPr>
      <w:r w:rsidRPr="00451941">
        <w:rPr>
          <w:rFonts w:cstheme="minorHAnsi"/>
          <w:b/>
        </w:rPr>
        <w:t>P</w:t>
      </w:r>
      <w:r w:rsidR="000E2DDC" w:rsidRPr="00451941">
        <w:rPr>
          <w:rFonts w:cstheme="minorHAnsi"/>
          <w:b/>
        </w:rPr>
        <w:t>revention p</w:t>
      </w:r>
      <w:r w:rsidR="00122DE9" w:rsidRPr="00451941">
        <w:rPr>
          <w:rFonts w:cstheme="minorHAnsi"/>
          <w:b/>
        </w:rPr>
        <w:t>lacebos</w:t>
      </w:r>
      <w:r w:rsidRPr="00451941">
        <w:rPr>
          <w:rFonts w:cstheme="minorHAnsi"/>
        </w:rPr>
        <w:t>:</w:t>
      </w:r>
      <w:r w:rsidR="00122DE9" w:rsidRPr="00451941">
        <w:rPr>
          <w:rFonts w:cstheme="minorHAnsi"/>
        </w:rPr>
        <w:t xml:space="preserve"> </w:t>
      </w:r>
    </w:p>
    <w:p w:rsidR="000E0DDE" w:rsidRPr="00451941" w:rsidRDefault="00342730" w:rsidP="000422FB">
      <w:pPr>
        <w:spacing w:after="120" w:line="360" w:lineRule="auto"/>
        <w:ind w:firstLine="720"/>
        <w:rPr>
          <w:rFonts w:cstheme="minorHAnsi"/>
        </w:rPr>
      </w:pPr>
      <w:r w:rsidRPr="00451941">
        <w:rPr>
          <w:rFonts w:cstheme="minorHAnsi"/>
        </w:rPr>
        <w:t xml:space="preserve">Since </w:t>
      </w:r>
      <w:r w:rsidR="0061587E">
        <w:rPr>
          <w:rFonts w:cstheme="minorHAnsi"/>
        </w:rPr>
        <w:t xml:space="preserve">early phase </w:t>
      </w:r>
      <w:r w:rsidR="00CB7CEF" w:rsidRPr="00451941">
        <w:rPr>
          <w:rFonts w:cstheme="minorHAnsi"/>
        </w:rPr>
        <w:t xml:space="preserve">of the epidemic </w:t>
      </w:r>
      <w:r w:rsidRPr="00451941">
        <w:rPr>
          <w:rFonts w:cstheme="minorHAnsi"/>
        </w:rPr>
        <w:t>prevention placebos</w:t>
      </w:r>
      <w:r w:rsidR="00CB7CEF" w:rsidRPr="00451941">
        <w:rPr>
          <w:rFonts w:cstheme="minorHAnsi"/>
        </w:rPr>
        <w:t xml:space="preserve"> </w:t>
      </w:r>
      <w:r w:rsidR="009A76FF" w:rsidRPr="00451941">
        <w:rPr>
          <w:rFonts w:cstheme="minorHAnsi"/>
        </w:rPr>
        <w:t>focusing on t</w:t>
      </w:r>
      <w:r w:rsidRPr="00451941">
        <w:rPr>
          <w:rFonts w:cstheme="minorHAnsi"/>
        </w:rPr>
        <w:t xml:space="preserve">wo major </w:t>
      </w:r>
      <w:r w:rsidR="00540FE6" w:rsidRPr="00451941">
        <w:rPr>
          <w:rFonts w:cstheme="minorHAnsi"/>
        </w:rPr>
        <w:t xml:space="preserve">pharmaceutical classes </w:t>
      </w:r>
      <w:r w:rsidR="009A76FF" w:rsidRPr="00451941">
        <w:rPr>
          <w:rFonts w:cstheme="minorHAnsi"/>
        </w:rPr>
        <w:t>ha</w:t>
      </w:r>
      <w:r w:rsidR="00540FE6" w:rsidRPr="00451941">
        <w:rPr>
          <w:rFonts w:cstheme="minorHAnsi"/>
        </w:rPr>
        <w:t xml:space="preserve">s </w:t>
      </w:r>
      <w:r w:rsidR="009A76FF" w:rsidRPr="00451941">
        <w:rPr>
          <w:rFonts w:cstheme="minorHAnsi"/>
        </w:rPr>
        <w:t xml:space="preserve">been </w:t>
      </w:r>
      <w:r w:rsidRPr="00451941">
        <w:rPr>
          <w:rFonts w:cstheme="minorHAnsi"/>
        </w:rPr>
        <w:t>promoted- herbal</w:t>
      </w:r>
      <w:r w:rsidR="0061587E">
        <w:rPr>
          <w:rFonts w:cstheme="minorHAnsi"/>
        </w:rPr>
        <w:t>s</w:t>
      </w:r>
      <w:r w:rsidRPr="00451941">
        <w:rPr>
          <w:rFonts w:cstheme="minorHAnsi"/>
        </w:rPr>
        <w:t xml:space="preserve"> and </w:t>
      </w:r>
      <w:r w:rsidR="00CB7CEF" w:rsidRPr="00451941">
        <w:rPr>
          <w:rFonts w:cstheme="minorHAnsi"/>
        </w:rPr>
        <w:t xml:space="preserve">repurposed </w:t>
      </w:r>
      <w:r w:rsidR="009A76FF" w:rsidRPr="00451941">
        <w:rPr>
          <w:rFonts w:cstheme="minorHAnsi"/>
        </w:rPr>
        <w:t>pharmaceutical</w:t>
      </w:r>
      <w:r w:rsidR="00540FE6" w:rsidRPr="00451941">
        <w:rPr>
          <w:rFonts w:cstheme="minorHAnsi"/>
        </w:rPr>
        <w:t>s</w:t>
      </w:r>
      <w:r w:rsidRPr="00451941">
        <w:rPr>
          <w:rFonts w:cstheme="minorHAnsi"/>
        </w:rPr>
        <w:t>. Herbal</w:t>
      </w:r>
      <w:r w:rsidR="008550E8" w:rsidRPr="00451941">
        <w:rPr>
          <w:rFonts w:cstheme="minorHAnsi"/>
        </w:rPr>
        <w:t>s</w:t>
      </w:r>
      <w:r w:rsidRPr="00451941">
        <w:rPr>
          <w:rFonts w:cstheme="minorHAnsi"/>
        </w:rPr>
        <w:t xml:space="preserve"> include a number of </w:t>
      </w:r>
      <w:r w:rsidR="008550E8" w:rsidRPr="00451941">
        <w:rPr>
          <w:rFonts w:cstheme="minorHAnsi"/>
        </w:rPr>
        <w:t xml:space="preserve">designer </w:t>
      </w:r>
      <w:r w:rsidR="00CB7CEF" w:rsidRPr="00451941">
        <w:rPr>
          <w:rFonts w:cstheme="minorHAnsi"/>
        </w:rPr>
        <w:t xml:space="preserve">placebos that </w:t>
      </w:r>
      <w:r w:rsidR="008550E8" w:rsidRPr="00451941">
        <w:rPr>
          <w:rFonts w:cstheme="minorHAnsi"/>
        </w:rPr>
        <w:t xml:space="preserve">are supposedly </w:t>
      </w:r>
      <w:r w:rsidRPr="00451941">
        <w:rPr>
          <w:rFonts w:cstheme="minorHAnsi"/>
        </w:rPr>
        <w:t>immun</w:t>
      </w:r>
      <w:r w:rsidR="00CB7CEF" w:rsidRPr="00451941">
        <w:rPr>
          <w:rFonts w:cstheme="minorHAnsi"/>
        </w:rPr>
        <w:t xml:space="preserve">ity boosters, antivirals and </w:t>
      </w:r>
      <w:r w:rsidRPr="00451941">
        <w:rPr>
          <w:rFonts w:cstheme="minorHAnsi"/>
        </w:rPr>
        <w:t>infection suppress</w:t>
      </w:r>
      <w:r w:rsidR="00CB7CEF" w:rsidRPr="00451941">
        <w:rPr>
          <w:rFonts w:cstheme="minorHAnsi"/>
        </w:rPr>
        <w:t>ants</w:t>
      </w:r>
      <w:r w:rsidR="000E2DDC" w:rsidRPr="00451941">
        <w:rPr>
          <w:rFonts w:cstheme="minorHAnsi"/>
        </w:rPr>
        <w:t>.</w:t>
      </w:r>
      <w:r w:rsidR="00E6774A" w:rsidRPr="00451941">
        <w:rPr>
          <w:rFonts w:cstheme="minorHAnsi"/>
        </w:rPr>
        <w:t xml:space="preserve"> </w:t>
      </w:r>
      <w:r w:rsidR="00510CD2" w:rsidRPr="00451941">
        <w:rPr>
          <w:rFonts w:cstheme="minorHAnsi"/>
        </w:rPr>
        <w:t>Use of repurposed</w:t>
      </w:r>
      <w:r w:rsidR="0061587E">
        <w:rPr>
          <w:rFonts w:cstheme="minorHAnsi"/>
        </w:rPr>
        <w:t xml:space="preserve"> pharmacological agents</w:t>
      </w:r>
      <w:r w:rsidR="00F66DC9" w:rsidRPr="00451941">
        <w:rPr>
          <w:rFonts w:cstheme="minorHAnsi"/>
        </w:rPr>
        <w:t xml:space="preserve"> such as </w:t>
      </w:r>
      <w:r w:rsidR="00CB7CEF" w:rsidRPr="00451941">
        <w:rPr>
          <w:rFonts w:cstheme="minorHAnsi"/>
        </w:rPr>
        <w:t xml:space="preserve">antivirals, </w:t>
      </w:r>
      <w:r w:rsidR="00E6774A" w:rsidRPr="00451941">
        <w:rPr>
          <w:rFonts w:cstheme="minorHAnsi"/>
        </w:rPr>
        <w:t>antimalarial</w:t>
      </w:r>
      <w:r w:rsidR="00F66DC9" w:rsidRPr="00451941">
        <w:rPr>
          <w:rFonts w:cstheme="minorHAnsi"/>
        </w:rPr>
        <w:t>s</w:t>
      </w:r>
      <w:r w:rsidR="00E6774A" w:rsidRPr="00451941">
        <w:rPr>
          <w:rFonts w:cstheme="minorHAnsi"/>
        </w:rPr>
        <w:t xml:space="preserve">, </w:t>
      </w:r>
      <w:r w:rsidR="00CB7CEF" w:rsidRPr="00451941">
        <w:rPr>
          <w:rFonts w:cstheme="minorHAnsi"/>
        </w:rPr>
        <w:t xml:space="preserve">antihelminths and antibiotics </w:t>
      </w:r>
      <w:r w:rsidR="00F66DC9" w:rsidRPr="00451941">
        <w:rPr>
          <w:rFonts w:cstheme="minorHAnsi"/>
        </w:rPr>
        <w:t>is a greater concern</w:t>
      </w:r>
      <w:r w:rsidR="00E6774A" w:rsidRPr="00451941">
        <w:rPr>
          <w:rFonts w:cstheme="minorHAnsi"/>
        </w:rPr>
        <w:t>.</w:t>
      </w:r>
      <w:r w:rsidR="0033777F">
        <w:rPr>
          <w:rFonts w:cstheme="minorHAnsi"/>
          <w:vertAlign w:val="superscript"/>
        </w:rPr>
        <w:t>3</w:t>
      </w:r>
      <w:r w:rsidR="00E6774A" w:rsidRPr="00451941">
        <w:rPr>
          <w:rFonts w:cstheme="minorHAnsi"/>
        </w:rPr>
        <w:t xml:space="preserve"> </w:t>
      </w:r>
      <w:r w:rsidR="00F66DC9" w:rsidRPr="00451941">
        <w:rPr>
          <w:rFonts w:cstheme="minorHAnsi"/>
        </w:rPr>
        <w:t>S</w:t>
      </w:r>
      <w:r w:rsidR="00E6774A" w:rsidRPr="00451941">
        <w:rPr>
          <w:rFonts w:cstheme="minorHAnsi"/>
        </w:rPr>
        <w:t xml:space="preserve">upport </w:t>
      </w:r>
      <w:r w:rsidR="00756C1D" w:rsidRPr="00451941">
        <w:rPr>
          <w:rFonts w:cstheme="minorHAnsi"/>
        </w:rPr>
        <w:t xml:space="preserve">for </w:t>
      </w:r>
      <w:r w:rsidR="00CB7CEF" w:rsidRPr="00451941">
        <w:rPr>
          <w:rFonts w:cstheme="minorHAnsi"/>
        </w:rPr>
        <w:t xml:space="preserve">some of these </w:t>
      </w:r>
      <w:r w:rsidR="00E6774A" w:rsidRPr="00451941">
        <w:rPr>
          <w:rFonts w:cstheme="minorHAnsi"/>
        </w:rPr>
        <w:t xml:space="preserve">placebos </w:t>
      </w:r>
      <w:r w:rsidR="00756C1D" w:rsidRPr="00451941">
        <w:rPr>
          <w:rFonts w:cstheme="minorHAnsi"/>
        </w:rPr>
        <w:t xml:space="preserve">is </w:t>
      </w:r>
      <w:r w:rsidR="00E6774A" w:rsidRPr="00451941">
        <w:rPr>
          <w:rFonts w:cstheme="minorHAnsi"/>
        </w:rPr>
        <w:t>from politicians</w:t>
      </w:r>
      <w:r w:rsidR="00CB7CEF" w:rsidRPr="00451941">
        <w:rPr>
          <w:rFonts w:cstheme="minorHAnsi"/>
        </w:rPr>
        <w:t>,</w:t>
      </w:r>
      <w:r w:rsidR="00280B06" w:rsidRPr="00451941">
        <w:rPr>
          <w:rFonts w:cstheme="minorHAnsi"/>
        </w:rPr>
        <w:t xml:space="preserve"> politician-scientists and </w:t>
      </w:r>
      <w:r w:rsidR="0061587E">
        <w:rPr>
          <w:rFonts w:cstheme="minorHAnsi"/>
        </w:rPr>
        <w:t xml:space="preserve">biased </w:t>
      </w:r>
      <w:r w:rsidR="00CB7CEF" w:rsidRPr="00451941">
        <w:rPr>
          <w:rFonts w:cstheme="minorHAnsi"/>
        </w:rPr>
        <w:t>clinicians</w:t>
      </w:r>
      <w:r w:rsidR="00280B06" w:rsidRPr="00451941">
        <w:rPr>
          <w:rFonts w:cstheme="minorHAnsi"/>
        </w:rPr>
        <w:t xml:space="preserve">. </w:t>
      </w:r>
      <w:r w:rsidR="0061587E">
        <w:rPr>
          <w:rFonts w:cstheme="minorHAnsi"/>
        </w:rPr>
        <w:t xml:space="preserve">A few </w:t>
      </w:r>
      <w:r w:rsidR="00280B06" w:rsidRPr="00451941">
        <w:rPr>
          <w:rFonts w:cstheme="minorHAnsi"/>
        </w:rPr>
        <w:t>national ag</w:t>
      </w:r>
      <w:r w:rsidR="00E6774A" w:rsidRPr="00451941">
        <w:rPr>
          <w:rFonts w:cstheme="minorHAnsi"/>
        </w:rPr>
        <w:t>encies</w:t>
      </w:r>
      <w:r w:rsidR="00280B06" w:rsidRPr="00451941">
        <w:rPr>
          <w:rFonts w:cstheme="minorHAnsi"/>
        </w:rPr>
        <w:t xml:space="preserve"> </w:t>
      </w:r>
      <w:r w:rsidR="00CB7CEF" w:rsidRPr="00451941">
        <w:rPr>
          <w:rFonts w:cstheme="minorHAnsi"/>
        </w:rPr>
        <w:t xml:space="preserve">have </w:t>
      </w:r>
      <w:r w:rsidR="00E6774A" w:rsidRPr="00451941">
        <w:rPr>
          <w:rFonts w:cstheme="minorHAnsi"/>
        </w:rPr>
        <w:t xml:space="preserve">recommended </w:t>
      </w:r>
      <w:r w:rsidR="00CB7CEF" w:rsidRPr="00451941">
        <w:rPr>
          <w:rFonts w:cstheme="minorHAnsi"/>
        </w:rPr>
        <w:t xml:space="preserve">emergency use authorization </w:t>
      </w:r>
      <w:r w:rsidR="00510CD2" w:rsidRPr="00451941">
        <w:rPr>
          <w:rFonts w:cstheme="minorHAnsi"/>
        </w:rPr>
        <w:t xml:space="preserve">or developed </w:t>
      </w:r>
      <w:r w:rsidR="00756C1D" w:rsidRPr="00451941">
        <w:rPr>
          <w:rFonts w:cstheme="minorHAnsi"/>
        </w:rPr>
        <w:lastRenderedPageBreak/>
        <w:t xml:space="preserve">national guidelines recommending </w:t>
      </w:r>
      <w:r w:rsidR="00280B06" w:rsidRPr="00451941">
        <w:rPr>
          <w:rFonts w:cstheme="minorHAnsi"/>
        </w:rPr>
        <w:t xml:space="preserve">large scale </w:t>
      </w:r>
      <w:r w:rsidR="00E6774A" w:rsidRPr="00451941">
        <w:rPr>
          <w:rFonts w:cstheme="minorHAnsi"/>
        </w:rPr>
        <w:t>use of</w:t>
      </w:r>
      <w:r w:rsidR="00280B06" w:rsidRPr="00451941">
        <w:rPr>
          <w:rFonts w:cstheme="minorHAnsi"/>
        </w:rPr>
        <w:t xml:space="preserve"> </w:t>
      </w:r>
      <w:r w:rsidR="0061587E">
        <w:rPr>
          <w:rFonts w:cstheme="minorHAnsi"/>
        </w:rPr>
        <w:t>hydroxychloroquine</w:t>
      </w:r>
      <w:r w:rsidR="00756C1D" w:rsidRPr="00451941">
        <w:rPr>
          <w:rFonts w:cstheme="minorHAnsi"/>
        </w:rPr>
        <w:t xml:space="preserve"> </w:t>
      </w:r>
      <w:r w:rsidR="00E6774A" w:rsidRPr="00451941">
        <w:rPr>
          <w:rFonts w:cstheme="minorHAnsi"/>
        </w:rPr>
        <w:t xml:space="preserve">as preventive therapies in absence of </w:t>
      </w:r>
      <w:r w:rsidR="00F66DC9" w:rsidRPr="00451941">
        <w:rPr>
          <w:rFonts w:cstheme="minorHAnsi"/>
        </w:rPr>
        <w:t xml:space="preserve">randomized </w:t>
      </w:r>
      <w:r w:rsidR="00E6774A" w:rsidRPr="00451941">
        <w:rPr>
          <w:rFonts w:cstheme="minorHAnsi"/>
        </w:rPr>
        <w:t>trials.</w:t>
      </w:r>
      <w:r w:rsidR="005220D5" w:rsidRPr="005220D5">
        <w:rPr>
          <w:rFonts w:cstheme="minorHAnsi"/>
          <w:vertAlign w:val="superscript"/>
        </w:rPr>
        <w:t>4</w:t>
      </w:r>
      <w:r w:rsidR="00F66DC9" w:rsidRPr="00451941">
        <w:rPr>
          <w:rFonts w:cstheme="minorHAnsi"/>
        </w:rPr>
        <w:t xml:space="preserve"> </w:t>
      </w:r>
      <w:r w:rsidR="00280B06" w:rsidRPr="00451941">
        <w:rPr>
          <w:rFonts w:cstheme="minorHAnsi"/>
        </w:rPr>
        <w:t xml:space="preserve">Social-media generated </w:t>
      </w:r>
      <w:r w:rsidR="0033777F">
        <w:rPr>
          <w:rFonts w:cstheme="minorHAnsi"/>
        </w:rPr>
        <w:t xml:space="preserve">hype </w:t>
      </w:r>
      <w:r w:rsidR="00280B06" w:rsidRPr="00451941">
        <w:rPr>
          <w:rFonts w:cstheme="minorHAnsi"/>
        </w:rPr>
        <w:t xml:space="preserve">in these </w:t>
      </w:r>
      <w:r w:rsidR="00756C1D" w:rsidRPr="00451941">
        <w:rPr>
          <w:rFonts w:cstheme="minorHAnsi"/>
        </w:rPr>
        <w:t xml:space="preserve">placebos </w:t>
      </w:r>
      <w:r w:rsidR="00280B06" w:rsidRPr="00451941">
        <w:rPr>
          <w:rFonts w:cstheme="minorHAnsi"/>
        </w:rPr>
        <w:t xml:space="preserve">led to </w:t>
      </w:r>
      <w:r w:rsidR="00617803" w:rsidRPr="00451941">
        <w:rPr>
          <w:rFonts w:cstheme="minorHAnsi"/>
        </w:rPr>
        <w:t xml:space="preserve">widespread </w:t>
      </w:r>
      <w:r w:rsidR="00280B06" w:rsidRPr="00451941">
        <w:rPr>
          <w:rFonts w:cstheme="minorHAnsi"/>
        </w:rPr>
        <w:t>use as prophylaxis</w:t>
      </w:r>
      <w:r w:rsidR="00510CD2" w:rsidRPr="00451941">
        <w:rPr>
          <w:rFonts w:cstheme="minorHAnsi"/>
        </w:rPr>
        <w:t xml:space="preserve"> and treatment</w:t>
      </w:r>
      <w:r w:rsidR="00756C1D" w:rsidRPr="00451941">
        <w:rPr>
          <w:rFonts w:cstheme="minorHAnsi"/>
        </w:rPr>
        <w:t xml:space="preserve">. </w:t>
      </w:r>
      <w:r w:rsidR="00DE1304">
        <w:rPr>
          <w:rFonts w:cstheme="minorHAnsi"/>
        </w:rPr>
        <w:t xml:space="preserve">In India, prescription of hydroxychloroquine, ivermectin and many similar drugs is widespread. </w:t>
      </w:r>
      <w:r w:rsidR="00617803" w:rsidRPr="00451941">
        <w:rPr>
          <w:rFonts w:cstheme="minorHAnsi"/>
        </w:rPr>
        <w:t>Small randomiz</w:t>
      </w:r>
      <w:r w:rsidR="00F66DC9" w:rsidRPr="00451941">
        <w:rPr>
          <w:rFonts w:cstheme="minorHAnsi"/>
        </w:rPr>
        <w:t xml:space="preserve">ed trials </w:t>
      </w:r>
      <w:r w:rsidR="0061587E">
        <w:rPr>
          <w:rFonts w:cstheme="minorHAnsi"/>
        </w:rPr>
        <w:t xml:space="preserve">have not reported </w:t>
      </w:r>
      <w:r w:rsidR="00F66DC9" w:rsidRPr="00451941">
        <w:rPr>
          <w:rFonts w:cstheme="minorHAnsi"/>
        </w:rPr>
        <w:t xml:space="preserve">any benefit </w:t>
      </w:r>
      <w:r w:rsidR="00AA25B9">
        <w:rPr>
          <w:rFonts w:cstheme="minorHAnsi"/>
        </w:rPr>
        <w:t xml:space="preserve">in disease prophylaxis </w:t>
      </w:r>
      <w:r w:rsidR="00F66DC9" w:rsidRPr="00451941">
        <w:rPr>
          <w:rFonts w:cstheme="minorHAnsi"/>
        </w:rPr>
        <w:t>while properly designed large scale studies are yet not available.</w:t>
      </w:r>
      <w:r w:rsidR="000B79A6" w:rsidRPr="00451941">
        <w:rPr>
          <w:rFonts w:cstheme="minorHAnsi"/>
        </w:rPr>
        <w:t xml:space="preserve"> </w:t>
      </w:r>
    </w:p>
    <w:p w:rsidR="000422FB" w:rsidRDefault="000E0DDE" w:rsidP="00451941">
      <w:pPr>
        <w:spacing w:after="120" w:line="360" w:lineRule="auto"/>
        <w:rPr>
          <w:rFonts w:cstheme="minorHAnsi"/>
        </w:rPr>
      </w:pPr>
      <w:r w:rsidRPr="00451941">
        <w:rPr>
          <w:rFonts w:cstheme="minorHAnsi"/>
          <w:b/>
        </w:rPr>
        <w:t>Pharmacotherap</w:t>
      </w:r>
      <w:r w:rsidR="00D81CD8" w:rsidRPr="00451941">
        <w:rPr>
          <w:rFonts w:cstheme="minorHAnsi"/>
          <w:b/>
        </w:rPr>
        <w:t>y</w:t>
      </w:r>
      <w:r w:rsidRPr="00451941">
        <w:rPr>
          <w:rFonts w:cstheme="minorHAnsi"/>
        </w:rPr>
        <w:t>:</w:t>
      </w:r>
      <w:r w:rsidR="00D81CD8" w:rsidRPr="00451941">
        <w:rPr>
          <w:rFonts w:cstheme="minorHAnsi"/>
        </w:rPr>
        <w:t xml:space="preserve"> </w:t>
      </w:r>
    </w:p>
    <w:p w:rsidR="005314D9" w:rsidRDefault="00F65632" w:rsidP="000422FB">
      <w:pPr>
        <w:spacing w:after="120" w:line="360" w:lineRule="auto"/>
        <w:ind w:firstLine="720"/>
      </w:pPr>
      <w:r w:rsidRPr="00451941">
        <w:rPr>
          <w:rFonts w:cstheme="minorHAnsi"/>
        </w:rPr>
        <w:t xml:space="preserve">Urgency </w:t>
      </w:r>
      <w:r w:rsidR="00F61478" w:rsidRPr="00451941">
        <w:t xml:space="preserve">to </w:t>
      </w:r>
      <w:r w:rsidR="00F61478" w:rsidRPr="005314D9">
        <w:t xml:space="preserve">find a magic bullet has led to </w:t>
      </w:r>
      <w:r w:rsidR="005314D9">
        <w:t xml:space="preserve">inadequately </w:t>
      </w:r>
      <w:r w:rsidR="00F61478" w:rsidRPr="00451941">
        <w:t xml:space="preserve">designed </w:t>
      </w:r>
      <w:r w:rsidR="005314D9">
        <w:t xml:space="preserve">and </w:t>
      </w:r>
      <w:r w:rsidR="00510CD2" w:rsidRPr="00451941">
        <w:t xml:space="preserve">underpowered </w:t>
      </w:r>
      <w:r w:rsidR="00F61478" w:rsidRPr="00451941">
        <w:t>clinical trials</w:t>
      </w:r>
      <w:r w:rsidR="008C1DF7" w:rsidRPr="00451941">
        <w:t>.</w:t>
      </w:r>
      <w:r w:rsidR="005220D5">
        <w:rPr>
          <w:vertAlign w:val="superscript"/>
        </w:rPr>
        <w:t>3</w:t>
      </w:r>
      <w:r w:rsidR="008C1DF7" w:rsidRPr="00451941">
        <w:t xml:space="preserve"> R</w:t>
      </w:r>
      <w:r w:rsidR="00F61478" w:rsidRPr="00451941">
        <w:t xml:space="preserve">esults </w:t>
      </w:r>
      <w:r w:rsidR="009E6C1B" w:rsidRPr="00451941">
        <w:t xml:space="preserve">have been published </w:t>
      </w:r>
      <w:r w:rsidR="00F61478" w:rsidRPr="00451941">
        <w:t xml:space="preserve">without high-quality peer review. </w:t>
      </w:r>
      <w:r w:rsidR="00617803" w:rsidRPr="00451941">
        <w:t xml:space="preserve">List </w:t>
      </w:r>
      <w:r w:rsidR="008C1DF7" w:rsidRPr="00451941">
        <w:t>of such drugs include antiviral</w:t>
      </w:r>
      <w:r w:rsidR="00510CD2" w:rsidRPr="00451941">
        <w:t>s</w:t>
      </w:r>
      <w:r w:rsidR="008C1DF7" w:rsidRPr="00451941">
        <w:t>,</w:t>
      </w:r>
      <w:r w:rsidR="00617803" w:rsidRPr="00451941">
        <w:t xml:space="preserve"> </w:t>
      </w:r>
      <w:r w:rsidR="008C1DF7" w:rsidRPr="00451941">
        <w:t>antimalarial</w:t>
      </w:r>
      <w:r w:rsidR="00510CD2" w:rsidRPr="00451941">
        <w:t>s</w:t>
      </w:r>
      <w:r w:rsidR="008C1DF7" w:rsidRPr="00451941">
        <w:t>, antihelminth</w:t>
      </w:r>
      <w:r w:rsidR="00510CD2" w:rsidRPr="00451941">
        <w:t>s</w:t>
      </w:r>
      <w:r w:rsidR="00617803" w:rsidRPr="00451941">
        <w:t xml:space="preserve">, antibiotics, </w:t>
      </w:r>
      <w:r w:rsidR="005314D9" w:rsidRPr="00451941">
        <w:t>immunomodulators,</w:t>
      </w:r>
      <w:r w:rsidR="005314D9">
        <w:t xml:space="preserve"> </w:t>
      </w:r>
      <w:r w:rsidR="00617803" w:rsidRPr="00451941">
        <w:t xml:space="preserve">monoclonal </w:t>
      </w:r>
      <w:r w:rsidR="005314D9">
        <w:t xml:space="preserve">and polyclonal </w:t>
      </w:r>
      <w:r w:rsidR="00617803" w:rsidRPr="00451941">
        <w:t>antibodies</w:t>
      </w:r>
      <w:r w:rsidR="00510CD2" w:rsidRPr="00451941">
        <w:t>,</w:t>
      </w:r>
      <w:r w:rsidR="00617803" w:rsidRPr="00451941">
        <w:t xml:space="preserve"> convalescent plasma and others. </w:t>
      </w:r>
      <w:r w:rsidR="00DE1304">
        <w:t>More than 35</w:t>
      </w:r>
      <w:r w:rsidR="00C60F9F" w:rsidRPr="00451941">
        <w:t xml:space="preserve">00 </w:t>
      </w:r>
      <w:r w:rsidR="008C1DF7" w:rsidRPr="00451941">
        <w:t>clinical trials</w:t>
      </w:r>
      <w:r w:rsidR="00C60F9F" w:rsidRPr="00451941">
        <w:t xml:space="preserve"> </w:t>
      </w:r>
      <w:r w:rsidR="00510CD2" w:rsidRPr="00451941">
        <w:t xml:space="preserve">are </w:t>
      </w:r>
      <w:r w:rsidR="00C60F9F" w:rsidRPr="00451941">
        <w:t>registered</w:t>
      </w:r>
      <w:r w:rsidR="005220D5">
        <w:t xml:space="preserve"> and </w:t>
      </w:r>
      <w:r w:rsidR="00957A10" w:rsidRPr="00451941">
        <w:t>N</w:t>
      </w:r>
      <w:r w:rsidR="00510CD2" w:rsidRPr="00451941">
        <w:t xml:space="preserve">IH </w:t>
      </w:r>
      <w:r w:rsidR="00957A10" w:rsidRPr="00451941">
        <w:t xml:space="preserve">website has listed all </w:t>
      </w:r>
      <w:r w:rsidR="008C1DF7" w:rsidRPr="00451941">
        <w:t xml:space="preserve">published </w:t>
      </w:r>
      <w:r w:rsidR="00957A10" w:rsidRPr="00451941">
        <w:t>outcome trials</w:t>
      </w:r>
      <w:r w:rsidR="005220D5">
        <w:t>.</w:t>
      </w:r>
      <w:r w:rsidR="005220D5">
        <w:rPr>
          <w:vertAlign w:val="superscript"/>
        </w:rPr>
        <w:t>4</w:t>
      </w:r>
      <w:r w:rsidR="002762EE">
        <w:t xml:space="preserve"> BMJ </w:t>
      </w:r>
      <w:r w:rsidR="0033777F">
        <w:t xml:space="preserve">and WHO have </w:t>
      </w:r>
      <w:r w:rsidR="002762EE">
        <w:t xml:space="preserve">created </w:t>
      </w:r>
      <w:r w:rsidR="00957A10" w:rsidRPr="00451941">
        <w:t>liv</w:t>
      </w:r>
      <w:r w:rsidR="002762EE">
        <w:t xml:space="preserve">ing </w:t>
      </w:r>
      <w:r w:rsidR="008C1DF7" w:rsidRPr="00451941">
        <w:t>update article</w:t>
      </w:r>
      <w:r w:rsidR="0033777F">
        <w:t>s</w:t>
      </w:r>
      <w:r w:rsidR="00957A10" w:rsidRPr="00451941">
        <w:t>.</w:t>
      </w:r>
      <w:r w:rsidR="0033777F">
        <w:rPr>
          <w:vertAlign w:val="superscript"/>
        </w:rPr>
        <w:t>3,</w:t>
      </w:r>
      <w:r w:rsidR="005220D5">
        <w:rPr>
          <w:vertAlign w:val="superscript"/>
        </w:rPr>
        <w:t>5</w:t>
      </w:r>
      <w:r w:rsidR="00957A10" w:rsidRPr="00451941">
        <w:t xml:space="preserve"> </w:t>
      </w:r>
      <w:r w:rsidR="008C1DF7" w:rsidRPr="00451941">
        <w:t xml:space="preserve">Many of these drugs and </w:t>
      </w:r>
      <w:r w:rsidR="009E6C1B" w:rsidRPr="00451941">
        <w:t xml:space="preserve">combinations have failed in treatment of </w:t>
      </w:r>
      <w:r w:rsidR="008C1DF7" w:rsidRPr="00451941">
        <w:t xml:space="preserve">previous </w:t>
      </w:r>
      <w:r w:rsidR="00957A10" w:rsidRPr="00451941">
        <w:t xml:space="preserve">coronavirus </w:t>
      </w:r>
      <w:r w:rsidR="009E6C1B" w:rsidRPr="00451941">
        <w:t>infection</w:t>
      </w:r>
      <w:r w:rsidR="00957A10" w:rsidRPr="00451941">
        <w:t>s (SARS</w:t>
      </w:r>
      <w:r w:rsidR="00510CD2" w:rsidRPr="00451941">
        <w:t>-1</w:t>
      </w:r>
      <w:r w:rsidR="00957A10" w:rsidRPr="00451941">
        <w:t>, MERS, etc)</w:t>
      </w:r>
      <w:r w:rsidR="008C1DF7" w:rsidRPr="00451941">
        <w:t>. On the other hand</w:t>
      </w:r>
      <w:r w:rsidR="000668D5" w:rsidRPr="00451941">
        <w:t>,</w:t>
      </w:r>
      <w:r w:rsidR="008C1DF7" w:rsidRPr="00451941">
        <w:t xml:space="preserve"> </w:t>
      </w:r>
      <w:r w:rsidR="00957A10" w:rsidRPr="00451941">
        <w:t>rampant use of these p</w:t>
      </w:r>
      <w:r w:rsidR="00617803" w:rsidRPr="00451941">
        <w:t>otentially toxic drug</w:t>
      </w:r>
      <w:r w:rsidR="00957A10" w:rsidRPr="00451941">
        <w:t>s</w:t>
      </w:r>
      <w:r w:rsidR="000668D5" w:rsidRPr="00451941">
        <w:t xml:space="preserve"> and </w:t>
      </w:r>
      <w:r w:rsidR="00957A10" w:rsidRPr="00451941">
        <w:t>drug-</w:t>
      </w:r>
      <w:r w:rsidR="00617803" w:rsidRPr="00451941">
        <w:t>cocktails ha</w:t>
      </w:r>
      <w:r w:rsidR="00957A10" w:rsidRPr="00451941">
        <w:t xml:space="preserve">s </w:t>
      </w:r>
      <w:r w:rsidR="00617803" w:rsidRPr="00451941">
        <w:t xml:space="preserve">been promoted based on misguided expert opinions and social media frenzy. </w:t>
      </w:r>
      <w:r w:rsidR="00F40E23">
        <w:t xml:space="preserve">Remdesivir, an antiviral medication is widely used after a few randomized trials reported benefit in reducing hospitalization duration with no influence on mortality. </w:t>
      </w:r>
      <w:r w:rsidR="00DE1304">
        <w:t xml:space="preserve">It has also received approval from US FDA. </w:t>
      </w:r>
      <w:r w:rsidR="00F40E23">
        <w:t xml:space="preserve">Results of larger trials are awaited. </w:t>
      </w:r>
      <w:r w:rsidR="008C1DF7" w:rsidRPr="00451941">
        <w:t xml:space="preserve">Examples of two expensive </w:t>
      </w:r>
      <w:r w:rsidR="00AA25B9">
        <w:t xml:space="preserve">technologies </w:t>
      </w:r>
      <w:r w:rsidR="008C1DF7" w:rsidRPr="00451941">
        <w:t>that are widely used despite lo</w:t>
      </w:r>
      <w:r w:rsidR="000668D5" w:rsidRPr="00451941">
        <w:t>w</w:t>
      </w:r>
      <w:r w:rsidR="008C1DF7" w:rsidRPr="00451941">
        <w:t xml:space="preserve"> quality evidence are revealing. </w:t>
      </w:r>
      <w:r w:rsidR="00AA25B9">
        <w:t xml:space="preserve">Randomized trials of tocilizumab, </w:t>
      </w:r>
      <w:r w:rsidR="000668D5" w:rsidRPr="00451941">
        <w:t>an interfleukin-6 inhibitor</w:t>
      </w:r>
      <w:r w:rsidR="00AA25B9">
        <w:t xml:space="preserve">, </w:t>
      </w:r>
      <w:r w:rsidR="00592030" w:rsidRPr="00451941">
        <w:t>have failed to show benefit in hospitalized covid-19 patients.</w:t>
      </w:r>
      <w:r w:rsidR="005220D5">
        <w:rPr>
          <w:vertAlign w:val="superscript"/>
        </w:rPr>
        <w:t>3,4</w:t>
      </w:r>
      <w:r w:rsidR="00592030" w:rsidRPr="00451941">
        <w:t xml:space="preserve"> </w:t>
      </w:r>
      <w:r w:rsidR="00F40E23">
        <w:t xml:space="preserve">Convalescent plasma therapy has been promoted and approved by governments as panacea resulting in widespread use and creation of state-sponsored donor plasma banks. No </w:t>
      </w:r>
      <w:r w:rsidR="00DE1304">
        <w:t xml:space="preserve">large </w:t>
      </w:r>
      <w:r w:rsidR="00F40E23">
        <w:t>trial evidence exists.</w:t>
      </w:r>
      <w:r w:rsidR="00F40E23">
        <w:rPr>
          <w:vertAlign w:val="superscript"/>
        </w:rPr>
        <w:t>4</w:t>
      </w:r>
      <w:r w:rsidR="00F40E23">
        <w:t xml:space="preserve"> </w:t>
      </w:r>
      <w:r w:rsidR="00DE1304">
        <w:t>An medium-sized Indian randomized controlled trial has reported no benefit.</w:t>
      </w:r>
      <w:r w:rsidR="00DE1304" w:rsidRPr="00DE1304">
        <w:rPr>
          <w:vertAlign w:val="superscript"/>
        </w:rPr>
        <w:t>6</w:t>
      </w:r>
      <w:r w:rsidR="00DE1304">
        <w:t xml:space="preserve"> </w:t>
      </w:r>
      <w:r w:rsidR="008E7F07" w:rsidRPr="00451941">
        <w:t>S</w:t>
      </w:r>
      <w:r w:rsidR="000668D5" w:rsidRPr="00451941">
        <w:t xml:space="preserve">ocial media based medical education has </w:t>
      </w:r>
      <w:r w:rsidR="00F61478" w:rsidRPr="00451941">
        <w:t xml:space="preserve">led to </w:t>
      </w:r>
      <w:r w:rsidR="00BA6E77" w:rsidRPr="00451941">
        <w:t xml:space="preserve">massive </w:t>
      </w:r>
      <w:r w:rsidR="000668D5" w:rsidRPr="00451941">
        <w:t xml:space="preserve">public demand and subsequent widespread </w:t>
      </w:r>
      <w:r w:rsidR="00F61478" w:rsidRPr="00451941">
        <w:t>use of these drugs without much evidence</w:t>
      </w:r>
      <w:r w:rsidR="000668D5" w:rsidRPr="00451941">
        <w:t xml:space="preserve">. This </w:t>
      </w:r>
      <w:r w:rsidR="008E7F07" w:rsidRPr="00451941">
        <w:t>has led</w:t>
      </w:r>
      <w:r w:rsidR="000668D5" w:rsidRPr="00451941">
        <w:t xml:space="preserve"> to </w:t>
      </w:r>
      <w:r w:rsidR="00F61478" w:rsidRPr="00451941">
        <w:t>increas</w:t>
      </w:r>
      <w:r w:rsidR="00BA6E77" w:rsidRPr="00451941">
        <w:t xml:space="preserve">e in </w:t>
      </w:r>
      <w:r w:rsidR="00F61478" w:rsidRPr="00451941">
        <w:t>healthcare cost</w:t>
      </w:r>
      <w:r w:rsidR="00BA6E77" w:rsidRPr="00451941">
        <w:t>s</w:t>
      </w:r>
      <w:r w:rsidR="00F61478" w:rsidRPr="00451941">
        <w:t xml:space="preserve"> and</w:t>
      </w:r>
      <w:r w:rsidR="00BA6E77" w:rsidRPr="00451941">
        <w:t xml:space="preserve"> false hopes among patients and families</w:t>
      </w:r>
      <w:r w:rsidR="00F61478" w:rsidRPr="00451941">
        <w:t>.</w:t>
      </w:r>
      <w:r w:rsidR="007E3CD4" w:rsidRPr="00451941">
        <w:t xml:space="preserve"> </w:t>
      </w:r>
    </w:p>
    <w:p w:rsidR="000422FB" w:rsidRDefault="000E0DDE" w:rsidP="00451941">
      <w:pPr>
        <w:spacing w:after="120" w:line="360" w:lineRule="auto"/>
        <w:rPr>
          <w:rFonts w:cstheme="minorHAnsi"/>
        </w:rPr>
      </w:pPr>
      <w:r w:rsidRPr="00451941">
        <w:rPr>
          <w:rFonts w:cstheme="minorHAnsi"/>
          <w:b/>
        </w:rPr>
        <w:t>Statistic</w:t>
      </w:r>
      <w:r w:rsidR="000422FB">
        <w:rPr>
          <w:rFonts w:cstheme="minorHAnsi"/>
          <w:b/>
        </w:rPr>
        <w:t>s</w:t>
      </w:r>
      <w:r w:rsidRPr="00451941">
        <w:rPr>
          <w:rFonts w:cstheme="minorHAnsi"/>
        </w:rPr>
        <w:t>:</w:t>
      </w:r>
      <w:r w:rsidR="00617803" w:rsidRPr="00451941">
        <w:rPr>
          <w:rFonts w:cstheme="minorHAnsi"/>
        </w:rPr>
        <w:t xml:space="preserve"> </w:t>
      </w:r>
    </w:p>
    <w:p w:rsidR="000E0DDE" w:rsidRPr="00F40E23" w:rsidRDefault="00DF27F5" w:rsidP="000422FB">
      <w:pPr>
        <w:spacing w:after="120" w:line="360" w:lineRule="auto"/>
        <w:ind w:firstLine="720"/>
      </w:pPr>
      <w:r w:rsidRPr="00451941">
        <w:rPr>
          <w:rFonts w:cstheme="minorHAnsi"/>
        </w:rPr>
        <w:t>Daily update</w:t>
      </w:r>
      <w:r w:rsidR="00375F7F" w:rsidRPr="00451941">
        <w:rPr>
          <w:rFonts w:cstheme="minorHAnsi"/>
        </w:rPr>
        <w:t xml:space="preserve"> in number of patients and deaths from covid-19 has led to </w:t>
      </w:r>
      <w:r w:rsidR="008E7F07" w:rsidRPr="00451941">
        <w:rPr>
          <w:rFonts w:cstheme="minorHAnsi"/>
        </w:rPr>
        <w:t xml:space="preserve">global numbers-game </w:t>
      </w:r>
      <w:r w:rsidR="00C60F9F" w:rsidRPr="00451941">
        <w:rPr>
          <w:rFonts w:cstheme="minorHAnsi"/>
        </w:rPr>
        <w:t>and i</w:t>
      </w:r>
      <w:r w:rsidR="00375F7F" w:rsidRPr="00451941">
        <w:rPr>
          <w:rFonts w:cstheme="minorHAnsi"/>
        </w:rPr>
        <w:t xml:space="preserve">n </w:t>
      </w:r>
      <w:r w:rsidR="00C60F9F" w:rsidRPr="00451941">
        <w:rPr>
          <w:rFonts w:cstheme="minorHAnsi"/>
        </w:rPr>
        <w:t>countries</w:t>
      </w:r>
      <w:r w:rsidR="00375F7F" w:rsidRPr="00451941">
        <w:rPr>
          <w:rFonts w:cstheme="minorHAnsi"/>
        </w:rPr>
        <w:t xml:space="preserve"> with underground betting industry</w:t>
      </w:r>
      <w:r w:rsidR="00443431">
        <w:rPr>
          <w:rFonts w:cstheme="minorHAnsi"/>
        </w:rPr>
        <w:t>,</w:t>
      </w:r>
      <w:r w:rsidR="00C60F9F" w:rsidRPr="00451941">
        <w:rPr>
          <w:rFonts w:cstheme="minorHAnsi"/>
        </w:rPr>
        <w:t xml:space="preserve"> </w:t>
      </w:r>
      <w:r w:rsidR="00375F7F" w:rsidRPr="00451941">
        <w:rPr>
          <w:rFonts w:cstheme="minorHAnsi"/>
        </w:rPr>
        <w:t xml:space="preserve">punters are having a field day. </w:t>
      </w:r>
      <w:r w:rsidR="00592030" w:rsidRPr="00451941">
        <w:rPr>
          <w:rFonts w:cstheme="minorHAnsi"/>
        </w:rPr>
        <w:t xml:space="preserve">Death </w:t>
      </w:r>
      <w:r w:rsidR="00C60F9F" w:rsidRPr="00451941">
        <w:rPr>
          <w:rFonts w:cstheme="minorHAnsi"/>
        </w:rPr>
        <w:t xml:space="preserve">statistics are misleading </w:t>
      </w:r>
      <w:r w:rsidR="005220D5">
        <w:rPr>
          <w:rFonts w:cstheme="minorHAnsi"/>
        </w:rPr>
        <w:t>and often under</w:t>
      </w:r>
      <w:r w:rsidR="008E7F07" w:rsidRPr="00451941">
        <w:rPr>
          <w:rFonts w:cstheme="minorHAnsi"/>
        </w:rPr>
        <w:t>reported. N</w:t>
      </w:r>
      <w:r w:rsidR="00592030" w:rsidRPr="00451941">
        <w:rPr>
          <w:rFonts w:cstheme="minorHAnsi"/>
        </w:rPr>
        <w:t>umber of excess deaths</w:t>
      </w:r>
      <w:r w:rsidR="00C60F9F" w:rsidRPr="00451941">
        <w:rPr>
          <w:rFonts w:cstheme="minorHAnsi"/>
        </w:rPr>
        <w:t xml:space="preserve"> attribu</w:t>
      </w:r>
      <w:r w:rsidR="00873933">
        <w:rPr>
          <w:rFonts w:cstheme="minorHAnsi"/>
        </w:rPr>
        <w:t>table to C</w:t>
      </w:r>
      <w:r w:rsidR="00C60F9F" w:rsidRPr="00451941">
        <w:rPr>
          <w:rFonts w:cstheme="minorHAnsi"/>
        </w:rPr>
        <w:t xml:space="preserve">ovid-19 is more valid. </w:t>
      </w:r>
      <w:r w:rsidR="00592030" w:rsidRPr="00451941">
        <w:rPr>
          <w:rFonts w:cstheme="minorHAnsi"/>
        </w:rPr>
        <w:t xml:space="preserve">Unfortunately in </w:t>
      </w:r>
      <w:r w:rsidR="00C60F9F" w:rsidRPr="00451941">
        <w:rPr>
          <w:rFonts w:cstheme="minorHAnsi"/>
        </w:rPr>
        <w:t xml:space="preserve">most </w:t>
      </w:r>
      <w:r w:rsidR="008E7F07" w:rsidRPr="00451941">
        <w:rPr>
          <w:rFonts w:cstheme="minorHAnsi"/>
        </w:rPr>
        <w:t xml:space="preserve">developing countries </w:t>
      </w:r>
      <w:r w:rsidR="00D05660" w:rsidRPr="00451941">
        <w:rPr>
          <w:rFonts w:cstheme="minorHAnsi"/>
        </w:rPr>
        <w:t xml:space="preserve">such data are not available </w:t>
      </w:r>
      <w:r w:rsidR="00592030" w:rsidRPr="00451941">
        <w:rPr>
          <w:rFonts w:cstheme="minorHAnsi"/>
        </w:rPr>
        <w:t>due to lack of robust vital registration system</w:t>
      </w:r>
      <w:r w:rsidR="00D05660" w:rsidRPr="00451941">
        <w:rPr>
          <w:rFonts w:cstheme="minorHAnsi"/>
        </w:rPr>
        <w:t>.</w:t>
      </w:r>
      <w:r w:rsidR="00592030" w:rsidRPr="00451941">
        <w:rPr>
          <w:rFonts w:cstheme="minorHAnsi"/>
        </w:rPr>
        <w:t xml:space="preserve"> </w:t>
      </w:r>
      <w:r w:rsidR="00375F7F" w:rsidRPr="00451941">
        <w:rPr>
          <w:rFonts w:cstheme="minorHAnsi"/>
        </w:rPr>
        <w:t>A</w:t>
      </w:r>
      <w:r w:rsidR="00C60F9F" w:rsidRPr="00451941">
        <w:rPr>
          <w:rFonts w:cstheme="minorHAnsi"/>
        </w:rPr>
        <w:t xml:space="preserve">nother </w:t>
      </w:r>
      <w:r w:rsidRPr="00451941">
        <w:rPr>
          <w:rFonts w:cstheme="minorHAnsi"/>
        </w:rPr>
        <w:t xml:space="preserve">placebo statistic </w:t>
      </w:r>
      <w:r w:rsidR="00D05660" w:rsidRPr="00451941">
        <w:rPr>
          <w:rFonts w:cstheme="minorHAnsi"/>
        </w:rPr>
        <w:t xml:space="preserve">is </w:t>
      </w:r>
      <w:r w:rsidR="00375F7F" w:rsidRPr="00451941">
        <w:rPr>
          <w:rFonts w:cstheme="minorHAnsi"/>
        </w:rPr>
        <w:t>recovery rate</w:t>
      </w:r>
      <w:r w:rsidR="00D05660" w:rsidRPr="00451941">
        <w:rPr>
          <w:rFonts w:cstheme="minorHAnsi"/>
          <w:i/>
        </w:rPr>
        <w:t xml:space="preserve">. </w:t>
      </w:r>
      <w:r w:rsidR="00D05660" w:rsidRPr="00451941">
        <w:rPr>
          <w:rFonts w:cstheme="minorHAnsi"/>
        </w:rPr>
        <w:t>This</w:t>
      </w:r>
      <w:r w:rsidR="00375F7F" w:rsidRPr="00451941">
        <w:rPr>
          <w:rFonts w:cstheme="minorHAnsi"/>
        </w:rPr>
        <w:t xml:space="preserve"> </w:t>
      </w:r>
      <w:r w:rsidR="00C60F9F" w:rsidRPr="00451941">
        <w:rPr>
          <w:rFonts w:cstheme="minorHAnsi"/>
        </w:rPr>
        <w:t xml:space="preserve">is </w:t>
      </w:r>
      <w:r w:rsidR="00375F7F" w:rsidRPr="00451941">
        <w:rPr>
          <w:rFonts w:cstheme="minorHAnsi"/>
        </w:rPr>
        <w:t>widely used to denote success</w:t>
      </w:r>
      <w:r w:rsidR="00D05660" w:rsidRPr="00451941">
        <w:rPr>
          <w:rFonts w:cstheme="minorHAnsi"/>
        </w:rPr>
        <w:t xml:space="preserve"> and media </w:t>
      </w:r>
      <w:r w:rsidR="008E7F07" w:rsidRPr="00451941">
        <w:rPr>
          <w:rFonts w:cstheme="minorHAnsi"/>
        </w:rPr>
        <w:t xml:space="preserve">gleefully </w:t>
      </w:r>
      <w:r w:rsidR="00D05660" w:rsidRPr="00451941">
        <w:rPr>
          <w:rFonts w:cstheme="minorHAnsi"/>
        </w:rPr>
        <w:t>highlights recoveries in 60</w:t>
      </w:r>
      <w:r w:rsidR="00C60F9F" w:rsidRPr="00451941">
        <w:rPr>
          <w:rFonts w:cstheme="minorHAnsi"/>
        </w:rPr>
        <w:t>-80</w:t>
      </w:r>
      <w:r w:rsidR="00D05660" w:rsidRPr="00451941">
        <w:rPr>
          <w:rFonts w:cstheme="minorHAnsi"/>
        </w:rPr>
        <w:t>%</w:t>
      </w:r>
      <w:r w:rsidR="00375F7F" w:rsidRPr="00451941">
        <w:rPr>
          <w:rFonts w:cstheme="minorHAnsi"/>
        </w:rPr>
        <w:t xml:space="preserve">. </w:t>
      </w:r>
      <w:r w:rsidR="00D05660" w:rsidRPr="00451941">
        <w:rPr>
          <w:rFonts w:cstheme="minorHAnsi"/>
        </w:rPr>
        <w:t xml:space="preserve">Such numbers, </w:t>
      </w:r>
      <w:r w:rsidR="00375F7F" w:rsidRPr="00451941">
        <w:rPr>
          <w:rFonts w:cstheme="minorHAnsi"/>
        </w:rPr>
        <w:t xml:space="preserve">in a disease with mortality rate of 2-5% </w:t>
      </w:r>
      <w:r w:rsidR="00375F7F" w:rsidRPr="00451941">
        <w:rPr>
          <w:rFonts w:cstheme="minorHAnsi"/>
        </w:rPr>
        <w:lastRenderedPageBreak/>
        <w:t xml:space="preserve">and recovery in </w:t>
      </w:r>
      <w:r w:rsidR="00C60F9F" w:rsidRPr="00451941">
        <w:rPr>
          <w:rFonts w:cstheme="minorHAnsi"/>
        </w:rPr>
        <w:t>excess of 90</w:t>
      </w:r>
      <w:r w:rsidR="00375F7F" w:rsidRPr="00451941">
        <w:rPr>
          <w:rFonts w:cstheme="minorHAnsi"/>
        </w:rPr>
        <w:t xml:space="preserve">%, instead of </w:t>
      </w:r>
      <w:r w:rsidRPr="00451941">
        <w:rPr>
          <w:rFonts w:cstheme="minorHAnsi"/>
        </w:rPr>
        <w:t xml:space="preserve">generating optimism is a </w:t>
      </w:r>
      <w:r w:rsidR="00375F7F" w:rsidRPr="00451941">
        <w:rPr>
          <w:rFonts w:cstheme="minorHAnsi"/>
        </w:rPr>
        <w:t>seri</w:t>
      </w:r>
      <w:r w:rsidR="008E7F07" w:rsidRPr="00451941">
        <w:rPr>
          <w:rFonts w:cstheme="minorHAnsi"/>
        </w:rPr>
        <w:t>ous indictment of health system</w:t>
      </w:r>
      <w:r w:rsidR="00375F7F" w:rsidRPr="00451941">
        <w:rPr>
          <w:rFonts w:cstheme="minorHAnsi"/>
        </w:rPr>
        <w:t xml:space="preserve">. </w:t>
      </w:r>
      <w:r w:rsidR="00873933">
        <w:rPr>
          <w:rFonts w:cstheme="minorHAnsi"/>
        </w:rPr>
        <w:t xml:space="preserve">This rate does not account for almost a </w:t>
      </w:r>
      <w:r w:rsidR="005220D5">
        <w:rPr>
          <w:rFonts w:cstheme="minorHAnsi"/>
        </w:rPr>
        <w:t xml:space="preserve">quarter </w:t>
      </w:r>
      <w:r w:rsidR="00873933">
        <w:rPr>
          <w:rFonts w:cstheme="minorHAnsi"/>
        </w:rPr>
        <w:t xml:space="preserve">of patients </w:t>
      </w:r>
      <w:r w:rsidR="005220D5">
        <w:rPr>
          <w:rFonts w:cstheme="minorHAnsi"/>
        </w:rPr>
        <w:t xml:space="preserve">who have </w:t>
      </w:r>
      <w:r w:rsidR="00873933">
        <w:rPr>
          <w:rFonts w:cstheme="minorHAnsi"/>
        </w:rPr>
        <w:t xml:space="preserve">long-term sequelae. </w:t>
      </w:r>
      <w:r w:rsidR="00C60F9F" w:rsidRPr="00451941">
        <w:rPr>
          <w:rFonts w:cstheme="minorHAnsi"/>
        </w:rPr>
        <w:t>D</w:t>
      </w:r>
      <w:r w:rsidRPr="00451941">
        <w:rPr>
          <w:rFonts w:cstheme="minorHAnsi"/>
        </w:rPr>
        <w:t xml:space="preserve">aily update </w:t>
      </w:r>
      <w:r w:rsidR="00C60F9F" w:rsidRPr="00451941">
        <w:rPr>
          <w:rFonts w:cstheme="minorHAnsi"/>
        </w:rPr>
        <w:t xml:space="preserve">of </w:t>
      </w:r>
      <w:r w:rsidR="00375F7F" w:rsidRPr="00451941">
        <w:rPr>
          <w:rFonts w:cstheme="minorHAnsi"/>
        </w:rPr>
        <w:t xml:space="preserve">this statistic </w:t>
      </w:r>
      <w:r w:rsidRPr="00451941">
        <w:rPr>
          <w:rFonts w:cstheme="minorHAnsi"/>
        </w:rPr>
        <w:t>has political dimension</w:t>
      </w:r>
      <w:r w:rsidR="005220D5">
        <w:rPr>
          <w:rFonts w:cstheme="minorHAnsi"/>
        </w:rPr>
        <w:t>s</w:t>
      </w:r>
      <w:r w:rsidRPr="00451941">
        <w:rPr>
          <w:rFonts w:cstheme="minorHAnsi"/>
        </w:rPr>
        <w:t xml:space="preserve"> and has been </w:t>
      </w:r>
      <w:r w:rsidR="00375F7F" w:rsidRPr="00451941">
        <w:rPr>
          <w:rFonts w:cstheme="minorHAnsi"/>
        </w:rPr>
        <w:t xml:space="preserve">used </w:t>
      </w:r>
      <w:r w:rsidRPr="00451941">
        <w:rPr>
          <w:rFonts w:cstheme="minorHAnsi"/>
        </w:rPr>
        <w:t xml:space="preserve">for </w:t>
      </w:r>
      <w:r w:rsidR="005220D5">
        <w:rPr>
          <w:rFonts w:cstheme="minorHAnsi"/>
        </w:rPr>
        <w:t>inter</w:t>
      </w:r>
      <w:r w:rsidR="00375F7F" w:rsidRPr="00451941">
        <w:rPr>
          <w:rFonts w:cstheme="minorHAnsi"/>
        </w:rPr>
        <w:t xml:space="preserve">state </w:t>
      </w:r>
      <w:r w:rsidR="0004524D" w:rsidRPr="00451941">
        <w:rPr>
          <w:rFonts w:cstheme="minorHAnsi"/>
        </w:rPr>
        <w:t xml:space="preserve">dénouement </w:t>
      </w:r>
      <w:r w:rsidR="00375F7F" w:rsidRPr="00451941">
        <w:rPr>
          <w:rFonts w:cstheme="minorHAnsi"/>
        </w:rPr>
        <w:t>in large countries such as India, USA</w:t>
      </w:r>
      <w:r w:rsidRPr="00451941">
        <w:rPr>
          <w:rFonts w:cstheme="minorHAnsi"/>
        </w:rPr>
        <w:t xml:space="preserve"> and</w:t>
      </w:r>
      <w:r w:rsidR="00375F7F" w:rsidRPr="00451941">
        <w:rPr>
          <w:rFonts w:cstheme="minorHAnsi"/>
        </w:rPr>
        <w:t xml:space="preserve"> Brazil. </w:t>
      </w:r>
      <w:r w:rsidR="00617803" w:rsidRPr="00451941">
        <w:rPr>
          <w:rFonts w:cstheme="minorHAnsi"/>
        </w:rPr>
        <w:t xml:space="preserve">Arm-chair statisticians, mathematicians and economists have led in production of </w:t>
      </w:r>
      <w:r w:rsidR="00375F7F" w:rsidRPr="00451941">
        <w:rPr>
          <w:rFonts w:cstheme="minorHAnsi"/>
        </w:rPr>
        <w:t xml:space="preserve">national and international </w:t>
      </w:r>
      <w:r w:rsidR="00617803" w:rsidRPr="00451941">
        <w:rPr>
          <w:rFonts w:cstheme="minorHAnsi"/>
        </w:rPr>
        <w:t xml:space="preserve">models to predict outcomes of the pandemic. </w:t>
      </w:r>
      <w:r w:rsidRPr="00451941">
        <w:rPr>
          <w:rFonts w:cstheme="minorHAnsi"/>
        </w:rPr>
        <w:t>All Covid-19 predictio</w:t>
      </w:r>
      <w:r w:rsidR="00375F7F" w:rsidRPr="00451941">
        <w:rPr>
          <w:rFonts w:cstheme="minorHAnsi"/>
        </w:rPr>
        <w:t xml:space="preserve">ns have </w:t>
      </w:r>
      <w:r w:rsidRPr="00451941">
        <w:rPr>
          <w:rFonts w:cstheme="minorHAnsi"/>
        </w:rPr>
        <w:t xml:space="preserve">fallen by the wayside. </w:t>
      </w:r>
    </w:p>
    <w:p w:rsidR="000422FB" w:rsidRDefault="000E0DDE" w:rsidP="00451941">
      <w:pPr>
        <w:spacing w:after="120" w:line="360" w:lineRule="auto"/>
        <w:rPr>
          <w:rFonts w:cstheme="minorHAnsi"/>
        </w:rPr>
      </w:pPr>
      <w:r w:rsidRPr="00451941">
        <w:rPr>
          <w:rFonts w:cstheme="minorHAnsi"/>
          <w:b/>
        </w:rPr>
        <w:t>Conclusions</w:t>
      </w:r>
      <w:r w:rsidRPr="00451941">
        <w:rPr>
          <w:rFonts w:cstheme="minorHAnsi"/>
        </w:rPr>
        <w:t>:</w:t>
      </w:r>
      <w:r w:rsidR="00252969" w:rsidRPr="00451941">
        <w:rPr>
          <w:rFonts w:cstheme="minorHAnsi"/>
        </w:rPr>
        <w:t xml:space="preserve"> </w:t>
      </w:r>
    </w:p>
    <w:p w:rsidR="00831DD8" w:rsidRPr="00451941" w:rsidRDefault="00151CB0" w:rsidP="000422FB">
      <w:pPr>
        <w:spacing w:after="120" w:line="360" w:lineRule="auto"/>
        <w:ind w:firstLine="720"/>
        <w:rPr>
          <w:rFonts w:cstheme="minorHAnsi"/>
        </w:rPr>
      </w:pPr>
      <w:r w:rsidRPr="00451941">
        <w:rPr>
          <w:rFonts w:cstheme="minorHAnsi"/>
        </w:rPr>
        <w:t xml:space="preserve">Covid-19 pandemic has </w:t>
      </w:r>
      <w:r w:rsidR="00823D62" w:rsidRPr="00451941">
        <w:rPr>
          <w:rFonts w:cstheme="minorHAnsi"/>
        </w:rPr>
        <w:t xml:space="preserve">led to </w:t>
      </w:r>
      <w:r w:rsidR="008E7F07" w:rsidRPr="00451941">
        <w:rPr>
          <w:rFonts w:cstheme="minorHAnsi"/>
        </w:rPr>
        <w:t>more than 85</w:t>
      </w:r>
      <w:r w:rsidR="0004524D" w:rsidRPr="00451941">
        <w:rPr>
          <w:rFonts w:cstheme="minorHAnsi"/>
        </w:rPr>
        <w:t>0,000</w:t>
      </w:r>
      <w:r w:rsidR="00823D62" w:rsidRPr="00451941">
        <w:rPr>
          <w:rFonts w:cstheme="minorHAnsi"/>
        </w:rPr>
        <w:t xml:space="preserve"> deaths and </w:t>
      </w:r>
      <w:r w:rsidR="0004524D" w:rsidRPr="00451941">
        <w:rPr>
          <w:rFonts w:cstheme="minorHAnsi"/>
        </w:rPr>
        <w:t xml:space="preserve">has left </w:t>
      </w:r>
      <w:r w:rsidR="00823D62" w:rsidRPr="00451941">
        <w:rPr>
          <w:rFonts w:cstheme="minorHAnsi"/>
        </w:rPr>
        <w:t xml:space="preserve">millions </w:t>
      </w:r>
      <w:r w:rsidR="0004524D" w:rsidRPr="00451941">
        <w:rPr>
          <w:rFonts w:cstheme="minorHAnsi"/>
        </w:rPr>
        <w:t>with disability</w:t>
      </w:r>
      <w:r w:rsidR="00823D62" w:rsidRPr="00451941">
        <w:rPr>
          <w:rFonts w:cstheme="minorHAnsi"/>
        </w:rPr>
        <w:t xml:space="preserve">. It also has led to global </w:t>
      </w:r>
      <w:r w:rsidRPr="00451941">
        <w:rPr>
          <w:rFonts w:cstheme="minorHAnsi"/>
        </w:rPr>
        <w:t>panic</w:t>
      </w:r>
      <w:r w:rsidR="008E7F07" w:rsidRPr="00451941">
        <w:rPr>
          <w:rFonts w:cstheme="minorHAnsi"/>
        </w:rPr>
        <w:t xml:space="preserve"> and economic disaster</w:t>
      </w:r>
      <w:r w:rsidR="00F56FC3" w:rsidRPr="00451941">
        <w:rPr>
          <w:rFonts w:cstheme="minorHAnsi"/>
        </w:rPr>
        <w:t xml:space="preserve">. </w:t>
      </w:r>
      <w:r w:rsidR="008E7F07" w:rsidRPr="00451941">
        <w:rPr>
          <w:rFonts w:cstheme="minorHAnsi"/>
        </w:rPr>
        <w:t>T</w:t>
      </w:r>
      <w:r w:rsidR="0004524D" w:rsidRPr="00451941">
        <w:rPr>
          <w:rFonts w:cstheme="minorHAnsi"/>
        </w:rPr>
        <w:t xml:space="preserve">his </w:t>
      </w:r>
      <w:r w:rsidR="0068102D" w:rsidRPr="00451941">
        <w:rPr>
          <w:rFonts w:cstheme="minorHAnsi"/>
        </w:rPr>
        <w:t xml:space="preserve">has </w:t>
      </w:r>
      <w:r w:rsidR="00823D62" w:rsidRPr="00451941">
        <w:rPr>
          <w:rFonts w:cstheme="minorHAnsi"/>
        </w:rPr>
        <w:t xml:space="preserve">prompted use of placebos in public policies, preventive strategies, prophylactic drugs and untested therapies. </w:t>
      </w:r>
      <w:r w:rsidR="003D6452" w:rsidRPr="00451941">
        <w:rPr>
          <w:rFonts w:cstheme="minorHAnsi"/>
        </w:rPr>
        <w:t xml:space="preserve">Some </w:t>
      </w:r>
      <w:r w:rsidR="00823D62" w:rsidRPr="00451941">
        <w:rPr>
          <w:rFonts w:cstheme="minorHAnsi"/>
        </w:rPr>
        <w:t>of these placebos have led to unnecessary deaths</w:t>
      </w:r>
      <w:r w:rsidR="003D6452" w:rsidRPr="00451941">
        <w:rPr>
          <w:rFonts w:cstheme="minorHAnsi"/>
        </w:rPr>
        <w:t xml:space="preserve"> and have greatl</w:t>
      </w:r>
      <w:r w:rsidR="00194272" w:rsidRPr="00451941">
        <w:rPr>
          <w:rFonts w:cstheme="minorHAnsi"/>
        </w:rPr>
        <w:t xml:space="preserve">y escalated costs of </w:t>
      </w:r>
      <w:r w:rsidR="00F56FC3" w:rsidRPr="00451941">
        <w:rPr>
          <w:rFonts w:cstheme="minorHAnsi"/>
        </w:rPr>
        <w:t>management of this largely self-limiting disease</w:t>
      </w:r>
      <w:r w:rsidR="00194272" w:rsidRPr="00451941">
        <w:rPr>
          <w:rFonts w:cstheme="minorHAnsi"/>
        </w:rPr>
        <w:t xml:space="preserve">. </w:t>
      </w:r>
      <w:r w:rsidR="003D6452" w:rsidRPr="00451941">
        <w:rPr>
          <w:rFonts w:cstheme="minorHAnsi"/>
        </w:rPr>
        <w:t xml:space="preserve">Pandemics are controlled by </w:t>
      </w:r>
      <w:r w:rsidR="0068102D" w:rsidRPr="00451941">
        <w:rPr>
          <w:rFonts w:cstheme="minorHAnsi"/>
        </w:rPr>
        <w:t xml:space="preserve">public health practices and </w:t>
      </w:r>
      <w:r w:rsidR="000D192B" w:rsidRPr="00451941">
        <w:rPr>
          <w:rFonts w:cstheme="minorHAnsi"/>
        </w:rPr>
        <w:t xml:space="preserve">population education </w:t>
      </w:r>
      <w:r w:rsidR="0068102D" w:rsidRPr="00451941">
        <w:rPr>
          <w:rFonts w:cstheme="minorHAnsi"/>
        </w:rPr>
        <w:t>and not placebos</w:t>
      </w:r>
      <w:r w:rsidR="003D6452" w:rsidRPr="00451941">
        <w:rPr>
          <w:rFonts w:cstheme="minorHAnsi"/>
        </w:rPr>
        <w:t xml:space="preserve">. </w:t>
      </w:r>
    </w:p>
    <w:p w:rsidR="000B3368" w:rsidRPr="00451941" w:rsidRDefault="000B3368" w:rsidP="00451941">
      <w:pPr>
        <w:spacing w:after="120" w:line="360" w:lineRule="auto"/>
        <w:rPr>
          <w:rFonts w:cstheme="minorHAnsi"/>
          <w:caps/>
        </w:rPr>
      </w:pPr>
      <w:r w:rsidRPr="00451941">
        <w:rPr>
          <w:rFonts w:cstheme="minorHAnsi"/>
          <w:b/>
          <w:caps/>
        </w:rPr>
        <w:t>References</w:t>
      </w:r>
      <w:r w:rsidRPr="00451941">
        <w:rPr>
          <w:rFonts w:cstheme="minorHAnsi"/>
          <w:caps/>
        </w:rPr>
        <w:t>:</w:t>
      </w:r>
    </w:p>
    <w:p w:rsidR="00572634" w:rsidRPr="000422FB" w:rsidRDefault="00572634" w:rsidP="00F35056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cstheme="minorHAnsi"/>
          <w:color w:val="000000" w:themeColor="text1"/>
        </w:rPr>
      </w:pPr>
      <w:r w:rsidRPr="000422FB">
        <w:rPr>
          <w:rFonts w:cstheme="minorHAnsi"/>
          <w:color w:val="000000" w:themeColor="text1"/>
        </w:rPr>
        <w:t>Ebrahim SH, Ahmed QA, Gozzer E, Schlagenhauf P, Memish ZA. Covid-19 and community mitigation strategies in a pandemic. BMJ. 2020; 368:m1066.</w:t>
      </w:r>
    </w:p>
    <w:p w:rsidR="00AE7147" w:rsidRPr="000422FB" w:rsidRDefault="003376AC" w:rsidP="00F35056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cstheme="minorHAnsi"/>
          <w:color w:val="000000" w:themeColor="text1"/>
        </w:rPr>
      </w:pPr>
      <w:r w:rsidRPr="000422FB">
        <w:rPr>
          <w:rFonts w:cstheme="minorHAnsi"/>
          <w:color w:val="000000" w:themeColor="text1"/>
        </w:rPr>
        <w:t>Chu DK, Akl EA, Duda S, et al. Physical distancing, face masks and eye protection to prevent person-to-person transmission i</w:t>
      </w:r>
      <w:r w:rsidR="00756C1D" w:rsidRPr="000422FB">
        <w:rPr>
          <w:rFonts w:cstheme="minorHAnsi"/>
          <w:color w:val="000000" w:themeColor="text1"/>
        </w:rPr>
        <w:t>n</w:t>
      </w:r>
      <w:r w:rsidRPr="000422FB">
        <w:rPr>
          <w:rFonts w:cstheme="minorHAnsi"/>
          <w:color w:val="000000" w:themeColor="text1"/>
        </w:rPr>
        <w:t xml:space="preserve"> SARS-CoV-2 and Covid-19: a systematic review and meta-analysis. Lancet. </w:t>
      </w:r>
      <w:r w:rsidR="006B02BF" w:rsidRPr="000422FB">
        <w:rPr>
          <w:rFonts w:cstheme="minorHAnsi"/>
          <w:color w:val="000000" w:themeColor="text1"/>
        </w:rPr>
        <w:t xml:space="preserve">2020; </w:t>
      </w:r>
      <w:r w:rsidRPr="000422FB">
        <w:rPr>
          <w:rFonts w:cstheme="minorHAnsi"/>
          <w:color w:val="000000" w:themeColor="text1"/>
        </w:rPr>
        <w:t>395;1973-1987.</w:t>
      </w:r>
    </w:p>
    <w:p w:rsidR="0033777F" w:rsidRPr="000422FB" w:rsidRDefault="0033777F" w:rsidP="0033777F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cstheme="minorHAnsi"/>
          <w:color w:val="000000" w:themeColor="text1"/>
        </w:rPr>
      </w:pPr>
      <w:r w:rsidRPr="000422FB">
        <w:rPr>
          <w:rFonts w:cstheme="minorHAnsi"/>
          <w:color w:val="000000" w:themeColor="text1"/>
        </w:rPr>
        <w:t>Siemieniuk RA, Bartozsko JJ, Ge L, et al. Drug treatments for covid-19: living systematic review and network meta-analysis. BMJ. 2020; 370:m2980.</w:t>
      </w:r>
    </w:p>
    <w:p w:rsidR="0078331A" w:rsidRPr="000422FB" w:rsidRDefault="0078331A" w:rsidP="00F35056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cstheme="minorHAnsi"/>
          <w:color w:val="000000" w:themeColor="text1"/>
        </w:rPr>
      </w:pPr>
      <w:r w:rsidRPr="000422FB">
        <w:rPr>
          <w:rFonts w:cstheme="minorHAnsi"/>
          <w:color w:val="171717"/>
          <w:shd w:val="clear" w:color="auto" w:fill="FFFFFF"/>
        </w:rPr>
        <w:t>COVID-19 Treatment Guidelines Panel. Coronavirus Disease 2019 (COVID-19) treatment guidelines. National Institutes of Health. Available at </w:t>
      </w:r>
      <w:hyperlink r:id="rId8" w:history="1">
        <w:r w:rsidRPr="000422FB">
          <w:rPr>
            <w:rStyle w:val="Hyperlink"/>
            <w:rFonts w:cstheme="minorHAnsi"/>
            <w:color w:val="005EA2"/>
            <w:shd w:val="clear" w:color="auto" w:fill="FFFFFF"/>
          </w:rPr>
          <w:t>https://www.covid19treatmentguidelines.nih.gov/</w:t>
        </w:r>
      </w:hyperlink>
      <w:r w:rsidRPr="000422FB">
        <w:rPr>
          <w:rFonts w:cstheme="minorHAnsi"/>
          <w:color w:val="171717"/>
          <w:shd w:val="clear" w:color="auto" w:fill="FFFFFF"/>
        </w:rPr>
        <w:t>. Accessed 1 Sep 2020.</w:t>
      </w:r>
    </w:p>
    <w:p w:rsidR="0033777F" w:rsidRPr="000422FB" w:rsidRDefault="0033777F" w:rsidP="00F35056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cstheme="minorHAnsi"/>
          <w:color w:val="000000" w:themeColor="text1"/>
        </w:rPr>
      </w:pPr>
      <w:r w:rsidRPr="000422FB">
        <w:rPr>
          <w:rFonts w:cstheme="minorHAnsi"/>
          <w:color w:val="171717"/>
          <w:shd w:val="clear" w:color="auto" w:fill="FFFFFF"/>
        </w:rPr>
        <w:t>Lamontagn</w:t>
      </w:r>
      <w:r w:rsidR="005314D9" w:rsidRPr="000422FB">
        <w:rPr>
          <w:rFonts w:cstheme="minorHAnsi"/>
          <w:color w:val="171717"/>
          <w:shd w:val="clear" w:color="auto" w:fill="FFFFFF"/>
        </w:rPr>
        <w:t xml:space="preserve">e F, Agoritsas T, Macdonald H, </w:t>
      </w:r>
      <w:r w:rsidRPr="000422FB">
        <w:rPr>
          <w:rFonts w:cstheme="minorHAnsi"/>
          <w:color w:val="171717"/>
          <w:shd w:val="clear" w:color="auto" w:fill="FFFFFF"/>
        </w:rPr>
        <w:t>et al. A living WHO guideline on drugs for Covid-19. BMJ. 2020; 370:m3379.</w:t>
      </w:r>
    </w:p>
    <w:p w:rsidR="00DE1304" w:rsidRPr="000422FB" w:rsidRDefault="009C031D" w:rsidP="00F35056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cstheme="minorHAnsi"/>
          <w:color w:val="000000" w:themeColor="text1"/>
        </w:rPr>
      </w:pPr>
      <w:r w:rsidRPr="000422FB">
        <w:rPr>
          <w:rFonts w:cstheme="minorHAnsi"/>
          <w:color w:val="171717"/>
          <w:shd w:val="clear" w:color="auto" w:fill="FFFFFF"/>
        </w:rPr>
        <w:t>Agarwal A, Mukherjee A, Kumar G, et al. Convalescent plasma in the management of moderate covid-19 in adults in India: open label phase II multicentric randomized controlled trial (PLACID Trial). BMJ. 2020; 371:m3939.</w:t>
      </w:r>
    </w:p>
    <w:p w:rsidR="0061587E" w:rsidRDefault="0061587E" w:rsidP="00A47A07">
      <w:pPr>
        <w:spacing w:after="0" w:line="480" w:lineRule="auto"/>
        <w:jc w:val="center"/>
        <w:rPr>
          <w:rFonts w:cstheme="minorHAnsi"/>
          <w:b/>
          <w:sz w:val="24"/>
          <w:szCs w:val="24"/>
        </w:rPr>
      </w:pPr>
    </w:p>
    <w:p w:rsidR="006A2F23" w:rsidRDefault="006A2F23">
      <w:pPr>
        <w:rPr>
          <w:rFonts w:cstheme="minorHAnsi"/>
          <w:b/>
          <w:sz w:val="24"/>
          <w:szCs w:val="24"/>
        </w:rPr>
      </w:pPr>
    </w:p>
    <w:sectPr w:rsidR="006A2F23" w:rsidSect="00F62AD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9A7" w:rsidRDefault="005F39A7" w:rsidP="005A4ADE">
      <w:pPr>
        <w:spacing w:after="0" w:line="240" w:lineRule="auto"/>
      </w:pPr>
      <w:r>
        <w:separator/>
      </w:r>
    </w:p>
  </w:endnote>
  <w:endnote w:type="continuationSeparator" w:id="0">
    <w:p w:rsidR="005F39A7" w:rsidRDefault="005F39A7" w:rsidP="005A4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947547"/>
      <w:docPartObj>
        <w:docPartGallery w:val="Page Numbers (Bottom of Page)"/>
        <w:docPartUnique/>
      </w:docPartObj>
    </w:sdtPr>
    <w:sdtEndPr/>
    <w:sdtContent>
      <w:p w:rsidR="00284454" w:rsidRDefault="005F3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E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4454" w:rsidRDefault="002844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9A7" w:rsidRDefault="005F39A7" w:rsidP="005A4ADE">
      <w:pPr>
        <w:spacing w:after="0" w:line="240" w:lineRule="auto"/>
      </w:pPr>
      <w:r>
        <w:separator/>
      </w:r>
    </w:p>
  </w:footnote>
  <w:footnote w:type="continuationSeparator" w:id="0">
    <w:p w:rsidR="005F39A7" w:rsidRDefault="005F39A7" w:rsidP="005A4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7960"/>
    <w:multiLevelType w:val="hybridMultilevel"/>
    <w:tmpl w:val="2F6CBC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B76CBF"/>
    <w:multiLevelType w:val="multilevel"/>
    <w:tmpl w:val="4AF4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23AAB"/>
    <w:multiLevelType w:val="hybridMultilevel"/>
    <w:tmpl w:val="BDFAC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9B4C84"/>
    <w:multiLevelType w:val="multilevel"/>
    <w:tmpl w:val="462E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FD0A42"/>
    <w:multiLevelType w:val="hybridMultilevel"/>
    <w:tmpl w:val="F2764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68"/>
    <w:rsid w:val="0000695C"/>
    <w:rsid w:val="00017C83"/>
    <w:rsid w:val="000316AE"/>
    <w:rsid w:val="00035F8B"/>
    <w:rsid w:val="0003797E"/>
    <w:rsid w:val="000422FB"/>
    <w:rsid w:val="0004524D"/>
    <w:rsid w:val="00060516"/>
    <w:rsid w:val="000668D5"/>
    <w:rsid w:val="00087147"/>
    <w:rsid w:val="000A1302"/>
    <w:rsid w:val="000B3368"/>
    <w:rsid w:val="000B79A6"/>
    <w:rsid w:val="000C1E38"/>
    <w:rsid w:val="000D192B"/>
    <w:rsid w:val="000E0DDE"/>
    <w:rsid w:val="000E2C9D"/>
    <w:rsid w:val="000E2DDC"/>
    <w:rsid w:val="000F1E10"/>
    <w:rsid w:val="00100472"/>
    <w:rsid w:val="00110356"/>
    <w:rsid w:val="00122DE9"/>
    <w:rsid w:val="0014608A"/>
    <w:rsid w:val="00151CB0"/>
    <w:rsid w:val="00164386"/>
    <w:rsid w:val="001933B4"/>
    <w:rsid w:val="00194272"/>
    <w:rsid w:val="001D0947"/>
    <w:rsid w:val="00236A6D"/>
    <w:rsid w:val="00252969"/>
    <w:rsid w:val="002762EE"/>
    <w:rsid w:val="00280B06"/>
    <w:rsid w:val="00284454"/>
    <w:rsid w:val="0029549E"/>
    <w:rsid w:val="002B6455"/>
    <w:rsid w:val="002C27F4"/>
    <w:rsid w:val="002D5F21"/>
    <w:rsid w:val="002E63B9"/>
    <w:rsid w:val="003124B9"/>
    <w:rsid w:val="0032707B"/>
    <w:rsid w:val="003376AC"/>
    <w:rsid w:val="0033777F"/>
    <w:rsid w:val="00340515"/>
    <w:rsid w:val="00342730"/>
    <w:rsid w:val="00352BFB"/>
    <w:rsid w:val="00357B7B"/>
    <w:rsid w:val="003744FA"/>
    <w:rsid w:val="00375F7F"/>
    <w:rsid w:val="003936BF"/>
    <w:rsid w:val="003D6452"/>
    <w:rsid w:val="0042114F"/>
    <w:rsid w:val="00443431"/>
    <w:rsid w:val="00451941"/>
    <w:rsid w:val="004C0C6F"/>
    <w:rsid w:val="004F33D3"/>
    <w:rsid w:val="005008A7"/>
    <w:rsid w:val="00510CD2"/>
    <w:rsid w:val="00516A9F"/>
    <w:rsid w:val="005220D5"/>
    <w:rsid w:val="005314D9"/>
    <w:rsid w:val="00540FE6"/>
    <w:rsid w:val="005463EC"/>
    <w:rsid w:val="00546D3D"/>
    <w:rsid w:val="00572634"/>
    <w:rsid w:val="00576ADA"/>
    <w:rsid w:val="00592030"/>
    <w:rsid w:val="005A4ADE"/>
    <w:rsid w:val="005F39A7"/>
    <w:rsid w:val="005F6311"/>
    <w:rsid w:val="00600127"/>
    <w:rsid w:val="00604F35"/>
    <w:rsid w:val="00606926"/>
    <w:rsid w:val="006139B6"/>
    <w:rsid w:val="0061587E"/>
    <w:rsid w:val="00617803"/>
    <w:rsid w:val="0063234A"/>
    <w:rsid w:val="00635251"/>
    <w:rsid w:val="00635640"/>
    <w:rsid w:val="00652B08"/>
    <w:rsid w:val="0068102D"/>
    <w:rsid w:val="00684E3A"/>
    <w:rsid w:val="0068742B"/>
    <w:rsid w:val="00695D15"/>
    <w:rsid w:val="006A2F23"/>
    <w:rsid w:val="006A5DD1"/>
    <w:rsid w:val="006B02BF"/>
    <w:rsid w:val="006D061F"/>
    <w:rsid w:val="006E7779"/>
    <w:rsid w:val="00701ECA"/>
    <w:rsid w:val="00722C5C"/>
    <w:rsid w:val="007526BE"/>
    <w:rsid w:val="00756C1D"/>
    <w:rsid w:val="007737E0"/>
    <w:rsid w:val="0078331A"/>
    <w:rsid w:val="00783471"/>
    <w:rsid w:val="007A75CC"/>
    <w:rsid w:val="007B518B"/>
    <w:rsid w:val="007E3CD4"/>
    <w:rsid w:val="008162B3"/>
    <w:rsid w:val="00823D62"/>
    <w:rsid w:val="00831DD8"/>
    <w:rsid w:val="008410A9"/>
    <w:rsid w:val="008532D0"/>
    <w:rsid w:val="008550E8"/>
    <w:rsid w:val="008676D2"/>
    <w:rsid w:val="00873933"/>
    <w:rsid w:val="008765D0"/>
    <w:rsid w:val="00880B6A"/>
    <w:rsid w:val="00891D71"/>
    <w:rsid w:val="00896C62"/>
    <w:rsid w:val="008A7EEF"/>
    <w:rsid w:val="008C1DF7"/>
    <w:rsid w:val="008E7F07"/>
    <w:rsid w:val="00954C01"/>
    <w:rsid w:val="00957A10"/>
    <w:rsid w:val="0097509F"/>
    <w:rsid w:val="009A76FF"/>
    <w:rsid w:val="009B0BD4"/>
    <w:rsid w:val="009C031D"/>
    <w:rsid w:val="009D0A39"/>
    <w:rsid w:val="009E6C1B"/>
    <w:rsid w:val="00A07176"/>
    <w:rsid w:val="00A42021"/>
    <w:rsid w:val="00A47A07"/>
    <w:rsid w:val="00A50D64"/>
    <w:rsid w:val="00A512F0"/>
    <w:rsid w:val="00AA25B9"/>
    <w:rsid w:val="00AB1C8C"/>
    <w:rsid w:val="00AC6B17"/>
    <w:rsid w:val="00AE2818"/>
    <w:rsid w:val="00AE7147"/>
    <w:rsid w:val="00B57DDD"/>
    <w:rsid w:val="00B8098B"/>
    <w:rsid w:val="00B8750D"/>
    <w:rsid w:val="00BA6E77"/>
    <w:rsid w:val="00BB2B27"/>
    <w:rsid w:val="00C13208"/>
    <w:rsid w:val="00C17DC8"/>
    <w:rsid w:val="00C44ED3"/>
    <w:rsid w:val="00C60F9F"/>
    <w:rsid w:val="00C710BB"/>
    <w:rsid w:val="00CB7CEF"/>
    <w:rsid w:val="00D05660"/>
    <w:rsid w:val="00D062DE"/>
    <w:rsid w:val="00D24050"/>
    <w:rsid w:val="00D37747"/>
    <w:rsid w:val="00D5178B"/>
    <w:rsid w:val="00D71BBA"/>
    <w:rsid w:val="00D81CD8"/>
    <w:rsid w:val="00DB4340"/>
    <w:rsid w:val="00DE1304"/>
    <w:rsid w:val="00DF27F5"/>
    <w:rsid w:val="00DF5D76"/>
    <w:rsid w:val="00E068A8"/>
    <w:rsid w:val="00E37E96"/>
    <w:rsid w:val="00E6774A"/>
    <w:rsid w:val="00E76B88"/>
    <w:rsid w:val="00EC2BF6"/>
    <w:rsid w:val="00ED0043"/>
    <w:rsid w:val="00EE3027"/>
    <w:rsid w:val="00F27DCF"/>
    <w:rsid w:val="00F35056"/>
    <w:rsid w:val="00F40E23"/>
    <w:rsid w:val="00F42197"/>
    <w:rsid w:val="00F44872"/>
    <w:rsid w:val="00F56FC3"/>
    <w:rsid w:val="00F61478"/>
    <w:rsid w:val="00F62AD6"/>
    <w:rsid w:val="00F65632"/>
    <w:rsid w:val="00F66DC9"/>
    <w:rsid w:val="00F709F0"/>
    <w:rsid w:val="00F87F29"/>
    <w:rsid w:val="00FC7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AD13C-DCBC-41F2-B9F9-6B408C4B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AD6"/>
  </w:style>
  <w:style w:type="paragraph" w:styleId="Heading1">
    <w:name w:val="heading 1"/>
    <w:basedOn w:val="Normal"/>
    <w:link w:val="Heading1Char"/>
    <w:uiPriority w:val="9"/>
    <w:qFormat/>
    <w:rsid w:val="00B87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3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A4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ADE"/>
  </w:style>
  <w:style w:type="paragraph" w:styleId="Footer">
    <w:name w:val="footer"/>
    <w:basedOn w:val="Normal"/>
    <w:link w:val="FooterChar"/>
    <w:uiPriority w:val="99"/>
    <w:unhideWhenUsed/>
    <w:rsid w:val="005A4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DE"/>
  </w:style>
  <w:style w:type="paragraph" w:styleId="ListParagraph">
    <w:name w:val="List Paragraph"/>
    <w:basedOn w:val="Normal"/>
    <w:uiPriority w:val="34"/>
    <w:qFormat/>
    <w:rsid w:val="00EE302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E76B88"/>
    <w:pPr>
      <w:spacing w:after="120" w:line="240" w:lineRule="auto"/>
      <w:ind w:left="360"/>
    </w:pPr>
    <w:rPr>
      <w:rFonts w:ascii="Arial" w:eastAsia="Times New Roman" w:hAnsi="Arial" w:cs="Arial"/>
      <w:sz w:val="18"/>
      <w:szCs w:val="18"/>
      <w:lang w:val="en-GB" w:eastAsia="zh-CN"/>
    </w:rPr>
  </w:style>
  <w:style w:type="character" w:customStyle="1" w:styleId="BodyTextIndentChar">
    <w:name w:val="Body Text Indent Char"/>
    <w:basedOn w:val="DefaultParagraphFont"/>
    <w:link w:val="BodyTextIndent"/>
    <w:rsid w:val="00E76B88"/>
    <w:rPr>
      <w:rFonts w:ascii="Arial" w:eastAsia="Times New Roman" w:hAnsi="Arial" w:cs="Arial"/>
      <w:sz w:val="18"/>
      <w:szCs w:val="18"/>
      <w:lang w:val="en-GB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69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69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6926"/>
    <w:rPr>
      <w:vertAlign w:val="superscript"/>
    </w:rPr>
  </w:style>
  <w:style w:type="table" w:styleId="TableGrid">
    <w:name w:val="Table Grid"/>
    <w:basedOn w:val="TableNormal"/>
    <w:uiPriority w:val="59"/>
    <w:unhideWhenUsed/>
    <w:rsid w:val="000F1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csum-authors">
    <w:name w:val="docsum-authors"/>
    <w:basedOn w:val="DefaultParagraphFont"/>
    <w:rsid w:val="002B6455"/>
  </w:style>
  <w:style w:type="character" w:customStyle="1" w:styleId="docsum-journal-citation">
    <w:name w:val="docsum-journal-citation"/>
    <w:basedOn w:val="DefaultParagraphFont"/>
    <w:rsid w:val="002B6455"/>
  </w:style>
  <w:style w:type="character" w:customStyle="1" w:styleId="citation-part">
    <w:name w:val="citation-part"/>
    <w:basedOn w:val="DefaultParagraphFont"/>
    <w:rsid w:val="002B6455"/>
  </w:style>
  <w:style w:type="character" w:customStyle="1" w:styleId="docsum-pmid">
    <w:name w:val="docsum-pmid"/>
    <w:basedOn w:val="DefaultParagraphFont"/>
    <w:rsid w:val="002B6455"/>
  </w:style>
  <w:style w:type="character" w:styleId="FollowedHyperlink">
    <w:name w:val="FollowedHyperlink"/>
    <w:basedOn w:val="DefaultParagraphFont"/>
    <w:uiPriority w:val="99"/>
    <w:semiHidden/>
    <w:unhideWhenUsed/>
    <w:rsid w:val="003376AC"/>
    <w:rPr>
      <w:color w:val="800080" w:themeColor="followedHyperlink"/>
      <w:u w:val="single"/>
    </w:rPr>
  </w:style>
  <w:style w:type="character" w:customStyle="1" w:styleId="period">
    <w:name w:val="period"/>
    <w:basedOn w:val="DefaultParagraphFont"/>
    <w:rsid w:val="00AC6B17"/>
  </w:style>
  <w:style w:type="character" w:customStyle="1" w:styleId="cit">
    <w:name w:val="cit"/>
    <w:basedOn w:val="DefaultParagraphFont"/>
    <w:rsid w:val="00AC6B17"/>
  </w:style>
  <w:style w:type="character" w:customStyle="1" w:styleId="citation-doi">
    <w:name w:val="citation-doi"/>
    <w:basedOn w:val="DefaultParagraphFont"/>
    <w:rsid w:val="00AC6B17"/>
  </w:style>
  <w:style w:type="character" w:customStyle="1" w:styleId="ahead-of-print">
    <w:name w:val="ahead-of-print"/>
    <w:basedOn w:val="DefaultParagraphFont"/>
    <w:rsid w:val="00AC6B17"/>
  </w:style>
  <w:style w:type="character" w:customStyle="1" w:styleId="authors-list-item">
    <w:name w:val="authors-list-item"/>
    <w:basedOn w:val="DefaultParagraphFont"/>
    <w:rsid w:val="00AC6B17"/>
  </w:style>
  <w:style w:type="character" w:customStyle="1" w:styleId="author-sup-separator">
    <w:name w:val="author-sup-separator"/>
    <w:basedOn w:val="DefaultParagraphFont"/>
    <w:rsid w:val="00AC6B17"/>
  </w:style>
  <w:style w:type="character" w:customStyle="1" w:styleId="comma">
    <w:name w:val="comma"/>
    <w:basedOn w:val="DefaultParagraphFont"/>
    <w:rsid w:val="00AC6B17"/>
  </w:style>
  <w:style w:type="character" w:customStyle="1" w:styleId="identifier">
    <w:name w:val="identifier"/>
    <w:basedOn w:val="DefaultParagraphFont"/>
    <w:rsid w:val="00AC6B17"/>
  </w:style>
  <w:style w:type="character" w:customStyle="1" w:styleId="id-label">
    <w:name w:val="id-label"/>
    <w:basedOn w:val="DefaultParagraphFont"/>
    <w:rsid w:val="00AC6B17"/>
  </w:style>
  <w:style w:type="character" w:styleId="Strong">
    <w:name w:val="Strong"/>
    <w:basedOn w:val="DefaultParagraphFont"/>
    <w:uiPriority w:val="22"/>
    <w:qFormat/>
    <w:rsid w:val="00AC6B17"/>
    <w:rPr>
      <w:b/>
      <w:bCs/>
    </w:rPr>
  </w:style>
  <w:style w:type="character" w:customStyle="1" w:styleId="free-label">
    <w:name w:val="free-label"/>
    <w:basedOn w:val="DefaultParagraphFont"/>
    <w:rsid w:val="00AC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vid19treatmentguidelines.nih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4DC5C-5EC9-4441-AE87-2C3A51E2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MD</cp:lastModifiedBy>
  <cp:revision>2</cp:revision>
  <dcterms:created xsi:type="dcterms:W3CDTF">2020-11-18T09:16:00Z</dcterms:created>
  <dcterms:modified xsi:type="dcterms:W3CDTF">2020-11-18T09:16:00Z</dcterms:modified>
</cp:coreProperties>
</file>