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882" w:rsidRPr="00D1098C" w:rsidRDefault="00490882" w:rsidP="00D1098C">
      <w:pPr>
        <w:spacing w:line="360" w:lineRule="auto"/>
        <w:jc w:val="center"/>
        <w:rPr>
          <w:rFonts w:ascii="Times New Roman" w:hAnsi="Times New Roman" w:cs="Times New Roman"/>
          <w:b/>
          <w:color w:val="000000" w:themeColor="text1"/>
          <w:sz w:val="24"/>
          <w:szCs w:val="24"/>
          <w:lang w:val="en-US"/>
        </w:rPr>
      </w:pPr>
      <w:bookmarkStart w:id="0" w:name="_GoBack"/>
      <w:bookmarkEnd w:id="0"/>
      <w:r w:rsidRPr="00D1098C">
        <w:rPr>
          <w:rFonts w:ascii="Times New Roman" w:hAnsi="Times New Roman" w:cs="Times New Roman"/>
          <w:b/>
          <w:color w:val="000000" w:themeColor="text1"/>
          <w:sz w:val="24"/>
          <w:szCs w:val="24"/>
          <w:lang w:val="en-US"/>
        </w:rPr>
        <w:t>Good Public Health Logistics: An important element of Resilient Health Systems:</w:t>
      </w:r>
    </w:p>
    <w:p w:rsidR="00490882" w:rsidRPr="00D1098C" w:rsidRDefault="00490882" w:rsidP="00D1098C">
      <w:pPr>
        <w:spacing w:line="360" w:lineRule="auto"/>
        <w:ind w:firstLine="720"/>
        <w:jc w:val="center"/>
        <w:rPr>
          <w:rFonts w:ascii="Times New Roman" w:hAnsi="Times New Roman" w:cs="Times New Roman"/>
          <w:b/>
          <w:color w:val="000000" w:themeColor="text1"/>
          <w:sz w:val="24"/>
          <w:szCs w:val="24"/>
          <w:lang w:val="en-US"/>
        </w:rPr>
      </w:pPr>
      <w:r w:rsidRPr="00D1098C">
        <w:rPr>
          <w:rFonts w:ascii="Times New Roman" w:hAnsi="Times New Roman" w:cs="Times New Roman"/>
          <w:b/>
          <w:color w:val="000000" w:themeColor="text1"/>
          <w:sz w:val="24"/>
          <w:szCs w:val="24"/>
          <w:lang w:val="en-US"/>
        </w:rPr>
        <w:t>Lessons from Tamil Nadu in context of COVID-19 Pandemic</w:t>
      </w:r>
    </w:p>
    <w:p w:rsidR="00DB4211" w:rsidRPr="00D1098C" w:rsidRDefault="00AA780B" w:rsidP="00AA780B">
      <w:pPr>
        <w:pStyle w:val="ListParagraph"/>
        <w:spacing w:line="360" w:lineRule="auto"/>
        <w:ind w:left="1800"/>
        <w:jc w:val="both"/>
        <w:rPr>
          <w:rFonts w:ascii="Times New Roman" w:hAnsi="Times New Roman" w:cs="Times New Roman"/>
          <w:b/>
          <w:color w:val="000000" w:themeColor="text1"/>
          <w:sz w:val="24"/>
          <w:szCs w:val="24"/>
        </w:rPr>
      </w:pPr>
      <w:r w:rsidRPr="00D1098C">
        <w:rPr>
          <w:rFonts w:ascii="Times New Roman" w:hAnsi="Times New Roman" w:cs="Times New Roman"/>
          <w:b/>
          <w:color w:val="000000" w:themeColor="text1"/>
          <w:sz w:val="24"/>
          <w:szCs w:val="24"/>
        </w:rPr>
        <w:t xml:space="preserve">                                      -        Adithyan G.S and </w:t>
      </w:r>
      <w:r w:rsidR="00DB4211" w:rsidRPr="00D1098C">
        <w:rPr>
          <w:rFonts w:ascii="Times New Roman" w:hAnsi="Times New Roman" w:cs="Times New Roman"/>
          <w:b/>
          <w:color w:val="000000" w:themeColor="text1"/>
          <w:sz w:val="24"/>
          <w:szCs w:val="24"/>
        </w:rPr>
        <w:t xml:space="preserve">Sundararaman T </w:t>
      </w:r>
    </w:p>
    <w:p w:rsidR="00E90EC2" w:rsidRPr="00D1098C" w:rsidRDefault="00E90EC2" w:rsidP="00E90EC2">
      <w:pPr>
        <w:spacing w:line="360" w:lineRule="auto"/>
        <w:jc w:val="both"/>
        <w:rPr>
          <w:rFonts w:ascii="Times New Roman" w:hAnsi="Times New Roman" w:cs="Times New Roman"/>
          <w:i/>
          <w:sz w:val="24"/>
          <w:szCs w:val="24"/>
        </w:rPr>
      </w:pPr>
      <w:r w:rsidRPr="00D1098C">
        <w:rPr>
          <w:rFonts w:ascii="Times New Roman" w:hAnsi="Times New Roman" w:cs="Times New Roman"/>
          <w:b/>
          <w:i/>
          <w:color w:val="000000" w:themeColor="text1"/>
          <w:sz w:val="24"/>
          <w:szCs w:val="24"/>
        </w:rPr>
        <w:t>Abstract:</w:t>
      </w:r>
      <w:r w:rsidRPr="00D1098C">
        <w:rPr>
          <w:rFonts w:ascii="Times New Roman" w:hAnsi="Times New Roman" w:cs="Times New Roman"/>
          <w:i/>
          <w:color w:val="000000" w:themeColor="text1"/>
          <w:sz w:val="24"/>
          <w:szCs w:val="24"/>
        </w:rPr>
        <w:t xml:space="preserve"> </w:t>
      </w:r>
      <w:r w:rsidRPr="00D1098C">
        <w:rPr>
          <w:rStyle w:val="gmaildefault"/>
          <w:rFonts w:ascii="Times New Roman" w:hAnsi="Times New Roman" w:cs="Times New Roman"/>
          <w:i/>
          <w:color w:val="222222"/>
          <w:sz w:val="24"/>
          <w:szCs w:val="24"/>
          <w:shd w:val="clear" w:color="auto" w:fill="FFFFFF"/>
        </w:rPr>
        <w:t>The article highlights the </w:t>
      </w:r>
      <w:r w:rsidRPr="00D1098C">
        <w:rPr>
          <w:rStyle w:val="gmaildefault"/>
          <w:rFonts w:ascii="Times New Roman" w:hAnsi="Times New Roman" w:cs="Times New Roman"/>
          <w:bCs/>
          <w:i/>
          <w:color w:val="222222"/>
          <w:sz w:val="24"/>
          <w:szCs w:val="24"/>
          <w:shd w:val="clear" w:color="auto" w:fill="FFFFFF"/>
        </w:rPr>
        <w:t>importance of public systems strengthening </w:t>
      </w:r>
      <w:r w:rsidRPr="00D1098C">
        <w:rPr>
          <w:rStyle w:val="gmaildefault"/>
          <w:rFonts w:ascii="Times New Roman" w:hAnsi="Times New Roman" w:cs="Times New Roman"/>
          <w:i/>
          <w:color w:val="222222"/>
          <w:sz w:val="24"/>
          <w:szCs w:val="24"/>
          <w:shd w:val="clear" w:color="auto" w:fill="FFFFFF"/>
        </w:rPr>
        <w:t>and </w:t>
      </w:r>
      <w:r w:rsidRPr="00D1098C">
        <w:rPr>
          <w:rFonts w:ascii="Times New Roman" w:hAnsi="Times New Roman" w:cs="Times New Roman"/>
          <w:i/>
          <w:color w:val="000000"/>
          <w:sz w:val="24"/>
          <w:szCs w:val="24"/>
          <w:shd w:val="clear" w:color="auto" w:fill="FFFFFF"/>
          <w:lang w:val="en-US"/>
        </w:rPr>
        <w:t>how rapid scaling up of access to testing and to appropriate therapeutics in context of COVID-19 pandemic requires </w:t>
      </w:r>
      <w:r w:rsidRPr="00D1098C">
        <w:rPr>
          <w:rFonts w:ascii="Times New Roman" w:hAnsi="Times New Roman" w:cs="Times New Roman"/>
          <w:i/>
          <w:color w:val="000000"/>
          <w:sz w:val="24"/>
          <w:szCs w:val="24"/>
          <w:shd w:val="clear" w:color="auto" w:fill="FFFFFF"/>
        </w:rPr>
        <w:t>robust public procurement systems for drugs and diagnostics to be already in place. The paper deals with the lessons from Tamil Nadu and </w:t>
      </w:r>
      <w:r w:rsidRPr="00D1098C">
        <w:rPr>
          <w:rFonts w:ascii="Times New Roman" w:hAnsi="Times New Roman" w:cs="Times New Roman"/>
          <w:i/>
          <w:color w:val="222222"/>
          <w:sz w:val="24"/>
          <w:szCs w:val="24"/>
          <w:shd w:val="clear" w:color="auto" w:fill="FFFFFF"/>
          <w:lang w:val="en-US"/>
        </w:rPr>
        <w:t>validates the understanding that investing in public institutions is essential for responsiveness to pandemics and other public health emergencies.</w:t>
      </w:r>
    </w:p>
    <w:p w:rsidR="00E90EC2" w:rsidRPr="00D1098C" w:rsidRDefault="00E90EC2" w:rsidP="00E90EC2">
      <w:pPr>
        <w:spacing w:line="360" w:lineRule="auto"/>
        <w:ind w:firstLine="720"/>
        <w:jc w:val="center"/>
        <w:rPr>
          <w:rFonts w:ascii="Times New Roman" w:hAnsi="Times New Roman" w:cs="Times New Roman"/>
          <w:sz w:val="24"/>
          <w:szCs w:val="24"/>
          <w:lang w:val="en-US"/>
        </w:rPr>
      </w:pPr>
      <w:r w:rsidRPr="00D1098C">
        <w:rPr>
          <w:rFonts w:ascii="Times New Roman" w:hAnsi="Times New Roman" w:cs="Times New Roman"/>
          <w:sz w:val="24"/>
          <w:szCs w:val="24"/>
          <w:lang w:val="en-US"/>
        </w:rPr>
        <w:t>****</w:t>
      </w:r>
    </w:p>
    <w:p w:rsidR="008F4A47" w:rsidRPr="00D1098C" w:rsidRDefault="00490882" w:rsidP="00490882">
      <w:pPr>
        <w:spacing w:line="360" w:lineRule="auto"/>
        <w:ind w:firstLine="720"/>
        <w:jc w:val="both"/>
        <w:rPr>
          <w:rFonts w:ascii="Times New Roman" w:hAnsi="Times New Roman" w:cs="Times New Roman"/>
          <w:sz w:val="24"/>
          <w:szCs w:val="24"/>
          <w:lang w:val="en-US"/>
        </w:rPr>
      </w:pPr>
      <w:r w:rsidRPr="00D1098C">
        <w:rPr>
          <w:rFonts w:ascii="Times New Roman" w:hAnsi="Times New Roman" w:cs="Times New Roman"/>
          <w:sz w:val="24"/>
          <w:szCs w:val="24"/>
          <w:lang w:val="en-US"/>
        </w:rPr>
        <w:t>On November 1</w:t>
      </w:r>
      <w:r w:rsidRPr="00D1098C">
        <w:rPr>
          <w:rFonts w:ascii="Times New Roman" w:hAnsi="Times New Roman" w:cs="Times New Roman"/>
          <w:sz w:val="24"/>
          <w:szCs w:val="24"/>
          <w:vertAlign w:val="superscript"/>
          <w:lang w:val="en-US"/>
        </w:rPr>
        <w:t>st</w:t>
      </w:r>
      <w:r w:rsidRPr="00D1098C">
        <w:rPr>
          <w:rFonts w:ascii="Times New Roman" w:hAnsi="Times New Roman" w:cs="Times New Roman"/>
          <w:sz w:val="24"/>
          <w:szCs w:val="24"/>
          <w:lang w:val="en-US"/>
        </w:rPr>
        <w:t xml:space="preserve"> 2020, Tamil Nadu State has crossed 1 Crore </w:t>
      </w:r>
      <w:r w:rsidRPr="00D1098C">
        <w:rPr>
          <w:rFonts w:ascii="Times New Roman" w:hAnsi="Times New Roman" w:cs="Times New Roman"/>
          <w:sz w:val="24"/>
          <w:szCs w:val="24"/>
        </w:rPr>
        <w:t>Reverse Transcriptase-Polymerase Chain Reaction (RT-PCR) testing</w:t>
      </w:r>
      <w:r w:rsidRPr="00D1098C">
        <w:rPr>
          <w:rFonts w:ascii="Times New Roman" w:hAnsi="Times New Roman" w:cs="Times New Roman"/>
          <w:sz w:val="24"/>
          <w:szCs w:val="24"/>
          <w:lang w:val="en-US"/>
        </w:rPr>
        <w:t xml:space="preserve"> and became the first State to do so in the country (</w:t>
      </w:r>
      <w:r w:rsidR="002048AC" w:rsidRPr="00D1098C">
        <w:rPr>
          <w:rFonts w:ascii="Times New Roman" w:hAnsi="Times New Roman" w:cs="Times New Roman"/>
          <w:sz w:val="24"/>
          <w:szCs w:val="24"/>
          <w:lang w:val="en-US"/>
        </w:rPr>
        <w:t>1</w:t>
      </w:r>
      <w:r w:rsidR="00B669C4" w:rsidRPr="00D1098C">
        <w:rPr>
          <w:rFonts w:ascii="Times New Roman" w:hAnsi="Times New Roman" w:cs="Times New Roman"/>
          <w:sz w:val="24"/>
          <w:szCs w:val="24"/>
          <w:lang w:val="en-US"/>
        </w:rPr>
        <w:t xml:space="preserve">). </w:t>
      </w:r>
      <w:r w:rsidR="00534D02" w:rsidRPr="00D1098C">
        <w:rPr>
          <w:rFonts w:ascii="Times New Roman" w:hAnsi="Times New Roman" w:cs="Times New Roman"/>
          <w:sz w:val="24"/>
          <w:szCs w:val="24"/>
          <w:lang w:val="en-US"/>
        </w:rPr>
        <w:t>The</w:t>
      </w:r>
      <w:r w:rsidRPr="00D1098C">
        <w:rPr>
          <w:rFonts w:ascii="Times New Roman" w:hAnsi="Times New Roman" w:cs="Times New Roman"/>
          <w:sz w:val="24"/>
          <w:szCs w:val="24"/>
          <w:lang w:val="en-US"/>
        </w:rPr>
        <w:t xml:space="preserve"> </w:t>
      </w:r>
      <w:r w:rsidR="00B669C4" w:rsidRPr="00D1098C">
        <w:rPr>
          <w:rFonts w:ascii="Times New Roman" w:hAnsi="Times New Roman" w:cs="Times New Roman"/>
          <w:sz w:val="24"/>
          <w:szCs w:val="24"/>
          <w:lang w:val="en-US"/>
        </w:rPr>
        <w:t xml:space="preserve">cumulative testing rate </w:t>
      </w:r>
      <w:r w:rsidR="00534D02" w:rsidRPr="00D1098C">
        <w:rPr>
          <w:rFonts w:ascii="Times New Roman" w:hAnsi="Times New Roman" w:cs="Times New Roman"/>
          <w:sz w:val="24"/>
          <w:szCs w:val="24"/>
          <w:lang w:val="en-US"/>
        </w:rPr>
        <w:t xml:space="preserve">for the State currently is </w:t>
      </w:r>
      <w:r w:rsidR="003F7305" w:rsidRPr="00D1098C">
        <w:rPr>
          <w:rFonts w:ascii="Times New Roman" w:hAnsi="Times New Roman" w:cs="Times New Roman"/>
          <w:sz w:val="24"/>
          <w:szCs w:val="24"/>
          <w:lang w:val="en-US"/>
        </w:rPr>
        <w:t>about 140</w:t>
      </w:r>
      <w:r w:rsidRPr="00D1098C">
        <w:rPr>
          <w:rFonts w:ascii="Times New Roman" w:hAnsi="Times New Roman" w:cs="Times New Roman"/>
          <w:sz w:val="24"/>
          <w:szCs w:val="24"/>
          <w:lang w:val="en-US"/>
        </w:rPr>
        <w:t xml:space="preserve">,000 </w:t>
      </w:r>
      <w:r w:rsidR="00B362AA" w:rsidRPr="00D1098C">
        <w:rPr>
          <w:rFonts w:ascii="Times New Roman" w:hAnsi="Times New Roman" w:cs="Times New Roman"/>
          <w:sz w:val="24"/>
          <w:szCs w:val="24"/>
          <w:lang w:val="en-US"/>
        </w:rPr>
        <w:t xml:space="preserve">RT-PCR </w:t>
      </w:r>
      <w:r w:rsidRPr="00D1098C">
        <w:rPr>
          <w:rFonts w:ascii="Times New Roman" w:hAnsi="Times New Roman" w:cs="Times New Roman"/>
          <w:sz w:val="24"/>
          <w:szCs w:val="24"/>
          <w:lang w:val="en-US"/>
        </w:rPr>
        <w:t xml:space="preserve">tests per million, which is one of the highest testing rates across any </w:t>
      </w:r>
      <w:r w:rsidR="003F7305" w:rsidRPr="00D1098C">
        <w:rPr>
          <w:rFonts w:ascii="Times New Roman" w:hAnsi="Times New Roman" w:cs="Times New Roman"/>
          <w:sz w:val="24"/>
          <w:szCs w:val="24"/>
          <w:lang w:val="en-US"/>
        </w:rPr>
        <w:t xml:space="preserve">larger </w:t>
      </w:r>
      <w:r w:rsidRPr="00D1098C">
        <w:rPr>
          <w:rFonts w:ascii="Times New Roman" w:hAnsi="Times New Roman" w:cs="Times New Roman"/>
          <w:sz w:val="24"/>
          <w:szCs w:val="24"/>
          <w:lang w:val="en-US"/>
        </w:rPr>
        <w:t>State</w:t>
      </w:r>
      <w:r w:rsidR="003F7305" w:rsidRPr="00D1098C">
        <w:rPr>
          <w:rFonts w:ascii="Times New Roman" w:hAnsi="Times New Roman" w:cs="Times New Roman"/>
          <w:sz w:val="24"/>
          <w:szCs w:val="24"/>
          <w:lang w:val="en-US"/>
        </w:rPr>
        <w:t xml:space="preserve"> in the country</w:t>
      </w:r>
      <w:r w:rsidRPr="00D1098C">
        <w:rPr>
          <w:rFonts w:ascii="Times New Roman" w:hAnsi="Times New Roman" w:cs="Times New Roman"/>
          <w:sz w:val="24"/>
          <w:szCs w:val="24"/>
          <w:lang w:val="en-US"/>
        </w:rPr>
        <w:t xml:space="preserve">. Tamil Nadu’s relative success in containment of the pandemic relates considerably to its testing strategy and the way it geared up public health services in the first few months to ensure much better access to essential technologies for </w:t>
      </w:r>
      <w:r w:rsidRPr="00D1098C">
        <w:rPr>
          <w:rFonts w:ascii="Times New Roman" w:eastAsia="Times New Roman" w:hAnsi="Times New Roman" w:cs="Times New Roman"/>
          <w:sz w:val="24"/>
          <w:szCs w:val="24"/>
          <w:lang w:eastAsia="en-IN"/>
        </w:rPr>
        <w:t xml:space="preserve">COVID-19 </w:t>
      </w:r>
      <w:r w:rsidRPr="00D1098C">
        <w:rPr>
          <w:rFonts w:ascii="Times New Roman" w:hAnsi="Times New Roman" w:cs="Times New Roman"/>
          <w:sz w:val="24"/>
          <w:szCs w:val="24"/>
          <w:lang w:val="en-US"/>
        </w:rPr>
        <w:t xml:space="preserve">through its network of public health providers.  When the lockdown restrictions eased, cases rose in June and July and peaked during </w:t>
      </w:r>
      <w:r w:rsidR="00B362AA" w:rsidRPr="00D1098C">
        <w:rPr>
          <w:rFonts w:ascii="Times New Roman" w:hAnsi="Times New Roman" w:cs="Times New Roman"/>
          <w:sz w:val="24"/>
          <w:szCs w:val="24"/>
          <w:lang w:val="en-US"/>
        </w:rPr>
        <w:t>mid-</w:t>
      </w:r>
      <w:r w:rsidRPr="00D1098C">
        <w:rPr>
          <w:rFonts w:ascii="Times New Roman" w:hAnsi="Times New Roman" w:cs="Times New Roman"/>
          <w:sz w:val="24"/>
          <w:szCs w:val="24"/>
          <w:lang w:val="en-US"/>
        </w:rPr>
        <w:t>August. But from September onwards the rate of transmission curve flattened, and after three months at about 5000 cases per day, cases started declini</w:t>
      </w:r>
      <w:r w:rsidR="008F4A47" w:rsidRPr="00D1098C">
        <w:rPr>
          <w:rFonts w:ascii="Times New Roman" w:hAnsi="Times New Roman" w:cs="Times New Roman"/>
          <w:sz w:val="24"/>
          <w:szCs w:val="24"/>
          <w:lang w:val="en-US"/>
        </w:rPr>
        <w:t xml:space="preserve">ng in </w:t>
      </w:r>
      <w:r w:rsidR="00E57490" w:rsidRPr="00D1098C">
        <w:rPr>
          <w:rFonts w:ascii="Times New Roman" w:hAnsi="Times New Roman" w:cs="Times New Roman"/>
          <w:sz w:val="24"/>
          <w:szCs w:val="24"/>
          <w:lang w:val="en-US"/>
        </w:rPr>
        <w:t>mid-</w:t>
      </w:r>
      <w:r w:rsidR="008F4A47" w:rsidRPr="00D1098C">
        <w:rPr>
          <w:rFonts w:ascii="Times New Roman" w:hAnsi="Times New Roman" w:cs="Times New Roman"/>
          <w:sz w:val="24"/>
          <w:szCs w:val="24"/>
          <w:lang w:val="en-US"/>
        </w:rPr>
        <w:t xml:space="preserve">November-with </w:t>
      </w:r>
      <w:r w:rsidR="003F7305" w:rsidRPr="00D1098C">
        <w:rPr>
          <w:rFonts w:ascii="Times New Roman" w:hAnsi="Times New Roman" w:cs="Times New Roman"/>
          <w:sz w:val="24"/>
          <w:szCs w:val="24"/>
          <w:lang w:val="en-US"/>
        </w:rPr>
        <w:t xml:space="preserve">currently </w:t>
      </w:r>
      <w:r w:rsidR="008F4A47" w:rsidRPr="00D1098C">
        <w:rPr>
          <w:rFonts w:ascii="Times New Roman" w:hAnsi="Times New Roman" w:cs="Times New Roman"/>
          <w:sz w:val="24"/>
          <w:szCs w:val="24"/>
          <w:lang w:val="en-US"/>
        </w:rPr>
        <w:t xml:space="preserve">less than </w:t>
      </w:r>
      <w:r w:rsidR="003F7305" w:rsidRPr="00D1098C">
        <w:rPr>
          <w:rFonts w:ascii="Times New Roman" w:hAnsi="Times New Roman" w:cs="Times New Roman"/>
          <w:sz w:val="24"/>
          <w:szCs w:val="24"/>
          <w:lang w:val="en-US"/>
        </w:rPr>
        <w:t>1500</w:t>
      </w:r>
      <w:r w:rsidRPr="00D1098C">
        <w:rPr>
          <w:rFonts w:ascii="Times New Roman" w:hAnsi="Times New Roman" w:cs="Times New Roman"/>
          <w:sz w:val="24"/>
          <w:szCs w:val="24"/>
          <w:lang w:val="en-US"/>
        </w:rPr>
        <w:t xml:space="preserve"> cases per day. Its mortality rate has remained limited to about 1.5%</w:t>
      </w:r>
      <w:r w:rsidR="008F4A47" w:rsidRPr="00D1098C">
        <w:rPr>
          <w:rFonts w:ascii="Times New Roman" w:hAnsi="Times New Roman" w:cs="Times New Roman"/>
          <w:sz w:val="24"/>
          <w:szCs w:val="24"/>
          <w:lang w:val="en-US"/>
        </w:rPr>
        <w:t xml:space="preserve"> </w:t>
      </w:r>
      <w:r w:rsidR="00B362AA" w:rsidRPr="00D1098C">
        <w:rPr>
          <w:rFonts w:ascii="Times New Roman" w:hAnsi="Times New Roman" w:cs="Times New Roman"/>
          <w:sz w:val="24"/>
          <w:szCs w:val="24"/>
          <w:lang w:val="en-US"/>
        </w:rPr>
        <w:t xml:space="preserve">(0.7-1.9) throughout this period.  </w:t>
      </w:r>
      <w:r w:rsidRPr="00D1098C">
        <w:rPr>
          <w:rFonts w:ascii="Times New Roman" w:hAnsi="Times New Roman" w:cs="Times New Roman"/>
          <w:sz w:val="24"/>
          <w:szCs w:val="24"/>
          <w:lang w:val="en-US"/>
        </w:rPr>
        <w:t xml:space="preserve"> </w:t>
      </w:r>
    </w:p>
    <w:p w:rsidR="00490882" w:rsidRPr="00D1098C" w:rsidRDefault="00490882" w:rsidP="00490882">
      <w:pPr>
        <w:spacing w:line="360" w:lineRule="auto"/>
        <w:jc w:val="both"/>
        <w:rPr>
          <w:rFonts w:ascii="Times New Roman" w:eastAsia="Times New Roman" w:hAnsi="Times New Roman" w:cs="Times New Roman"/>
          <w:sz w:val="24"/>
          <w:szCs w:val="24"/>
          <w:lang w:eastAsia="en-IN"/>
        </w:rPr>
      </w:pPr>
      <w:r w:rsidRPr="00D1098C">
        <w:rPr>
          <w:rFonts w:ascii="Times New Roman" w:hAnsi="Times New Roman" w:cs="Times New Roman"/>
          <w:sz w:val="24"/>
          <w:szCs w:val="24"/>
        </w:rPr>
        <w:t xml:space="preserve">Overall, </w:t>
      </w:r>
      <w:r w:rsidRPr="00D1098C">
        <w:rPr>
          <w:rFonts w:ascii="Times New Roman" w:eastAsia="Times New Roman" w:hAnsi="Times New Roman" w:cs="Times New Roman"/>
          <w:sz w:val="24"/>
          <w:szCs w:val="24"/>
          <w:lang w:eastAsia="en-IN"/>
        </w:rPr>
        <w:t>the monthly data analysis of the key COVID-19 indicators of the State</w:t>
      </w:r>
      <w:r w:rsidR="00B669C4" w:rsidRPr="00D1098C">
        <w:rPr>
          <w:rFonts w:ascii="Times New Roman" w:eastAsia="Times New Roman" w:hAnsi="Times New Roman" w:cs="Times New Roman"/>
          <w:sz w:val="24"/>
          <w:szCs w:val="24"/>
          <w:lang w:eastAsia="en-IN"/>
        </w:rPr>
        <w:t xml:space="preserve"> as on </w:t>
      </w:r>
      <w:r w:rsidR="003F7305" w:rsidRPr="00D1098C">
        <w:rPr>
          <w:rFonts w:ascii="Times New Roman" w:eastAsia="Times New Roman" w:hAnsi="Times New Roman" w:cs="Times New Roman"/>
          <w:sz w:val="24"/>
          <w:szCs w:val="24"/>
          <w:lang w:eastAsia="en-IN"/>
        </w:rPr>
        <w:t>30</w:t>
      </w:r>
      <w:r w:rsidR="00B669C4" w:rsidRPr="00D1098C">
        <w:rPr>
          <w:rFonts w:ascii="Times New Roman" w:eastAsia="Times New Roman" w:hAnsi="Times New Roman" w:cs="Times New Roman"/>
          <w:sz w:val="24"/>
          <w:szCs w:val="24"/>
          <w:vertAlign w:val="superscript"/>
          <w:lang w:eastAsia="en-IN"/>
        </w:rPr>
        <w:t>th</w:t>
      </w:r>
      <w:r w:rsidR="00B669C4" w:rsidRPr="00D1098C">
        <w:rPr>
          <w:rFonts w:ascii="Times New Roman" w:eastAsia="Times New Roman" w:hAnsi="Times New Roman" w:cs="Times New Roman"/>
          <w:sz w:val="24"/>
          <w:szCs w:val="24"/>
          <w:lang w:eastAsia="en-IN"/>
        </w:rPr>
        <w:t xml:space="preserve"> Nov, 2020 clearly shows that epidemic is on a declining trend in Tamil Nadu (Fig 1). T</w:t>
      </w:r>
      <w:r w:rsidR="00E57490" w:rsidRPr="00D1098C">
        <w:rPr>
          <w:rFonts w:ascii="Times New Roman" w:eastAsia="Times New Roman" w:hAnsi="Times New Roman" w:cs="Times New Roman"/>
          <w:sz w:val="24"/>
          <w:szCs w:val="24"/>
          <w:lang w:eastAsia="en-IN"/>
        </w:rPr>
        <w:t xml:space="preserve">he </w:t>
      </w:r>
      <w:r w:rsidR="00E57490" w:rsidRPr="00D1098C">
        <w:rPr>
          <w:rFonts w:ascii="Times New Roman" w:hAnsi="Times New Roman" w:cs="Times New Roman"/>
          <w:sz w:val="24"/>
          <w:szCs w:val="24"/>
          <w:lang w:val="en-US"/>
        </w:rPr>
        <w:t xml:space="preserve">comparison between </w:t>
      </w:r>
      <w:r w:rsidR="00B669C4" w:rsidRPr="00D1098C">
        <w:rPr>
          <w:rFonts w:ascii="Times New Roman" w:hAnsi="Times New Roman" w:cs="Times New Roman"/>
          <w:sz w:val="24"/>
          <w:szCs w:val="24"/>
          <w:lang w:val="en-US"/>
        </w:rPr>
        <w:t xml:space="preserve">5 </w:t>
      </w:r>
      <w:r w:rsidR="00E57490" w:rsidRPr="00D1098C">
        <w:rPr>
          <w:rFonts w:ascii="Times New Roman" w:hAnsi="Times New Roman" w:cs="Times New Roman"/>
          <w:sz w:val="24"/>
          <w:szCs w:val="24"/>
          <w:lang w:val="en-US"/>
        </w:rPr>
        <w:t xml:space="preserve">major southern states on the </w:t>
      </w:r>
      <w:r w:rsidR="00B669C4" w:rsidRPr="00D1098C">
        <w:rPr>
          <w:rFonts w:ascii="Times New Roman" w:hAnsi="Times New Roman" w:cs="Times New Roman"/>
          <w:sz w:val="24"/>
          <w:szCs w:val="24"/>
          <w:lang w:val="en-US"/>
        </w:rPr>
        <w:t xml:space="preserve">month-end </w:t>
      </w:r>
      <w:r w:rsidR="00E57490" w:rsidRPr="00D1098C">
        <w:rPr>
          <w:rFonts w:ascii="Times New Roman" w:hAnsi="Times New Roman" w:cs="Times New Roman"/>
          <w:sz w:val="24"/>
          <w:szCs w:val="24"/>
          <w:lang w:val="en-US"/>
        </w:rPr>
        <w:t>active caseload</w:t>
      </w:r>
      <w:r w:rsidR="00473460" w:rsidRPr="00D1098C">
        <w:rPr>
          <w:rFonts w:ascii="Times New Roman" w:hAnsi="Times New Roman" w:cs="Times New Roman"/>
          <w:sz w:val="24"/>
          <w:szCs w:val="24"/>
          <w:lang w:val="en-US"/>
        </w:rPr>
        <w:t xml:space="preserve"> and </w:t>
      </w:r>
      <w:r w:rsidR="003F7305" w:rsidRPr="00D1098C">
        <w:rPr>
          <w:rFonts w:ascii="Times New Roman" w:hAnsi="Times New Roman" w:cs="Times New Roman"/>
          <w:sz w:val="24"/>
          <w:szCs w:val="24"/>
          <w:lang w:val="en-US"/>
        </w:rPr>
        <w:t xml:space="preserve">average </w:t>
      </w:r>
      <w:r w:rsidR="00473460" w:rsidRPr="00D1098C">
        <w:rPr>
          <w:rFonts w:ascii="Times New Roman" w:hAnsi="Times New Roman" w:cs="Times New Roman"/>
          <w:sz w:val="24"/>
          <w:szCs w:val="24"/>
          <w:lang w:val="en-US"/>
        </w:rPr>
        <w:t>positive cases per day</w:t>
      </w:r>
      <w:r w:rsidR="00E57490" w:rsidRPr="00D1098C">
        <w:rPr>
          <w:rFonts w:ascii="Times New Roman" w:hAnsi="Times New Roman" w:cs="Times New Roman"/>
          <w:sz w:val="24"/>
          <w:szCs w:val="24"/>
          <w:lang w:val="en-US"/>
        </w:rPr>
        <w:t xml:space="preserve"> from July 1</w:t>
      </w:r>
      <w:r w:rsidR="00E57490" w:rsidRPr="00D1098C">
        <w:rPr>
          <w:rFonts w:ascii="Times New Roman" w:hAnsi="Times New Roman" w:cs="Times New Roman"/>
          <w:sz w:val="24"/>
          <w:szCs w:val="24"/>
          <w:vertAlign w:val="superscript"/>
          <w:lang w:val="en-US"/>
        </w:rPr>
        <w:t>st</w:t>
      </w:r>
      <w:r w:rsidR="00E57490" w:rsidRPr="00D1098C">
        <w:rPr>
          <w:rFonts w:ascii="Times New Roman" w:hAnsi="Times New Roman" w:cs="Times New Roman"/>
          <w:sz w:val="24"/>
          <w:szCs w:val="24"/>
          <w:lang w:val="en-US"/>
        </w:rPr>
        <w:t xml:space="preserve">, when Rapid Antigen Tests (RATs) were started widely used by States </w:t>
      </w:r>
      <w:r w:rsidRPr="00D1098C">
        <w:rPr>
          <w:rFonts w:ascii="Times New Roman" w:eastAsia="Times New Roman" w:hAnsi="Times New Roman" w:cs="Times New Roman"/>
          <w:sz w:val="24"/>
          <w:szCs w:val="24"/>
          <w:lang w:eastAsia="en-IN"/>
        </w:rPr>
        <w:t xml:space="preserve">is </w:t>
      </w:r>
      <w:r w:rsidR="00B669C4" w:rsidRPr="00D1098C">
        <w:rPr>
          <w:rFonts w:ascii="Times New Roman" w:eastAsia="Times New Roman" w:hAnsi="Times New Roman" w:cs="Times New Roman"/>
          <w:sz w:val="24"/>
          <w:szCs w:val="24"/>
          <w:lang w:eastAsia="en-IN"/>
        </w:rPr>
        <w:t>depicted in Fig 2</w:t>
      </w:r>
      <w:r w:rsidR="00E57490" w:rsidRPr="00D1098C">
        <w:rPr>
          <w:rFonts w:ascii="Times New Roman" w:eastAsia="Times New Roman" w:hAnsi="Times New Roman" w:cs="Times New Roman"/>
          <w:sz w:val="24"/>
          <w:szCs w:val="24"/>
          <w:lang w:eastAsia="en-IN"/>
        </w:rPr>
        <w:t xml:space="preserve"> and </w:t>
      </w:r>
      <w:r w:rsidR="00B669C4" w:rsidRPr="00D1098C">
        <w:rPr>
          <w:rFonts w:ascii="Times New Roman" w:eastAsia="Times New Roman" w:hAnsi="Times New Roman" w:cs="Times New Roman"/>
          <w:sz w:val="24"/>
          <w:szCs w:val="24"/>
          <w:lang w:eastAsia="en-IN"/>
        </w:rPr>
        <w:t>3 respectively</w:t>
      </w:r>
      <w:r w:rsidRPr="00D1098C">
        <w:rPr>
          <w:rFonts w:ascii="Times New Roman" w:eastAsia="Times New Roman" w:hAnsi="Times New Roman" w:cs="Times New Roman"/>
          <w:sz w:val="24"/>
          <w:szCs w:val="24"/>
          <w:lang w:eastAsia="en-IN"/>
        </w:rPr>
        <w:t>.</w:t>
      </w:r>
    </w:p>
    <w:p w:rsidR="00DB4211" w:rsidRDefault="00DB4211" w:rsidP="00DF458E">
      <w:pPr>
        <w:spacing w:line="360" w:lineRule="auto"/>
        <w:rPr>
          <w:rFonts w:ascii="Times New Roman" w:eastAsia="Times New Roman" w:hAnsi="Times New Roman" w:cs="Times New Roman"/>
          <w:b/>
          <w:bCs/>
          <w:color w:val="000000"/>
          <w:sz w:val="24"/>
          <w:szCs w:val="24"/>
          <w:lang w:eastAsia="en-IN"/>
        </w:rPr>
      </w:pPr>
    </w:p>
    <w:p w:rsidR="00D1098C" w:rsidRPr="00D1098C" w:rsidRDefault="00D1098C" w:rsidP="00DF458E">
      <w:pPr>
        <w:spacing w:line="360" w:lineRule="auto"/>
        <w:rPr>
          <w:rFonts w:ascii="Times New Roman" w:eastAsia="Times New Roman" w:hAnsi="Times New Roman" w:cs="Times New Roman"/>
          <w:b/>
          <w:bCs/>
          <w:color w:val="000000"/>
          <w:sz w:val="24"/>
          <w:szCs w:val="24"/>
          <w:lang w:eastAsia="en-IN"/>
        </w:rPr>
      </w:pPr>
    </w:p>
    <w:p w:rsidR="00DB4211" w:rsidRPr="00D1098C" w:rsidRDefault="00DB4211" w:rsidP="00DF458E">
      <w:pPr>
        <w:spacing w:line="360" w:lineRule="auto"/>
        <w:rPr>
          <w:rFonts w:ascii="Times New Roman" w:eastAsia="Times New Roman" w:hAnsi="Times New Roman" w:cs="Times New Roman"/>
          <w:b/>
          <w:bCs/>
          <w:color w:val="000000"/>
          <w:sz w:val="24"/>
          <w:szCs w:val="24"/>
          <w:lang w:eastAsia="en-IN"/>
        </w:rPr>
      </w:pPr>
    </w:p>
    <w:p w:rsidR="00DF458E" w:rsidRPr="00D1098C" w:rsidRDefault="00DF458E" w:rsidP="00DF458E">
      <w:pPr>
        <w:spacing w:line="360" w:lineRule="auto"/>
        <w:rPr>
          <w:rFonts w:ascii="Times New Roman" w:eastAsia="Times New Roman" w:hAnsi="Times New Roman" w:cs="Times New Roman"/>
          <w:color w:val="000000"/>
          <w:sz w:val="24"/>
          <w:szCs w:val="24"/>
          <w:lang w:eastAsia="en-IN"/>
        </w:rPr>
      </w:pPr>
      <w:r w:rsidRPr="00D1098C">
        <w:rPr>
          <w:rFonts w:ascii="Times New Roman" w:eastAsia="Times New Roman" w:hAnsi="Times New Roman" w:cs="Times New Roman"/>
          <w:b/>
          <w:bCs/>
          <w:color w:val="000000"/>
          <w:sz w:val="24"/>
          <w:szCs w:val="24"/>
          <w:lang w:eastAsia="en-IN"/>
        </w:rPr>
        <w:lastRenderedPageBreak/>
        <w:t>Figure 1: Monthly Covid-19 Details, Tamil Nadu</w:t>
      </w:r>
      <w:r w:rsidR="003F7305" w:rsidRPr="00D1098C">
        <w:rPr>
          <w:rFonts w:ascii="Times New Roman" w:eastAsia="Times New Roman" w:hAnsi="Times New Roman" w:cs="Times New Roman"/>
          <w:b/>
          <w:bCs/>
          <w:color w:val="000000"/>
          <w:sz w:val="24"/>
          <w:szCs w:val="24"/>
          <w:lang w:eastAsia="en-IN"/>
        </w:rPr>
        <w:t xml:space="preserve"> (as on 30</w:t>
      </w:r>
      <w:r w:rsidR="00DB4211" w:rsidRPr="00D1098C">
        <w:rPr>
          <w:rFonts w:ascii="Times New Roman" w:eastAsia="Times New Roman" w:hAnsi="Times New Roman" w:cs="Times New Roman"/>
          <w:b/>
          <w:bCs/>
          <w:color w:val="000000"/>
          <w:sz w:val="24"/>
          <w:szCs w:val="24"/>
          <w:lang w:eastAsia="en-IN"/>
        </w:rPr>
        <w:t>.11.2020)</w:t>
      </w:r>
    </w:p>
    <w:p w:rsidR="00490882" w:rsidRPr="00D1098C" w:rsidRDefault="00B20B46" w:rsidP="00DB4211">
      <w:pPr>
        <w:spacing w:line="360" w:lineRule="auto"/>
        <w:rPr>
          <w:rFonts w:ascii="Times New Roman" w:eastAsia="Times New Roman" w:hAnsi="Times New Roman" w:cs="Times New Roman"/>
          <w:color w:val="000000"/>
          <w:sz w:val="24"/>
          <w:szCs w:val="24"/>
          <w:lang w:eastAsia="en-IN"/>
        </w:rPr>
      </w:pPr>
      <w:r w:rsidRPr="00D1098C">
        <w:rPr>
          <w:rFonts w:ascii="Times New Roman" w:eastAsia="Times New Roman" w:hAnsi="Times New Roman" w:cs="Times New Roman"/>
          <w:noProof/>
          <w:color w:val="000000"/>
          <w:sz w:val="24"/>
          <w:szCs w:val="24"/>
          <w:lang w:eastAsia="en-IN"/>
        </w:rPr>
        <w:drawing>
          <wp:inline distT="0" distB="0" distL="0" distR="0" wp14:anchorId="7399E28C" wp14:editId="71950E8A">
            <wp:extent cx="5257800" cy="2957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8256" cy="2957770"/>
                    </a:xfrm>
                    <a:prstGeom prst="rect">
                      <a:avLst/>
                    </a:prstGeom>
                  </pic:spPr>
                </pic:pic>
              </a:graphicData>
            </a:graphic>
          </wp:inline>
        </w:drawing>
      </w:r>
    </w:p>
    <w:p w:rsidR="00490882" w:rsidRPr="00D1098C" w:rsidRDefault="00490882" w:rsidP="00DB4211">
      <w:pPr>
        <w:spacing w:line="240" w:lineRule="auto"/>
        <w:rPr>
          <w:rFonts w:ascii="Times New Roman" w:hAnsi="Times New Roman" w:cs="Times New Roman"/>
          <w:i/>
          <w:sz w:val="20"/>
          <w:szCs w:val="24"/>
        </w:rPr>
      </w:pPr>
      <w:r w:rsidRPr="00D1098C">
        <w:rPr>
          <w:rFonts w:ascii="Times New Roman" w:hAnsi="Times New Roman" w:cs="Times New Roman"/>
          <w:i/>
          <w:sz w:val="20"/>
          <w:szCs w:val="24"/>
        </w:rPr>
        <w:t>Source: Media Bulletin, Health and Family Welfare Department (Graphs prepared by authors)</w:t>
      </w:r>
    </w:p>
    <w:p w:rsidR="00E07367" w:rsidRPr="00D1098C" w:rsidRDefault="00DB4211" w:rsidP="00490882">
      <w:pPr>
        <w:spacing w:line="360" w:lineRule="auto"/>
        <w:jc w:val="both"/>
        <w:rPr>
          <w:rFonts w:ascii="Times New Roman" w:hAnsi="Times New Roman" w:cs="Times New Roman"/>
          <w:b/>
          <w:color w:val="000000" w:themeColor="text1"/>
          <w:sz w:val="24"/>
          <w:szCs w:val="24"/>
          <w:lang w:val="en-US"/>
        </w:rPr>
      </w:pPr>
      <w:r w:rsidRPr="00D1098C">
        <w:rPr>
          <w:rFonts w:ascii="Times New Roman" w:hAnsi="Times New Roman" w:cs="Times New Roman"/>
          <w:b/>
          <w:color w:val="000000" w:themeColor="text1"/>
          <w:sz w:val="24"/>
          <w:szCs w:val="24"/>
          <w:lang w:val="en-US"/>
        </w:rPr>
        <w:t>Figure 2: Average Positive Cases per day: Comparison of five southern states</w:t>
      </w:r>
    </w:p>
    <w:p w:rsidR="00DB4211" w:rsidRPr="00D1098C" w:rsidRDefault="00B20B46" w:rsidP="00490882">
      <w:pPr>
        <w:spacing w:line="360" w:lineRule="auto"/>
        <w:jc w:val="both"/>
        <w:rPr>
          <w:rFonts w:ascii="Times New Roman" w:hAnsi="Times New Roman" w:cs="Times New Roman"/>
          <w:b/>
          <w:color w:val="000000" w:themeColor="text1"/>
          <w:sz w:val="24"/>
          <w:szCs w:val="24"/>
          <w:lang w:val="en-US"/>
        </w:rPr>
      </w:pPr>
      <w:r w:rsidRPr="00D1098C">
        <w:rPr>
          <w:rFonts w:ascii="Times New Roman" w:hAnsi="Times New Roman" w:cs="Times New Roman"/>
          <w:b/>
          <w:noProof/>
          <w:color w:val="000000" w:themeColor="text1"/>
          <w:sz w:val="24"/>
          <w:szCs w:val="24"/>
          <w:lang w:eastAsia="en-IN"/>
        </w:rPr>
        <w:drawing>
          <wp:inline distT="0" distB="0" distL="0" distR="0" wp14:anchorId="7E5BC3BB" wp14:editId="2170EA07">
            <wp:extent cx="5326380" cy="299608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6842" cy="2996349"/>
                    </a:xfrm>
                    <a:prstGeom prst="rect">
                      <a:avLst/>
                    </a:prstGeom>
                  </pic:spPr>
                </pic:pic>
              </a:graphicData>
            </a:graphic>
          </wp:inline>
        </w:drawing>
      </w:r>
    </w:p>
    <w:p w:rsidR="00DB4211" w:rsidRPr="00D1098C" w:rsidRDefault="00DB4211" w:rsidP="00DB4211">
      <w:pPr>
        <w:rPr>
          <w:rFonts w:ascii="Times New Roman" w:hAnsi="Times New Roman" w:cs="Times New Roman"/>
          <w:i/>
          <w:sz w:val="20"/>
          <w:szCs w:val="24"/>
        </w:rPr>
      </w:pPr>
      <w:r w:rsidRPr="00D1098C">
        <w:rPr>
          <w:rFonts w:ascii="Times New Roman" w:hAnsi="Times New Roman" w:cs="Times New Roman"/>
          <w:i/>
          <w:sz w:val="20"/>
          <w:szCs w:val="24"/>
        </w:rPr>
        <w:t xml:space="preserve">Source: </w:t>
      </w:r>
      <w:hyperlink r:id="rId10" w:history="1">
        <w:r w:rsidRPr="00D1098C">
          <w:rPr>
            <w:rStyle w:val="Hyperlink"/>
            <w:rFonts w:ascii="Times New Roman" w:hAnsi="Times New Roman" w:cs="Times New Roman"/>
            <w:b/>
            <w:bCs/>
            <w:i/>
            <w:sz w:val="20"/>
          </w:rPr>
          <w:t>www.covid19india.org</w:t>
        </w:r>
      </w:hyperlink>
      <w:r w:rsidRPr="00D1098C">
        <w:rPr>
          <w:rFonts w:ascii="Times New Roman" w:hAnsi="Times New Roman" w:cs="Times New Roman"/>
          <w:b/>
          <w:bCs/>
          <w:i/>
          <w:sz w:val="20"/>
        </w:rPr>
        <w:t xml:space="preserve"> </w:t>
      </w:r>
      <w:r w:rsidRPr="00D1098C">
        <w:rPr>
          <w:rFonts w:ascii="Times New Roman" w:hAnsi="Times New Roman" w:cs="Times New Roman"/>
          <w:i/>
          <w:sz w:val="20"/>
          <w:szCs w:val="24"/>
        </w:rPr>
        <w:t xml:space="preserve"> (Graphs prepared by authors)</w:t>
      </w:r>
    </w:p>
    <w:p w:rsidR="00E07367" w:rsidRPr="00D1098C" w:rsidRDefault="00E07367" w:rsidP="00490882">
      <w:pPr>
        <w:spacing w:line="360" w:lineRule="auto"/>
        <w:jc w:val="both"/>
        <w:rPr>
          <w:rFonts w:ascii="Times New Roman" w:hAnsi="Times New Roman" w:cs="Times New Roman"/>
          <w:b/>
          <w:color w:val="000000" w:themeColor="text1"/>
          <w:sz w:val="24"/>
          <w:szCs w:val="24"/>
          <w:lang w:val="en-US"/>
        </w:rPr>
      </w:pPr>
    </w:p>
    <w:p w:rsidR="00E07367" w:rsidRPr="00D1098C" w:rsidRDefault="00E07367" w:rsidP="00490882">
      <w:pPr>
        <w:spacing w:line="360" w:lineRule="auto"/>
        <w:jc w:val="both"/>
        <w:rPr>
          <w:rFonts w:ascii="Times New Roman" w:hAnsi="Times New Roman" w:cs="Times New Roman"/>
          <w:b/>
          <w:color w:val="000000" w:themeColor="text1"/>
          <w:sz w:val="24"/>
          <w:szCs w:val="24"/>
          <w:lang w:val="en-US"/>
        </w:rPr>
      </w:pPr>
    </w:p>
    <w:p w:rsidR="00D96B74" w:rsidRDefault="00D96B74" w:rsidP="00DB4211">
      <w:pPr>
        <w:spacing w:line="360" w:lineRule="auto"/>
        <w:jc w:val="both"/>
        <w:rPr>
          <w:rFonts w:ascii="Times New Roman" w:hAnsi="Times New Roman" w:cs="Times New Roman"/>
          <w:b/>
          <w:color w:val="000000" w:themeColor="text1"/>
          <w:sz w:val="24"/>
          <w:szCs w:val="24"/>
          <w:lang w:val="en-US"/>
        </w:rPr>
      </w:pPr>
    </w:p>
    <w:p w:rsidR="00D1098C" w:rsidRPr="00D1098C" w:rsidRDefault="00D1098C" w:rsidP="00DB4211">
      <w:pPr>
        <w:spacing w:line="360" w:lineRule="auto"/>
        <w:jc w:val="both"/>
        <w:rPr>
          <w:rFonts w:ascii="Times New Roman" w:hAnsi="Times New Roman" w:cs="Times New Roman"/>
          <w:b/>
          <w:color w:val="000000" w:themeColor="text1"/>
          <w:sz w:val="24"/>
          <w:szCs w:val="24"/>
          <w:lang w:val="en-US"/>
        </w:rPr>
      </w:pPr>
    </w:p>
    <w:p w:rsidR="00DB4211" w:rsidRPr="00D1098C" w:rsidRDefault="00DB4211" w:rsidP="00DB4211">
      <w:pPr>
        <w:spacing w:line="360" w:lineRule="auto"/>
        <w:jc w:val="both"/>
        <w:rPr>
          <w:rFonts w:ascii="Times New Roman" w:hAnsi="Times New Roman" w:cs="Times New Roman"/>
          <w:b/>
          <w:color w:val="000000" w:themeColor="text1"/>
          <w:sz w:val="24"/>
          <w:szCs w:val="24"/>
          <w:lang w:val="en-US"/>
        </w:rPr>
      </w:pPr>
      <w:r w:rsidRPr="00D1098C">
        <w:rPr>
          <w:rFonts w:ascii="Times New Roman" w:hAnsi="Times New Roman" w:cs="Times New Roman"/>
          <w:b/>
          <w:color w:val="000000" w:themeColor="text1"/>
          <w:sz w:val="24"/>
          <w:szCs w:val="24"/>
          <w:lang w:val="en-US"/>
        </w:rPr>
        <w:lastRenderedPageBreak/>
        <w:t>Figure 3: Active Cases-Month wise: Comparison of five southern states</w:t>
      </w:r>
    </w:p>
    <w:p w:rsidR="00DB4211" w:rsidRPr="00D1098C" w:rsidRDefault="00B20B46" w:rsidP="00DB4211">
      <w:pPr>
        <w:rPr>
          <w:rFonts w:ascii="Times New Roman" w:hAnsi="Times New Roman" w:cs="Times New Roman"/>
          <w:i/>
          <w:sz w:val="20"/>
          <w:szCs w:val="24"/>
        </w:rPr>
      </w:pPr>
      <w:r w:rsidRPr="00D1098C">
        <w:rPr>
          <w:rFonts w:ascii="Times New Roman" w:hAnsi="Times New Roman" w:cs="Times New Roman"/>
          <w:i/>
          <w:noProof/>
          <w:sz w:val="20"/>
          <w:szCs w:val="24"/>
          <w:lang w:eastAsia="en-IN"/>
        </w:rPr>
        <w:drawing>
          <wp:inline distT="0" distB="0" distL="0" distR="0" wp14:anchorId="03CEC339" wp14:editId="2E24096C">
            <wp:extent cx="5295900" cy="29789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6359" cy="2979202"/>
                    </a:xfrm>
                    <a:prstGeom prst="rect">
                      <a:avLst/>
                    </a:prstGeom>
                  </pic:spPr>
                </pic:pic>
              </a:graphicData>
            </a:graphic>
          </wp:inline>
        </w:drawing>
      </w:r>
    </w:p>
    <w:p w:rsidR="00DB4211" w:rsidRPr="00D1098C" w:rsidRDefault="00DB4211" w:rsidP="00DB4211">
      <w:pPr>
        <w:rPr>
          <w:rFonts w:ascii="Times New Roman" w:hAnsi="Times New Roman" w:cs="Times New Roman"/>
          <w:i/>
          <w:sz w:val="20"/>
          <w:szCs w:val="24"/>
        </w:rPr>
      </w:pPr>
      <w:r w:rsidRPr="00D1098C">
        <w:rPr>
          <w:rFonts w:ascii="Times New Roman" w:hAnsi="Times New Roman" w:cs="Times New Roman"/>
          <w:i/>
          <w:sz w:val="20"/>
          <w:szCs w:val="24"/>
        </w:rPr>
        <w:t xml:space="preserve">Source: </w:t>
      </w:r>
      <w:hyperlink r:id="rId12" w:history="1">
        <w:r w:rsidRPr="00D1098C">
          <w:rPr>
            <w:rStyle w:val="Hyperlink"/>
            <w:rFonts w:ascii="Times New Roman" w:hAnsi="Times New Roman" w:cs="Times New Roman"/>
            <w:b/>
            <w:bCs/>
            <w:i/>
            <w:sz w:val="20"/>
          </w:rPr>
          <w:t>www.covid19india.org</w:t>
        </w:r>
      </w:hyperlink>
      <w:r w:rsidRPr="00D1098C">
        <w:rPr>
          <w:rFonts w:ascii="Times New Roman" w:hAnsi="Times New Roman" w:cs="Times New Roman"/>
          <w:b/>
          <w:bCs/>
          <w:i/>
          <w:sz w:val="20"/>
        </w:rPr>
        <w:t xml:space="preserve"> </w:t>
      </w:r>
      <w:r w:rsidRPr="00D1098C">
        <w:rPr>
          <w:rFonts w:ascii="Times New Roman" w:hAnsi="Times New Roman" w:cs="Times New Roman"/>
          <w:i/>
          <w:sz w:val="20"/>
          <w:szCs w:val="24"/>
        </w:rPr>
        <w:t xml:space="preserve"> (Graphs prepared by authors)</w:t>
      </w:r>
    </w:p>
    <w:p w:rsidR="00490882" w:rsidRPr="00D1098C" w:rsidRDefault="00490882" w:rsidP="00490882">
      <w:pPr>
        <w:spacing w:line="360" w:lineRule="auto"/>
        <w:jc w:val="both"/>
        <w:rPr>
          <w:rFonts w:ascii="Times New Roman" w:hAnsi="Times New Roman" w:cs="Times New Roman"/>
          <w:b/>
          <w:color w:val="000000" w:themeColor="text1"/>
          <w:sz w:val="24"/>
          <w:szCs w:val="24"/>
          <w:lang w:val="en-US"/>
        </w:rPr>
      </w:pPr>
      <w:r w:rsidRPr="00D1098C">
        <w:rPr>
          <w:rFonts w:ascii="Times New Roman" w:hAnsi="Times New Roman" w:cs="Times New Roman"/>
          <w:b/>
          <w:color w:val="000000" w:themeColor="text1"/>
          <w:sz w:val="24"/>
          <w:szCs w:val="24"/>
          <w:lang w:val="en-US"/>
        </w:rPr>
        <w:t xml:space="preserve">The choice of testing technology: </w:t>
      </w:r>
    </w:p>
    <w:p w:rsidR="00490882" w:rsidRPr="00D1098C" w:rsidRDefault="00490882" w:rsidP="00490882">
      <w:pPr>
        <w:spacing w:line="360" w:lineRule="auto"/>
        <w:jc w:val="both"/>
        <w:rPr>
          <w:rFonts w:ascii="Times New Roman" w:eastAsia="Times New Roman" w:hAnsi="Times New Roman" w:cs="Times New Roman"/>
          <w:sz w:val="24"/>
          <w:szCs w:val="24"/>
          <w:shd w:val="clear" w:color="auto" w:fill="FFFFFF"/>
          <w:lang w:eastAsia="en-IN"/>
        </w:rPr>
      </w:pPr>
      <w:r w:rsidRPr="00D1098C">
        <w:rPr>
          <w:rFonts w:ascii="Times New Roman" w:hAnsi="Times New Roman" w:cs="Times New Roman"/>
          <w:sz w:val="24"/>
          <w:szCs w:val="24"/>
          <w:lang w:val="en-US"/>
        </w:rPr>
        <w:t xml:space="preserve">Early in the epidemic, the State Government of Tamil Nadu adopted a policy of using only the RT-PCR, tests- which is considered as the ‘golden standard’. Even when many other States shifted to Rapid Antigen Tests (RATs), Tamil Nadu preferred this option because it had much less false negatives. </w:t>
      </w:r>
      <w:r w:rsidRPr="00D1098C">
        <w:rPr>
          <w:rFonts w:ascii="Times New Roman" w:eastAsia="Times New Roman" w:hAnsi="Times New Roman" w:cs="Times New Roman"/>
          <w:sz w:val="24"/>
          <w:szCs w:val="24"/>
          <w:shd w:val="clear" w:color="auto" w:fill="FFFFFF"/>
          <w:lang w:eastAsia="en-IN"/>
        </w:rPr>
        <w:t>Rapid antigen test</w:t>
      </w:r>
      <w:r w:rsidR="00E07367" w:rsidRPr="00D1098C">
        <w:rPr>
          <w:rFonts w:ascii="Times New Roman" w:eastAsia="Times New Roman" w:hAnsi="Times New Roman" w:cs="Times New Roman"/>
          <w:sz w:val="24"/>
          <w:szCs w:val="24"/>
          <w:shd w:val="clear" w:color="auto" w:fill="FFFFFF"/>
          <w:lang w:eastAsia="en-IN"/>
        </w:rPr>
        <w:t xml:space="preserve">s </w:t>
      </w:r>
      <w:r w:rsidRPr="00D1098C">
        <w:rPr>
          <w:rFonts w:ascii="Times New Roman" w:eastAsia="Times New Roman" w:hAnsi="Times New Roman" w:cs="Times New Roman"/>
          <w:sz w:val="24"/>
          <w:szCs w:val="24"/>
          <w:shd w:val="clear" w:color="auto" w:fill="FFFFFF"/>
          <w:lang w:eastAsia="en-IN"/>
        </w:rPr>
        <w:t xml:space="preserve">for COVID-19 are </w:t>
      </w:r>
      <w:r w:rsidR="00B362AA" w:rsidRPr="00D1098C">
        <w:rPr>
          <w:rFonts w:ascii="Times New Roman" w:eastAsia="Times New Roman" w:hAnsi="Times New Roman" w:cs="Times New Roman"/>
          <w:sz w:val="24"/>
          <w:szCs w:val="24"/>
          <w:shd w:val="clear" w:color="auto" w:fill="FFFFFF"/>
          <w:lang w:eastAsia="en-IN"/>
        </w:rPr>
        <w:t xml:space="preserve">supposedly </w:t>
      </w:r>
      <w:r w:rsidRPr="00D1098C">
        <w:rPr>
          <w:rFonts w:ascii="Times New Roman" w:eastAsia="Times New Roman" w:hAnsi="Times New Roman" w:cs="Times New Roman"/>
          <w:sz w:val="24"/>
          <w:szCs w:val="24"/>
          <w:shd w:val="clear" w:color="auto" w:fill="FFFFFF"/>
          <w:lang w:eastAsia="en-IN"/>
        </w:rPr>
        <w:t xml:space="preserve">comparatively cheaper and deliver quicker results than RT PCR but </w:t>
      </w:r>
      <w:r w:rsidR="00B362AA" w:rsidRPr="00D1098C">
        <w:rPr>
          <w:rFonts w:ascii="Times New Roman" w:eastAsia="Times New Roman" w:hAnsi="Times New Roman" w:cs="Times New Roman"/>
          <w:sz w:val="24"/>
          <w:szCs w:val="24"/>
          <w:shd w:val="clear" w:color="auto" w:fill="FFFFFF"/>
          <w:lang w:eastAsia="en-IN"/>
        </w:rPr>
        <w:t>are</w:t>
      </w:r>
      <w:r w:rsidRPr="00D1098C">
        <w:rPr>
          <w:rFonts w:ascii="Times New Roman" w:eastAsia="Times New Roman" w:hAnsi="Times New Roman" w:cs="Times New Roman"/>
          <w:sz w:val="24"/>
          <w:szCs w:val="24"/>
          <w:shd w:val="clear" w:color="auto" w:fill="FFFFFF"/>
          <w:lang w:eastAsia="en-IN"/>
        </w:rPr>
        <w:t xml:space="preserve"> about 10 times less sensitive than the latter leading to a high number of false negatives (</w:t>
      </w:r>
      <w:r w:rsidR="002048AC" w:rsidRPr="00D1098C">
        <w:rPr>
          <w:rFonts w:ascii="Times New Roman" w:hAnsi="Times New Roman" w:cs="Times New Roman"/>
          <w:sz w:val="24"/>
          <w:szCs w:val="24"/>
          <w:shd w:val="clear" w:color="auto" w:fill="FFFFFF"/>
        </w:rPr>
        <w:t>2</w:t>
      </w:r>
      <w:r w:rsidRPr="00D1098C">
        <w:rPr>
          <w:rFonts w:ascii="Times New Roman" w:eastAsia="Times New Roman" w:hAnsi="Times New Roman" w:cs="Times New Roman"/>
          <w:sz w:val="24"/>
          <w:szCs w:val="24"/>
          <w:shd w:val="clear" w:color="auto" w:fill="FFFFFF"/>
          <w:lang w:eastAsia="en-IN"/>
        </w:rPr>
        <w:t xml:space="preserve">). </w:t>
      </w:r>
      <w:r w:rsidRPr="00D1098C">
        <w:rPr>
          <w:rFonts w:ascii="Times New Roman" w:eastAsia="Times New Roman" w:hAnsi="Times New Roman" w:cs="Times New Roman"/>
          <w:color w:val="000000"/>
          <w:sz w:val="24"/>
          <w:szCs w:val="24"/>
          <w:shd w:val="clear" w:color="auto" w:fill="FFFFFF"/>
          <w:lang w:eastAsia="en-IN"/>
        </w:rPr>
        <w:t>Official MoHFW and ICMR guidelines address this by calling for mandatory re-testing with RT-PCRs of all symptomatic patients who test negative with RATs (</w:t>
      </w:r>
      <w:r w:rsidR="002048AC" w:rsidRPr="00D1098C">
        <w:rPr>
          <w:rFonts w:ascii="Times New Roman" w:eastAsia="Times New Roman" w:hAnsi="Times New Roman" w:cs="Times New Roman"/>
          <w:color w:val="000000"/>
          <w:sz w:val="24"/>
          <w:szCs w:val="24"/>
          <w:shd w:val="clear" w:color="auto" w:fill="FFFFFF"/>
          <w:lang w:eastAsia="en-IN"/>
        </w:rPr>
        <w:t>3</w:t>
      </w:r>
      <w:r w:rsidRPr="00D1098C">
        <w:rPr>
          <w:rFonts w:ascii="Times New Roman" w:eastAsia="Times New Roman" w:hAnsi="Times New Roman" w:cs="Times New Roman"/>
          <w:color w:val="000000"/>
          <w:sz w:val="24"/>
          <w:szCs w:val="24"/>
          <w:shd w:val="clear" w:color="auto" w:fill="FFFFFF"/>
          <w:lang w:eastAsia="en-IN"/>
        </w:rPr>
        <w:t>). But this is difficult to organize and reports from many states shows that this is not happening, even as per MoHFW (</w:t>
      </w:r>
      <w:r w:rsidR="002048AC" w:rsidRPr="00D1098C">
        <w:rPr>
          <w:rFonts w:ascii="Times New Roman" w:eastAsia="Times New Roman" w:hAnsi="Times New Roman" w:cs="Times New Roman"/>
          <w:color w:val="000000"/>
          <w:sz w:val="24"/>
          <w:szCs w:val="24"/>
          <w:shd w:val="clear" w:color="auto" w:fill="FFFFFF"/>
          <w:lang w:eastAsia="en-IN"/>
        </w:rPr>
        <w:t>4</w:t>
      </w:r>
      <w:r w:rsidRPr="00D1098C">
        <w:rPr>
          <w:rFonts w:ascii="Times New Roman" w:eastAsia="Times New Roman" w:hAnsi="Times New Roman" w:cs="Times New Roman"/>
          <w:color w:val="000000"/>
          <w:sz w:val="24"/>
          <w:szCs w:val="24"/>
          <w:shd w:val="clear" w:color="auto" w:fill="FFFFFF"/>
          <w:lang w:eastAsia="en-IN"/>
        </w:rPr>
        <w:t xml:space="preserve">). Such patients with missed diagnosis, who need to be re-tested, require to be isolated till then, and the failure to do so would be a major source of disease transmission.  This also gives a falsely low picture of positive cases, because official figures do not disclose the </w:t>
      </w:r>
      <w:r w:rsidR="00E07367" w:rsidRPr="00D1098C">
        <w:rPr>
          <w:rFonts w:ascii="Times New Roman" w:eastAsia="Times New Roman" w:hAnsi="Times New Roman" w:cs="Times New Roman"/>
          <w:color w:val="000000"/>
          <w:sz w:val="24"/>
          <w:szCs w:val="24"/>
          <w:shd w:val="clear" w:color="auto" w:fill="FFFFFF"/>
          <w:lang w:eastAsia="en-IN"/>
        </w:rPr>
        <w:t>symptomatic</w:t>
      </w:r>
      <w:r w:rsidRPr="00D1098C">
        <w:rPr>
          <w:rFonts w:ascii="Times New Roman" w:eastAsia="Times New Roman" w:hAnsi="Times New Roman" w:cs="Times New Roman"/>
          <w:color w:val="000000"/>
          <w:sz w:val="24"/>
          <w:szCs w:val="24"/>
          <w:shd w:val="clear" w:color="auto" w:fill="FFFFFF"/>
          <w:lang w:eastAsia="en-IN"/>
        </w:rPr>
        <w:t xml:space="preserve"> who were not adequately tested.</w:t>
      </w:r>
      <w:r w:rsidR="00B362AA" w:rsidRPr="00D1098C">
        <w:rPr>
          <w:rFonts w:ascii="Times New Roman" w:eastAsia="Times New Roman" w:hAnsi="Times New Roman" w:cs="Times New Roman"/>
          <w:color w:val="000000"/>
          <w:sz w:val="24"/>
          <w:szCs w:val="24"/>
          <w:shd w:val="clear" w:color="auto" w:fill="FFFFFF"/>
          <w:lang w:eastAsia="en-IN"/>
        </w:rPr>
        <w:t xml:space="preserve"> </w:t>
      </w:r>
      <w:r w:rsidR="00B362AA" w:rsidRPr="00D1098C">
        <w:rPr>
          <w:rFonts w:ascii="Times New Roman" w:eastAsia="Times New Roman" w:hAnsi="Times New Roman" w:cs="Times New Roman"/>
          <w:sz w:val="24"/>
          <w:szCs w:val="24"/>
          <w:shd w:val="clear" w:color="auto" w:fill="FFFFFF"/>
          <w:lang w:eastAsia="en-IN"/>
        </w:rPr>
        <w:t xml:space="preserve">However the </w:t>
      </w:r>
      <w:r w:rsidR="00E07367" w:rsidRPr="00D1098C">
        <w:rPr>
          <w:rFonts w:ascii="Times New Roman" w:eastAsia="Times New Roman" w:hAnsi="Times New Roman" w:cs="Times New Roman"/>
          <w:sz w:val="24"/>
          <w:szCs w:val="24"/>
          <w:shd w:val="clear" w:color="auto" w:fill="FFFFFF"/>
          <w:lang w:eastAsia="en-IN"/>
        </w:rPr>
        <w:t>advantages of RAT are</w:t>
      </w:r>
      <w:r w:rsidR="00B362AA" w:rsidRPr="00D1098C">
        <w:rPr>
          <w:rFonts w:ascii="Times New Roman" w:eastAsia="Times New Roman" w:hAnsi="Times New Roman" w:cs="Times New Roman"/>
          <w:sz w:val="24"/>
          <w:szCs w:val="24"/>
          <w:shd w:val="clear" w:color="auto" w:fill="FFFFFF"/>
          <w:lang w:eastAsia="en-IN"/>
        </w:rPr>
        <w:t xml:space="preserve"> </w:t>
      </w:r>
      <w:r w:rsidRPr="00D1098C">
        <w:rPr>
          <w:rFonts w:ascii="Times New Roman" w:eastAsia="Times New Roman" w:hAnsi="Times New Roman" w:cs="Times New Roman"/>
          <w:sz w:val="24"/>
          <w:szCs w:val="24"/>
          <w:shd w:val="clear" w:color="auto" w:fill="FFFFFF"/>
          <w:lang w:eastAsia="en-IN"/>
        </w:rPr>
        <w:t>that that RT PCR machines require more complex logistic support and skilled manpower.</w:t>
      </w:r>
      <w:r w:rsidR="00B362AA" w:rsidRPr="00D1098C">
        <w:rPr>
          <w:rFonts w:ascii="Times New Roman" w:eastAsia="Times New Roman" w:hAnsi="Times New Roman" w:cs="Times New Roman"/>
          <w:sz w:val="24"/>
          <w:szCs w:val="24"/>
          <w:shd w:val="clear" w:color="auto" w:fill="FFFFFF"/>
          <w:lang w:eastAsia="en-IN"/>
        </w:rPr>
        <w:t xml:space="preserve"> The reported cost advantage of RATs during the initial period has since been negated, with the multiplicity of vendor options in RT-PCR and consequent competition driving down the RT-PCR costs while the prices of limited vendor RAT kits has not come down commensurately.</w:t>
      </w:r>
    </w:p>
    <w:p w:rsidR="00D1098C" w:rsidRDefault="00D1098C" w:rsidP="00490882">
      <w:pPr>
        <w:spacing w:line="360" w:lineRule="auto"/>
        <w:jc w:val="both"/>
        <w:rPr>
          <w:rFonts w:ascii="Times New Roman" w:hAnsi="Times New Roman" w:cs="Times New Roman"/>
          <w:b/>
          <w:color w:val="000000" w:themeColor="text1"/>
          <w:sz w:val="24"/>
          <w:szCs w:val="24"/>
          <w:lang w:val="en-US"/>
        </w:rPr>
      </w:pPr>
    </w:p>
    <w:p w:rsidR="00490882" w:rsidRPr="00D1098C" w:rsidRDefault="00490882" w:rsidP="00490882">
      <w:pPr>
        <w:spacing w:line="360" w:lineRule="auto"/>
        <w:jc w:val="both"/>
        <w:rPr>
          <w:rFonts w:ascii="Times New Roman" w:hAnsi="Times New Roman" w:cs="Times New Roman"/>
          <w:b/>
          <w:color w:val="000000" w:themeColor="text1"/>
          <w:sz w:val="24"/>
          <w:szCs w:val="24"/>
          <w:lang w:val="en-US"/>
        </w:rPr>
      </w:pPr>
      <w:r w:rsidRPr="00D1098C">
        <w:rPr>
          <w:rFonts w:ascii="Times New Roman" w:hAnsi="Times New Roman" w:cs="Times New Roman"/>
          <w:b/>
          <w:color w:val="000000" w:themeColor="text1"/>
          <w:sz w:val="24"/>
          <w:szCs w:val="24"/>
          <w:lang w:val="en-US"/>
        </w:rPr>
        <w:lastRenderedPageBreak/>
        <w:t xml:space="preserve">The development of testing capacity: </w:t>
      </w:r>
    </w:p>
    <w:p w:rsidR="00490882" w:rsidRPr="00D1098C" w:rsidRDefault="00490882" w:rsidP="00490882">
      <w:pPr>
        <w:spacing w:line="360" w:lineRule="auto"/>
        <w:jc w:val="both"/>
        <w:rPr>
          <w:rFonts w:ascii="Times New Roman" w:hAnsi="Times New Roman" w:cs="Times New Roman"/>
          <w:sz w:val="24"/>
          <w:szCs w:val="24"/>
        </w:rPr>
      </w:pPr>
      <w:r w:rsidRPr="00D1098C">
        <w:rPr>
          <w:rFonts w:ascii="Times New Roman" w:hAnsi="Times New Roman" w:cs="Times New Roman"/>
          <w:color w:val="000000" w:themeColor="text1"/>
          <w:sz w:val="24"/>
          <w:szCs w:val="24"/>
          <w:lang w:val="en-GB"/>
        </w:rPr>
        <w:t>In March 2020, as the pandemic reached the State, it had only one laboratory- with the capacity to test for COVID-19, the</w:t>
      </w:r>
      <w:r w:rsidRPr="00D1098C">
        <w:rPr>
          <w:rFonts w:ascii="Times New Roman" w:hAnsi="Times New Roman" w:cs="Times New Roman"/>
          <w:sz w:val="24"/>
          <w:szCs w:val="24"/>
        </w:rPr>
        <w:t xml:space="preserve"> </w:t>
      </w:r>
      <w:r w:rsidRPr="00D1098C">
        <w:rPr>
          <w:rFonts w:ascii="Times New Roman" w:eastAsia="Times New Roman" w:hAnsi="Times New Roman" w:cs="Times New Roman"/>
          <w:color w:val="000000"/>
          <w:sz w:val="24"/>
          <w:szCs w:val="24"/>
          <w:lang w:eastAsia="en-IN"/>
        </w:rPr>
        <w:t xml:space="preserve">Kings Institute of Preventive Medicine &amp; Research, Chennai, which was able to test about </w:t>
      </w:r>
      <w:r w:rsidRPr="00D1098C">
        <w:rPr>
          <w:rFonts w:ascii="Times New Roman" w:hAnsi="Times New Roman" w:cs="Times New Roman"/>
          <w:sz w:val="24"/>
          <w:szCs w:val="24"/>
        </w:rPr>
        <w:t xml:space="preserve">90 samples/day.  By April end, with the addition of more testing </w:t>
      </w:r>
      <w:r w:rsidR="005D278A" w:rsidRPr="00D1098C">
        <w:rPr>
          <w:rFonts w:ascii="Times New Roman" w:hAnsi="Times New Roman" w:cs="Times New Roman"/>
          <w:sz w:val="24"/>
          <w:szCs w:val="24"/>
        </w:rPr>
        <w:t>centres</w:t>
      </w:r>
      <w:r w:rsidRPr="00D1098C">
        <w:rPr>
          <w:rFonts w:ascii="Times New Roman" w:hAnsi="Times New Roman" w:cs="Times New Roman"/>
          <w:sz w:val="24"/>
          <w:szCs w:val="24"/>
        </w:rPr>
        <w:t xml:space="preserve">, the testing capacity reached around 4500 tests/day. In the next six </w:t>
      </w:r>
      <w:r w:rsidR="00CC427C" w:rsidRPr="00D1098C">
        <w:rPr>
          <w:rFonts w:ascii="Times New Roman" w:hAnsi="Times New Roman" w:cs="Times New Roman"/>
          <w:sz w:val="24"/>
          <w:szCs w:val="24"/>
        </w:rPr>
        <w:t xml:space="preserve">months, this capacity rose to </w:t>
      </w:r>
      <w:r w:rsidR="003F7305" w:rsidRPr="00D1098C">
        <w:rPr>
          <w:rFonts w:ascii="Times New Roman" w:hAnsi="Times New Roman" w:cs="Times New Roman"/>
          <w:sz w:val="24"/>
          <w:szCs w:val="24"/>
        </w:rPr>
        <w:t>220</w:t>
      </w:r>
      <w:r w:rsidRPr="00D1098C">
        <w:rPr>
          <w:rFonts w:ascii="Times New Roman" w:hAnsi="Times New Roman" w:cs="Times New Roman"/>
          <w:sz w:val="24"/>
          <w:szCs w:val="24"/>
        </w:rPr>
        <w:t xml:space="preserve"> </w:t>
      </w:r>
      <w:r w:rsidRPr="00D1098C">
        <w:rPr>
          <w:rFonts w:ascii="Times New Roman" w:eastAsia="Times New Roman" w:hAnsi="Times New Roman" w:cs="Times New Roman"/>
          <w:color w:val="000000"/>
          <w:sz w:val="24"/>
          <w:szCs w:val="24"/>
          <w:lang w:eastAsia="en-IN"/>
        </w:rPr>
        <w:t xml:space="preserve">testing </w:t>
      </w:r>
      <w:r w:rsidR="005D278A" w:rsidRPr="00D1098C">
        <w:rPr>
          <w:rFonts w:ascii="Times New Roman" w:eastAsia="Times New Roman" w:hAnsi="Times New Roman" w:cs="Times New Roman"/>
          <w:color w:val="000000"/>
          <w:sz w:val="24"/>
          <w:szCs w:val="24"/>
          <w:lang w:eastAsia="en-IN"/>
        </w:rPr>
        <w:t>centres</w:t>
      </w:r>
      <w:r w:rsidR="003F7305" w:rsidRPr="00D1098C">
        <w:rPr>
          <w:rFonts w:ascii="Times New Roman" w:eastAsia="Times New Roman" w:hAnsi="Times New Roman" w:cs="Times New Roman"/>
          <w:color w:val="000000"/>
          <w:sz w:val="24"/>
          <w:szCs w:val="24"/>
          <w:lang w:eastAsia="en-IN"/>
        </w:rPr>
        <w:t xml:space="preserve"> of which 67</w:t>
      </w:r>
      <w:r w:rsidRPr="00D1098C">
        <w:rPr>
          <w:rFonts w:ascii="Times New Roman" w:eastAsia="Times New Roman" w:hAnsi="Times New Roman" w:cs="Times New Roman"/>
          <w:color w:val="000000"/>
          <w:sz w:val="24"/>
          <w:szCs w:val="24"/>
          <w:lang w:eastAsia="en-IN"/>
        </w:rPr>
        <w:t xml:space="preserve"> were in the government sector and </w:t>
      </w:r>
      <w:r w:rsidR="003F7305" w:rsidRPr="00D1098C">
        <w:rPr>
          <w:rFonts w:ascii="Times New Roman" w:eastAsia="Times New Roman" w:hAnsi="Times New Roman" w:cs="Times New Roman"/>
          <w:color w:val="000000"/>
          <w:sz w:val="24"/>
          <w:szCs w:val="24"/>
          <w:lang w:eastAsia="en-IN"/>
        </w:rPr>
        <w:t>153</w:t>
      </w:r>
      <w:r w:rsidRPr="00D1098C">
        <w:rPr>
          <w:rFonts w:ascii="Times New Roman" w:eastAsia="Times New Roman" w:hAnsi="Times New Roman" w:cs="Times New Roman"/>
          <w:color w:val="000000"/>
          <w:sz w:val="24"/>
          <w:szCs w:val="24"/>
          <w:lang w:eastAsia="en-IN"/>
        </w:rPr>
        <w:t xml:space="preserve"> in the private sector</w:t>
      </w:r>
      <w:r w:rsidR="00CC427C" w:rsidRPr="00D1098C">
        <w:rPr>
          <w:rFonts w:ascii="Times New Roman" w:eastAsia="Times New Roman" w:hAnsi="Times New Roman" w:cs="Times New Roman"/>
          <w:color w:val="000000"/>
          <w:sz w:val="24"/>
          <w:szCs w:val="24"/>
          <w:lang w:eastAsia="en-IN"/>
        </w:rPr>
        <w:t xml:space="preserve"> </w:t>
      </w:r>
      <w:r w:rsidRPr="00D1098C">
        <w:rPr>
          <w:rFonts w:ascii="Times New Roman" w:eastAsia="Times New Roman" w:hAnsi="Times New Roman" w:cs="Times New Roman"/>
          <w:color w:val="000000"/>
          <w:sz w:val="24"/>
          <w:szCs w:val="24"/>
          <w:lang w:eastAsia="en-IN"/>
        </w:rPr>
        <w:t>-</w:t>
      </w:r>
      <w:r w:rsidR="00CC427C" w:rsidRPr="00D1098C">
        <w:rPr>
          <w:rFonts w:ascii="Times New Roman" w:eastAsia="Times New Roman" w:hAnsi="Times New Roman" w:cs="Times New Roman"/>
          <w:color w:val="000000"/>
          <w:sz w:val="24"/>
          <w:szCs w:val="24"/>
          <w:lang w:eastAsia="en-IN"/>
        </w:rPr>
        <w:t xml:space="preserve"> </w:t>
      </w:r>
      <w:r w:rsidRPr="00D1098C">
        <w:rPr>
          <w:rFonts w:ascii="Times New Roman" w:eastAsia="Times New Roman" w:hAnsi="Times New Roman" w:cs="Times New Roman"/>
          <w:color w:val="000000"/>
          <w:sz w:val="24"/>
          <w:szCs w:val="24"/>
          <w:lang w:eastAsia="en-IN"/>
        </w:rPr>
        <w:t>with all districts having at least one dedicated Government lab for RT PC</w:t>
      </w:r>
      <w:r w:rsidR="00B0396D" w:rsidRPr="00D1098C">
        <w:rPr>
          <w:rFonts w:ascii="Times New Roman" w:eastAsia="Times New Roman" w:hAnsi="Times New Roman" w:cs="Times New Roman"/>
          <w:color w:val="000000"/>
          <w:sz w:val="24"/>
          <w:szCs w:val="24"/>
          <w:lang w:eastAsia="en-IN"/>
        </w:rPr>
        <w:t>R testing (Table I and Figure 4</w:t>
      </w:r>
      <w:r w:rsidRPr="00D1098C">
        <w:rPr>
          <w:rFonts w:ascii="Times New Roman" w:eastAsia="Times New Roman" w:hAnsi="Times New Roman" w:cs="Times New Roman"/>
          <w:color w:val="000000"/>
          <w:sz w:val="24"/>
          <w:szCs w:val="24"/>
          <w:lang w:eastAsia="en-IN"/>
        </w:rPr>
        <w:t xml:space="preserve">). </w:t>
      </w:r>
      <w:r w:rsidRPr="00D1098C">
        <w:rPr>
          <w:rFonts w:ascii="Times New Roman" w:hAnsi="Times New Roman" w:cs="Times New Roman"/>
          <w:sz w:val="24"/>
          <w:szCs w:val="24"/>
        </w:rPr>
        <w:t xml:space="preserve"> </w:t>
      </w:r>
      <w:r w:rsidRPr="00D1098C">
        <w:rPr>
          <w:rFonts w:ascii="Times New Roman" w:eastAsia="Times New Roman" w:hAnsi="Times New Roman" w:cs="Times New Roman"/>
          <w:sz w:val="24"/>
          <w:szCs w:val="24"/>
          <w:lang w:eastAsia="en-IN"/>
        </w:rPr>
        <w:t xml:space="preserve">The daily capacity of testing is now </w:t>
      </w:r>
      <w:r w:rsidR="00CC427C" w:rsidRPr="00D1098C">
        <w:rPr>
          <w:rFonts w:ascii="Times New Roman" w:eastAsia="Times New Roman" w:hAnsi="Times New Roman" w:cs="Times New Roman"/>
          <w:sz w:val="24"/>
          <w:szCs w:val="24"/>
          <w:lang w:eastAsia="en-IN"/>
        </w:rPr>
        <w:t>almost 1 lakh</w:t>
      </w:r>
      <w:r w:rsidRPr="00D1098C">
        <w:rPr>
          <w:rFonts w:ascii="Times New Roman" w:eastAsia="Times New Roman" w:hAnsi="Times New Roman" w:cs="Times New Roman"/>
          <w:sz w:val="24"/>
          <w:szCs w:val="24"/>
          <w:lang w:eastAsia="en-IN"/>
        </w:rPr>
        <w:t xml:space="preserve"> </w:t>
      </w:r>
      <w:r w:rsidR="005D278A" w:rsidRPr="00D1098C">
        <w:rPr>
          <w:rFonts w:ascii="Times New Roman" w:eastAsia="Times New Roman" w:hAnsi="Times New Roman" w:cs="Times New Roman"/>
          <w:sz w:val="24"/>
          <w:szCs w:val="24"/>
          <w:lang w:eastAsia="en-IN"/>
        </w:rPr>
        <w:t xml:space="preserve">RT-PCR </w:t>
      </w:r>
      <w:r w:rsidRPr="00D1098C">
        <w:rPr>
          <w:rFonts w:ascii="Times New Roman" w:eastAsia="Times New Roman" w:hAnsi="Times New Roman" w:cs="Times New Roman"/>
          <w:sz w:val="24"/>
          <w:szCs w:val="24"/>
          <w:lang w:eastAsia="en-IN"/>
        </w:rPr>
        <w:t>tests per day</w:t>
      </w:r>
      <w:r w:rsidR="005D278A" w:rsidRPr="00D1098C">
        <w:rPr>
          <w:rFonts w:ascii="Times New Roman" w:eastAsia="Times New Roman" w:hAnsi="Times New Roman" w:cs="Times New Roman"/>
          <w:sz w:val="24"/>
          <w:szCs w:val="24"/>
          <w:lang w:eastAsia="en-IN"/>
        </w:rPr>
        <w:t xml:space="preserve"> in government institutions</w:t>
      </w:r>
      <w:r w:rsidRPr="00D1098C">
        <w:rPr>
          <w:rFonts w:ascii="Times New Roman" w:eastAsia="Times New Roman" w:hAnsi="Times New Roman" w:cs="Times New Roman"/>
          <w:sz w:val="24"/>
          <w:szCs w:val="24"/>
          <w:lang w:eastAsia="en-IN"/>
        </w:rPr>
        <w:t xml:space="preserve">, which is highest among all states. </w:t>
      </w:r>
      <w:r w:rsidRPr="00D1098C">
        <w:rPr>
          <w:rFonts w:ascii="Times New Roman" w:eastAsia="Times New Roman" w:hAnsi="Times New Roman" w:cs="Times New Roman"/>
          <w:color w:val="000000"/>
          <w:sz w:val="24"/>
          <w:szCs w:val="24"/>
          <w:lang w:eastAsia="en-IN"/>
        </w:rPr>
        <w:t xml:space="preserve"> Though the number of government testing laboratories is less than half the number in the private sector, over</w:t>
      </w:r>
      <w:r w:rsidR="00775BA3" w:rsidRPr="00D1098C">
        <w:rPr>
          <w:rFonts w:ascii="Times New Roman" w:eastAsia="Times New Roman" w:hAnsi="Times New Roman" w:cs="Times New Roman"/>
          <w:color w:val="000000"/>
          <w:sz w:val="24"/>
          <w:szCs w:val="24"/>
          <w:lang w:eastAsia="en-IN"/>
        </w:rPr>
        <w:t>all</w:t>
      </w:r>
      <w:r w:rsidRPr="00D1098C">
        <w:rPr>
          <w:rFonts w:ascii="Times New Roman" w:eastAsia="Times New Roman" w:hAnsi="Times New Roman" w:cs="Times New Roman"/>
          <w:color w:val="000000"/>
          <w:sz w:val="24"/>
          <w:szCs w:val="24"/>
          <w:lang w:eastAsia="en-IN"/>
        </w:rPr>
        <w:t xml:space="preserve"> </w:t>
      </w:r>
      <w:r w:rsidR="00775BA3" w:rsidRPr="00D1098C">
        <w:rPr>
          <w:rFonts w:ascii="Times New Roman" w:hAnsi="Times New Roman" w:cs="Times New Roman"/>
          <w:sz w:val="24"/>
          <w:szCs w:val="24"/>
        </w:rPr>
        <w:t>76</w:t>
      </w:r>
      <w:r w:rsidRPr="00D1098C">
        <w:rPr>
          <w:rFonts w:ascii="Times New Roman" w:hAnsi="Times New Roman" w:cs="Times New Roman"/>
          <w:sz w:val="24"/>
          <w:szCs w:val="24"/>
        </w:rPr>
        <w:t>% of the test load</w:t>
      </w:r>
      <w:r w:rsidR="003F7305" w:rsidRPr="00D1098C">
        <w:rPr>
          <w:rFonts w:ascii="Times New Roman" w:hAnsi="Times New Roman" w:cs="Times New Roman"/>
          <w:sz w:val="24"/>
          <w:szCs w:val="24"/>
        </w:rPr>
        <w:t xml:space="preserve"> </w:t>
      </w:r>
      <w:r w:rsidRPr="00D1098C">
        <w:rPr>
          <w:rFonts w:ascii="Times New Roman" w:hAnsi="Times New Roman" w:cs="Times New Roman"/>
          <w:sz w:val="24"/>
          <w:szCs w:val="24"/>
        </w:rPr>
        <w:t xml:space="preserve">in the State is done by the Govt. RT-PCR laboratories </w:t>
      </w:r>
      <w:r w:rsidR="00775BA3" w:rsidRPr="00D1098C">
        <w:rPr>
          <w:rFonts w:ascii="Times New Roman" w:hAnsi="Times New Roman" w:cs="Times New Roman"/>
          <w:sz w:val="24"/>
          <w:szCs w:val="24"/>
        </w:rPr>
        <w:t>and another 12% covered under Insurance scheme</w:t>
      </w:r>
      <w:r w:rsidR="00DE1B6B" w:rsidRPr="00D1098C">
        <w:rPr>
          <w:rFonts w:ascii="Times New Roman" w:hAnsi="Times New Roman" w:cs="Times New Roman"/>
          <w:sz w:val="24"/>
          <w:szCs w:val="24"/>
        </w:rPr>
        <w:t xml:space="preserve"> (in private labs)</w:t>
      </w:r>
      <w:r w:rsidR="00775BA3" w:rsidRPr="00D1098C">
        <w:rPr>
          <w:rFonts w:ascii="Times New Roman" w:hAnsi="Times New Roman" w:cs="Times New Roman"/>
          <w:sz w:val="24"/>
          <w:szCs w:val="24"/>
        </w:rPr>
        <w:t xml:space="preserve"> </w:t>
      </w:r>
      <w:r w:rsidRPr="00D1098C">
        <w:rPr>
          <w:rFonts w:ascii="Times New Roman" w:hAnsi="Times New Roman" w:cs="Times New Roman"/>
          <w:sz w:val="24"/>
          <w:szCs w:val="24"/>
        </w:rPr>
        <w:t>as per Government reports</w:t>
      </w:r>
      <w:r w:rsidR="003F7305" w:rsidRPr="00D1098C">
        <w:rPr>
          <w:rFonts w:ascii="Times New Roman" w:hAnsi="Times New Roman" w:cs="Times New Roman"/>
          <w:sz w:val="24"/>
          <w:szCs w:val="24"/>
        </w:rPr>
        <w:t xml:space="preserve"> (</w:t>
      </w:r>
      <w:r w:rsidR="003F7305" w:rsidRPr="00D1098C">
        <w:rPr>
          <w:rFonts w:ascii="Times New Roman" w:eastAsia="Times New Roman" w:hAnsi="Times New Roman" w:cs="Times New Roman"/>
          <w:color w:val="000000"/>
          <w:sz w:val="24"/>
          <w:szCs w:val="24"/>
          <w:lang w:eastAsia="en-IN"/>
        </w:rPr>
        <w:t>Figure 5</w:t>
      </w:r>
      <w:r w:rsidR="003F7305" w:rsidRPr="00D1098C">
        <w:rPr>
          <w:rFonts w:ascii="Times New Roman" w:hAnsi="Times New Roman" w:cs="Times New Roman"/>
          <w:sz w:val="24"/>
          <w:szCs w:val="24"/>
        </w:rPr>
        <w:t>)</w:t>
      </w:r>
      <w:r w:rsidRPr="00D1098C">
        <w:rPr>
          <w:rFonts w:ascii="Times New Roman" w:hAnsi="Times New Roman" w:cs="Times New Roman"/>
          <w:sz w:val="24"/>
          <w:szCs w:val="24"/>
        </w:rPr>
        <w:t xml:space="preserve">. This became possible because, Government Testing Laboratories were now functioning on a 24x7 basis with additional man power supported by the Government to meet the increased testing capacity  that was now required.  A total of around 550 laboratory technicians and 250 Lab Attendants were added on in this period. </w:t>
      </w:r>
    </w:p>
    <w:p w:rsidR="00490882" w:rsidRPr="00D1098C" w:rsidRDefault="00490882" w:rsidP="00490882">
      <w:pPr>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 xml:space="preserve">One major reason why utilization of government testing facilities was higher was because this tests, which costs about Rs 2500 per test in the regulated private sector, was made available free from all government hospitals. </w:t>
      </w:r>
    </w:p>
    <w:p w:rsidR="00490882" w:rsidRPr="00D1098C" w:rsidRDefault="00490882" w:rsidP="00490882">
      <w:pPr>
        <w:spacing w:after="0" w:line="360" w:lineRule="auto"/>
        <w:jc w:val="both"/>
        <w:rPr>
          <w:rFonts w:ascii="Times New Roman" w:hAnsi="Times New Roman" w:cs="Times New Roman"/>
          <w:b/>
          <w:bCs/>
          <w:lang w:val="en-GB"/>
        </w:rPr>
      </w:pPr>
      <w:r w:rsidRPr="00D1098C">
        <w:rPr>
          <w:rFonts w:ascii="Times New Roman" w:hAnsi="Times New Roman" w:cs="Times New Roman"/>
          <w:b/>
          <w:bCs/>
          <w:lang w:val="en-GB"/>
        </w:rPr>
        <w:t xml:space="preserve">Table I: </w:t>
      </w:r>
      <w:r w:rsidR="00CC427C" w:rsidRPr="00D1098C">
        <w:rPr>
          <w:rFonts w:ascii="Times New Roman" w:hAnsi="Times New Roman" w:cs="Times New Roman"/>
          <w:b/>
          <w:bCs/>
        </w:rPr>
        <w:t>District Wise Details of ICMR approved Labs in Tamil Nadu</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9"/>
        <w:gridCol w:w="385"/>
        <w:gridCol w:w="4429"/>
      </w:tblGrid>
      <w:tr w:rsidR="00CC427C" w:rsidRPr="00D1098C" w:rsidTr="00CC427C">
        <w:trPr>
          <w:trHeight w:val="144"/>
        </w:trPr>
        <w:tc>
          <w:tcPr>
            <w:tcW w:w="4429" w:type="dxa"/>
          </w:tcPr>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5"/>
              <w:gridCol w:w="1710"/>
              <w:gridCol w:w="652"/>
              <w:gridCol w:w="653"/>
              <w:gridCol w:w="698"/>
            </w:tblGrid>
            <w:tr w:rsidR="00CC427C" w:rsidRPr="00D1098C" w:rsidTr="00CC427C">
              <w:tc>
                <w:tcPr>
                  <w:tcW w:w="630" w:type="pct"/>
                  <w:shd w:val="clear" w:color="auto" w:fill="auto"/>
                  <w:tcMar>
                    <w:top w:w="72" w:type="dxa"/>
                    <w:left w:w="144" w:type="dxa"/>
                    <w:bottom w:w="72" w:type="dxa"/>
                    <w:right w:w="144" w:type="dxa"/>
                  </w:tcMar>
                  <w:vAlign w:val="center"/>
                  <w:hideMark/>
                </w:tcPr>
                <w:p w:rsidR="00CC427C" w:rsidRPr="00D1098C" w:rsidRDefault="00CC427C" w:rsidP="003D7814">
                  <w:pPr>
                    <w:spacing w:after="0"/>
                    <w:ind w:left="-59"/>
                    <w:jc w:val="center"/>
                    <w:rPr>
                      <w:rFonts w:ascii="Times New Roman" w:hAnsi="Times New Roman" w:cs="Times New Roman"/>
                      <w:sz w:val="20"/>
                      <w:szCs w:val="20"/>
                    </w:rPr>
                  </w:pPr>
                  <w:r w:rsidRPr="00D1098C">
                    <w:rPr>
                      <w:rFonts w:ascii="Times New Roman" w:hAnsi="Times New Roman" w:cs="Times New Roman"/>
                      <w:b/>
                      <w:bCs/>
                      <w:sz w:val="20"/>
                      <w:szCs w:val="20"/>
                    </w:rPr>
                    <w:t>S. No.</w:t>
                  </w:r>
                </w:p>
              </w:tc>
              <w:tc>
                <w:tcPr>
                  <w:tcW w:w="2013" w:type="pct"/>
                  <w:shd w:val="clear" w:color="auto" w:fill="auto"/>
                  <w:tcMar>
                    <w:top w:w="72" w:type="dxa"/>
                    <w:left w:w="144" w:type="dxa"/>
                    <w:bottom w:w="72" w:type="dxa"/>
                    <w:right w:w="144" w:type="dxa"/>
                  </w:tcMar>
                  <w:vAlign w:val="center"/>
                  <w:hideMark/>
                </w:tcPr>
                <w:p w:rsidR="00CC427C" w:rsidRPr="00D1098C" w:rsidRDefault="00CC427C" w:rsidP="003D7814">
                  <w:pPr>
                    <w:spacing w:after="0"/>
                    <w:jc w:val="center"/>
                    <w:rPr>
                      <w:rFonts w:ascii="Times New Roman" w:hAnsi="Times New Roman" w:cs="Times New Roman"/>
                      <w:sz w:val="20"/>
                      <w:szCs w:val="20"/>
                    </w:rPr>
                  </w:pPr>
                  <w:r w:rsidRPr="00D1098C">
                    <w:rPr>
                      <w:rFonts w:ascii="Times New Roman" w:hAnsi="Times New Roman" w:cs="Times New Roman"/>
                      <w:b/>
                      <w:bCs/>
                      <w:sz w:val="20"/>
                      <w:szCs w:val="20"/>
                    </w:rPr>
                    <w:t>District</w:t>
                  </w:r>
                </w:p>
              </w:tc>
              <w:tc>
                <w:tcPr>
                  <w:tcW w:w="767" w:type="pct"/>
                  <w:shd w:val="clear" w:color="auto" w:fill="auto"/>
                  <w:tcMar>
                    <w:top w:w="72" w:type="dxa"/>
                    <w:left w:w="144" w:type="dxa"/>
                    <w:bottom w:w="72" w:type="dxa"/>
                    <w:right w:w="144" w:type="dxa"/>
                  </w:tcMar>
                  <w:vAlign w:val="center"/>
                  <w:hideMark/>
                </w:tcPr>
                <w:p w:rsidR="00CC427C" w:rsidRPr="00D1098C" w:rsidRDefault="00CC427C" w:rsidP="003D7814">
                  <w:pPr>
                    <w:spacing w:after="0"/>
                    <w:jc w:val="center"/>
                    <w:rPr>
                      <w:rFonts w:ascii="Times New Roman" w:hAnsi="Times New Roman" w:cs="Times New Roman"/>
                      <w:sz w:val="20"/>
                      <w:szCs w:val="20"/>
                    </w:rPr>
                  </w:pPr>
                  <w:r w:rsidRPr="00D1098C">
                    <w:rPr>
                      <w:rFonts w:ascii="Times New Roman" w:hAnsi="Times New Roman" w:cs="Times New Roman"/>
                      <w:b/>
                      <w:bCs/>
                      <w:sz w:val="20"/>
                      <w:szCs w:val="20"/>
                    </w:rPr>
                    <w:t>Govt</w:t>
                  </w:r>
                </w:p>
              </w:tc>
              <w:tc>
                <w:tcPr>
                  <w:tcW w:w="769" w:type="pct"/>
                  <w:shd w:val="clear" w:color="auto" w:fill="auto"/>
                  <w:tcMar>
                    <w:top w:w="72" w:type="dxa"/>
                    <w:left w:w="144" w:type="dxa"/>
                    <w:bottom w:w="72" w:type="dxa"/>
                    <w:right w:w="144" w:type="dxa"/>
                  </w:tcMar>
                  <w:vAlign w:val="center"/>
                  <w:hideMark/>
                </w:tcPr>
                <w:p w:rsidR="00CC427C" w:rsidRPr="00D1098C" w:rsidRDefault="00CC427C" w:rsidP="003D7814">
                  <w:pPr>
                    <w:spacing w:after="0"/>
                    <w:jc w:val="center"/>
                    <w:rPr>
                      <w:rFonts w:ascii="Times New Roman" w:hAnsi="Times New Roman" w:cs="Times New Roman"/>
                      <w:sz w:val="20"/>
                      <w:szCs w:val="20"/>
                    </w:rPr>
                  </w:pPr>
                  <w:r w:rsidRPr="00D1098C">
                    <w:rPr>
                      <w:rFonts w:ascii="Times New Roman" w:hAnsi="Times New Roman" w:cs="Times New Roman"/>
                      <w:b/>
                      <w:bCs/>
                      <w:sz w:val="20"/>
                      <w:szCs w:val="20"/>
                    </w:rPr>
                    <w:t>Pvt.</w:t>
                  </w:r>
                </w:p>
              </w:tc>
              <w:tc>
                <w:tcPr>
                  <w:tcW w:w="822" w:type="pct"/>
                  <w:shd w:val="clear" w:color="auto" w:fill="auto"/>
                  <w:tcMar>
                    <w:top w:w="72" w:type="dxa"/>
                    <w:left w:w="144" w:type="dxa"/>
                    <w:bottom w:w="72" w:type="dxa"/>
                    <w:right w:w="144" w:type="dxa"/>
                  </w:tcMar>
                  <w:vAlign w:val="center"/>
                  <w:hideMark/>
                </w:tcPr>
                <w:p w:rsidR="00CC427C" w:rsidRPr="00D1098C" w:rsidRDefault="00CC427C" w:rsidP="003D7814">
                  <w:pPr>
                    <w:spacing w:after="0"/>
                    <w:jc w:val="center"/>
                    <w:rPr>
                      <w:rFonts w:ascii="Times New Roman" w:hAnsi="Times New Roman" w:cs="Times New Roman"/>
                      <w:sz w:val="20"/>
                      <w:szCs w:val="20"/>
                    </w:rPr>
                  </w:pPr>
                  <w:r w:rsidRPr="00D1098C">
                    <w:rPr>
                      <w:rFonts w:ascii="Times New Roman" w:hAnsi="Times New Roman" w:cs="Times New Roman"/>
                      <w:b/>
                      <w:bCs/>
                      <w:sz w:val="20"/>
                      <w:szCs w:val="20"/>
                    </w:rPr>
                    <w:t>Total</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Ariyalur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0 </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Chengalpattu</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13</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15</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3</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Chennai</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13</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42</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55</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4</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Coimbatore</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16</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18</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5</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Cuddalore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0 </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6</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Dharampuri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7</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Dindigul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8</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Erode</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9</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Kallakurichi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10</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Kancheepuram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7</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8</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11</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Kanyakumari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12</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Karur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13</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Krishnagiri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14</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Madurai</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14</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16</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15</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Nagapattinam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16</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Namakkal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6</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lastRenderedPageBreak/>
                    <w:t>17</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Perambalur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r>
            <w:tr w:rsidR="00617C36" w:rsidRPr="00D1098C" w:rsidTr="00CC427C">
              <w:tc>
                <w:tcPr>
                  <w:tcW w:w="630"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18</w:t>
                  </w:r>
                </w:p>
              </w:tc>
              <w:tc>
                <w:tcPr>
                  <w:tcW w:w="2013"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Pudukottai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9"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822"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r>
            <w:tr w:rsidR="00617C36" w:rsidRPr="00D1098C" w:rsidTr="00CC427C">
              <w:tc>
                <w:tcPr>
                  <w:tcW w:w="630" w:type="pct"/>
                  <w:shd w:val="clear" w:color="auto" w:fill="auto"/>
                  <w:tcMar>
                    <w:top w:w="20" w:type="dxa"/>
                    <w:left w:w="20" w:type="dxa"/>
                    <w:bottom w:w="0" w:type="dxa"/>
                    <w:right w:w="20" w:type="dxa"/>
                  </w:tcMar>
                  <w:vAlign w:val="center"/>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19</w:t>
                  </w:r>
                </w:p>
              </w:tc>
              <w:tc>
                <w:tcPr>
                  <w:tcW w:w="2013" w:type="pct"/>
                  <w:shd w:val="clear" w:color="auto" w:fill="auto"/>
                  <w:tcMar>
                    <w:top w:w="15" w:type="dxa"/>
                    <w:left w:w="15" w:type="dxa"/>
                    <w:bottom w:w="0" w:type="dxa"/>
                    <w:right w:w="15" w:type="dxa"/>
                  </w:tcMar>
                  <w:vAlign w:val="center"/>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Ramanathapuram </w:t>
                  </w:r>
                </w:p>
              </w:tc>
              <w:tc>
                <w:tcPr>
                  <w:tcW w:w="767" w:type="pct"/>
                  <w:shd w:val="clear" w:color="auto" w:fill="auto"/>
                  <w:tcMar>
                    <w:top w:w="20" w:type="dxa"/>
                    <w:left w:w="20" w:type="dxa"/>
                    <w:bottom w:w="0" w:type="dxa"/>
                    <w:right w:w="20" w:type="dxa"/>
                  </w:tcMar>
                  <w:vAlign w:val="bottom"/>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9" w:type="pct"/>
                  <w:shd w:val="clear" w:color="auto" w:fill="auto"/>
                  <w:tcMar>
                    <w:top w:w="20" w:type="dxa"/>
                    <w:left w:w="20" w:type="dxa"/>
                    <w:bottom w:w="0" w:type="dxa"/>
                    <w:right w:w="20" w:type="dxa"/>
                  </w:tcMar>
                  <w:vAlign w:val="bottom"/>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0 </w:t>
                  </w:r>
                </w:p>
              </w:tc>
              <w:tc>
                <w:tcPr>
                  <w:tcW w:w="822" w:type="pct"/>
                  <w:shd w:val="clear" w:color="auto" w:fill="auto"/>
                  <w:tcMar>
                    <w:top w:w="20" w:type="dxa"/>
                    <w:left w:w="20" w:type="dxa"/>
                    <w:bottom w:w="0" w:type="dxa"/>
                    <w:right w:w="20" w:type="dxa"/>
                  </w:tcMar>
                  <w:vAlign w:val="bottom"/>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r>
          </w:tbl>
          <w:p w:rsidR="00CC427C" w:rsidRPr="00D1098C" w:rsidRDefault="00CC427C" w:rsidP="003D7814">
            <w:pPr>
              <w:rPr>
                <w:rFonts w:ascii="Times New Roman" w:hAnsi="Times New Roman" w:cs="Times New Roman"/>
                <w:sz w:val="20"/>
                <w:szCs w:val="20"/>
              </w:rPr>
            </w:pPr>
          </w:p>
        </w:tc>
        <w:tc>
          <w:tcPr>
            <w:tcW w:w="385" w:type="dxa"/>
          </w:tcPr>
          <w:p w:rsidR="00CC427C" w:rsidRPr="00D1098C" w:rsidRDefault="00CC427C" w:rsidP="003D7814">
            <w:pPr>
              <w:rPr>
                <w:rFonts w:ascii="Times New Roman" w:hAnsi="Times New Roman" w:cs="Times New Roman"/>
                <w:sz w:val="20"/>
                <w:szCs w:val="20"/>
              </w:rPr>
            </w:pPr>
          </w:p>
        </w:tc>
        <w:tc>
          <w:tcPr>
            <w:tcW w:w="4429" w:type="dxa"/>
          </w:tcPr>
          <w:tbl>
            <w:tblPr>
              <w:tblW w:w="4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5"/>
              <w:gridCol w:w="1710"/>
              <w:gridCol w:w="652"/>
              <w:gridCol w:w="653"/>
              <w:gridCol w:w="703"/>
            </w:tblGrid>
            <w:tr w:rsidR="00CC427C" w:rsidRPr="00D1098C" w:rsidTr="00CC427C">
              <w:tc>
                <w:tcPr>
                  <w:tcW w:w="629" w:type="pct"/>
                  <w:shd w:val="clear" w:color="auto" w:fill="auto"/>
                  <w:tcMar>
                    <w:top w:w="72" w:type="dxa"/>
                    <w:left w:w="144" w:type="dxa"/>
                    <w:bottom w:w="72" w:type="dxa"/>
                    <w:right w:w="144" w:type="dxa"/>
                  </w:tcMar>
                  <w:vAlign w:val="center"/>
                  <w:hideMark/>
                </w:tcPr>
                <w:p w:rsidR="00CC427C" w:rsidRPr="00D1098C" w:rsidRDefault="00CC427C" w:rsidP="003D7814">
                  <w:pPr>
                    <w:spacing w:after="0"/>
                    <w:ind w:left="-59"/>
                    <w:jc w:val="center"/>
                    <w:rPr>
                      <w:rFonts w:ascii="Times New Roman" w:hAnsi="Times New Roman" w:cs="Times New Roman"/>
                      <w:sz w:val="20"/>
                      <w:szCs w:val="20"/>
                    </w:rPr>
                  </w:pPr>
                  <w:r w:rsidRPr="00D1098C">
                    <w:rPr>
                      <w:rFonts w:ascii="Times New Roman" w:hAnsi="Times New Roman" w:cs="Times New Roman"/>
                      <w:b/>
                      <w:bCs/>
                      <w:sz w:val="20"/>
                      <w:szCs w:val="20"/>
                    </w:rPr>
                    <w:t>S. No.</w:t>
                  </w:r>
                </w:p>
              </w:tc>
              <w:tc>
                <w:tcPr>
                  <w:tcW w:w="2010" w:type="pct"/>
                  <w:shd w:val="clear" w:color="auto" w:fill="auto"/>
                  <w:tcMar>
                    <w:top w:w="72" w:type="dxa"/>
                    <w:left w:w="144" w:type="dxa"/>
                    <w:bottom w:w="72" w:type="dxa"/>
                    <w:right w:w="144" w:type="dxa"/>
                  </w:tcMar>
                  <w:vAlign w:val="center"/>
                  <w:hideMark/>
                </w:tcPr>
                <w:p w:rsidR="00CC427C" w:rsidRPr="00D1098C" w:rsidRDefault="00CC427C" w:rsidP="003D7814">
                  <w:pPr>
                    <w:spacing w:after="0"/>
                    <w:jc w:val="center"/>
                    <w:rPr>
                      <w:rFonts w:ascii="Times New Roman" w:hAnsi="Times New Roman" w:cs="Times New Roman"/>
                      <w:sz w:val="20"/>
                      <w:szCs w:val="20"/>
                    </w:rPr>
                  </w:pPr>
                  <w:r w:rsidRPr="00D1098C">
                    <w:rPr>
                      <w:rFonts w:ascii="Times New Roman" w:hAnsi="Times New Roman" w:cs="Times New Roman"/>
                      <w:b/>
                      <w:bCs/>
                      <w:sz w:val="20"/>
                      <w:szCs w:val="20"/>
                    </w:rPr>
                    <w:t>District</w:t>
                  </w:r>
                </w:p>
              </w:tc>
              <w:tc>
                <w:tcPr>
                  <w:tcW w:w="767" w:type="pct"/>
                  <w:shd w:val="clear" w:color="auto" w:fill="auto"/>
                  <w:tcMar>
                    <w:top w:w="72" w:type="dxa"/>
                    <w:left w:w="144" w:type="dxa"/>
                    <w:bottom w:w="72" w:type="dxa"/>
                    <w:right w:w="144" w:type="dxa"/>
                  </w:tcMar>
                  <w:vAlign w:val="center"/>
                  <w:hideMark/>
                </w:tcPr>
                <w:p w:rsidR="00CC427C" w:rsidRPr="00D1098C" w:rsidRDefault="00CC427C" w:rsidP="003D7814">
                  <w:pPr>
                    <w:spacing w:after="0"/>
                    <w:jc w:val="center"/>
                    <w:rPr>
                      <w:rFonts w:ascii="Times New Roman" w:hAnsi="Times New Roman" w:cs="Times New Roman"/>
                      <w:sz w:val="20"/>
                      <w:szCs w:val="20"/>
                    </w:rPr>
                  </w:pPr>
                  <w:r w:rsidRPr="00D1098C">
                    <w:rPr>
                      <w:rFonts w:ascii="Times New Roman" w:hAnsi="Times New Roman" w:cs="Times New Roman"/>
                      <w:b/>
                      <w:bCs/>
                      <w:sz w:val="20"/>
                      <w:szCs w:val="20"/>
                    </w:rPr>
                    <w:t>Govt</w:t>
                  </w:r>
                </w:p>
              </w:tc>
              <w:tc>
                <w:tcPr>
                  <w:tcW w:w="768" w:type="pct"/>
                  <w:shd w:val="clear" w:color="auto" w:fill="auto"/>
                  <w:tcMar>
                    <w:top w:w="72" w:type="dxa"/>
                    <w:left w:w="144" w:type="dxa"/>
                    <w:bottom w:w="72" w:type="dxa"/>
                    <w:right w:w="144" w:type="dxa"/>
                  </w:tcMar>
                  <w:vAlign w:val="center"/>
                  <w:hideMark/>
                </w:tcPr>
                <w:p w:rsidR="00CC427C" w:rsidRPr="00D1098C" w:rsidRDefault="00CC427C" w:rsidP="003D7814">
                  <w:pPr>
                    <w:spacing w:after="0"/>
                    <w:jc w:val="center"/>
                    <w:rPr>
                      <w:rFonts w:ascii="Times New Roman" w:hAnsi="Times New Roman" w:cs="Times New Roman"/>
                      <w:sz w:val="20"/>
                      <w:szCs w:val="20"/>
                    </w:rPr>
                  </w:pPr>
                  <w:r w:rsidRPr="00D1098C">
                    <w:rPr>
                      <w:rFonts w:ascii="Times New Roman" w:hAnsi="Times New Roman" w:cs="Times New Roman"/>
                      <w:b/>
                      <w:bCs/>
                      <w:sz w:val="20"/>
                      <w:szCs w:val="20"/>
                    </w:rPr>
                    <w:t>Pvt.</w:t>
                  </w:r>
                </w:p>
              </w:tc>
              <w:tc>
                <w:tcPr>
                  <w:tcW w:w="826" w:type="pct"/>
                  <w:shd w:val="clear" w:color="auto" w:fill="auto"/>
                  <w:tcMar>
                    <w:top w:w="72" w:type="dxa"/>
                    <w:left w:w="144" w:type="dxa"/>
                    <w:bottom w:w="72" w:type="dxa"/>
                    <w:right w:w="144" w:type="dxa"/>
                  </w:tcMar>
                  <w:vAlign w:val="center"/>
                  <w:hideMark/>
                </w:tcPr>
                <w:p w:rsidR="00CC427C" w:rsidRPr="00D1098C" w:rsidRDefault="00CC427C" w:rsidP="003D7814">
                  <w:pPr>
                    <w:spacing w:after="0"/>
                    <w:jc w:val="center"/>
                    <w:rPr>
                      <w:rFonts w:ascii="Times New Roman" w:hAnsi="Times New Roman" w:cs="Times New Roman"/>
                      <w:sz w:val="20"/>
                      <w:szCs w:val="20"/>
                    </w:rPr>
                  </w:pPr>
                  <w:r w:rsidRPr="00D1098C">
                    <w:rPr>
                      <w:rFonts w:ascii="Times New Roman" w:hAnsi="Times New Roman" w:cs="Times New Roman"/>
                      <w:b/>
                      <w:bCs/>
                      <w:sz w:val="20"/>
                      <w:szCs w:val="20"/>
                    </w:rPr>
                    <w:t>Total</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20</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Ranipet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21</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Salem</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11</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14</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22</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Sivagangai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23</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Tenkasi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24</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Thanjavur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5</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25</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The Nilgris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26</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Theni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27</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Thirupathur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28</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Thiruppur</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29</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Thiruvallur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5</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30</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Thiruvannamalai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31</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Thiruvarur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32</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Thoothukudi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33</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Tirunelveli </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5</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6</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34</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Trichy</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10</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11</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35</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Vellore</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3</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4</w:t>
                  </w:r>
                </w:p>
              </w:tc>
            </w:tr>
            <w:tr w:rsidR="00617C36" w:rsidRPr="00D1098C" w:rsidTr="00CC427C">
              <w:tc>
                <w:tcPr>
                  <w:tcW w:w="629" w:type="pct"/>
                  <w:shd w:val="clear" w:color="auto" w:fill="auto"/>
                  <w:tcMar>
                    <w:top w:w="20" w:type="dxa"/>
                    <w:left w:w="20" w:type="dxa"/>
                    <w:bottom w:w="0" w:type="dxa"/>
                    <w:right w:w="20" w:type="dxa"/>
                  </w:tcMar>
                  <w:vAlign w:val="center"/>
                  <w:hideMark/>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lastRenderedPageBreak/>
                    <w:t>36</w:t>
                  </w:r>
                </w:p>
              </w:tc>
              <w:tc>
                <w:tcPr>
                  <w:tcW w:w="2010" w:type="pct"/>
                  <w:shd w:val="clear" w:color="auto" w:fill="auto"/>
                  <w:tcMar>
                    <w:top w:w="15" w:type="dxa"/>
                    <w:left w:w="15" w:type="dxa"/>
                    <w:bottom w:w="0" w:type="dxa"/>
                    <w:right w:w="15" w:type="dxa"/>
                  </w:tcMar>
                  <w:vAlign w:val="center"/>
                  <w:hideMark/>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Villupuram</w:t>
                  </w:r>
                </w:p>
              </w:tc>
              <w:tc>
                <w:tcPr>
                  <w:tcW w:w="767"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c>
                <w:tcPr>
                  <w:tcW w:w="768"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 0</w:t>
                  </w:r>
                </w:p>
              </w:tc>
              <w:tc>
                <w:tcPr>
                  <w:tcW w:w="826" w:type="pct"/>
                  <w:shd w:val="clear" w:color="auto" w:fill="auto"/>
                  <w:tcMar>
                    <w:top w:w="20" w:type="dxa"/>
                    <w:left w:w="20" w:type="dxa"/>
                    <w:bottom w:w="0" w:type="dxa"/>
                    <w:right w:w="20" w:type="dxa"/>
                  </w:tcMar>
                  <w:vAlign w:val="bottom"/>
                  <w:hideMark/>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r>
            <w:tr w:rsidR="00617C36" w:rsidRPr="00D1098C" w:rsidTr="00CC427C">
              <w:tc>
                <w:tcPr>
                  <w:tcW w:w="629" w:type="pct"/>
                  <w:shd w:val="clear" w:color="auto" w:fill="auto"/>
                  <w:tcMar>
                    <w:top w:w="20" w:type="dxa"/>
                    <w:left w:w="20" w:type="dxa"/>
                    <w:bottom w:w="0" w:type="dxa"/>
                    <w:right w:w="20" w:type="dxa"/>
                  </w:tcMar>
                  <w:vAlign w:val="center"/>
                </w:tcPr>
                <w:p w:rsidR="00617C36" w:rsidRPr="00D1098C" w:rsidRDefault="00617C36" w:rsidP="003D7814">
                  <w:pPr>
                    <w:spacing w:after="0"/>
                    <w:jc w:val="center"/>
                    <w:rPr>
                      <w:rFonts w:ascii="Times New Roman" w:hAnsi="Times New Roman" w:cs="Times New Roman"/>
                      <w:sz w:val="20"/>
                      <w:szCs w:val="20"/>
                    </w:rPr>
                  </w:pPr>
                  <w:r w:rsidRPr="00D1098C">
                    <w:rPr>
                      <w:rFonts w:ascii="Times New Roman" w:hAnsi="Times New Roman" w:cs="Times New Roman"/>
                      <w:sz w:val="20"/>
                      <w:szCs w:val="20"/>
                    </w:rPr>
                    <w:t>37</w:t>
                  </w:r>
                </w:p>
              </w:tc>
              <w:tc>
                <w:tcPr>
                  <w:tcW w:w="2010" w:type="pct"/>
                  <w:shd w:val="clear" w:color="auto" w:fill="auto"/>
                  <w:tcMar>
                    <w:top w:w="15" w:type="dxa"/>
                    <w:left w:w="15" w:type="dxa"/>
                    <w:bottom w:w="0" w:type="dxa"/>
                    <w:right w:w="15" w:type="dxa"/>
                  </w:tcMar>
                  <w:vAlign w:val="center"/>
                </w:tcPr>
                <w:p w:rsidR="00617C36" w:rsidRPr="00D1098C" w:rsidRDefault="00617C36" w:rsidP="003D7814">
                  <w:pPr>
                    <w:spacing w:after="0"/>
                    <w:rPr>
                      <w:rFonts w:ascii="Times New Roman" w:hAnsi="Times New Roman" w:cs="Times New Roman"/>
                      <w:sz w:val="20"/>
                      <w:szCs w:val="20"/>
                    </w:rPr>
                  </w:pPr>
                  <w:r w:rsidRPr="00D1098C">
                    <w:rPr>
                      <w:rFonts w:ascii="Times New Roman" w:hAnsi="Times New Roman" w:cs="Times New Roman"/>
                      <w:sz w:val="20"/>
                      <w:szCs w:val="20"/>
                    </w:rPr>
                    <w:t xml:space="preserve">Virudhunagar </w:t>
                  </w:r>
                </w:p>
              </w:tc>
              <w:tc>
                <w:tcPr>
                  <w:tcW w:w="767" w:type="pct"/>
                  <w:shd w:val="clear" w:color="auto" w:fill="auto"/>
                  <w:tcMar>
                    <w:top w:w="20" w:type="dxa"/>
                    <w:left w:w="20" w:type="dxa"/>
                    <w:bottom w:w="0" w:type="dxa"/>
                    <w:right w:w="20" w:type="dxa"/>
                  </w:tcMar>
                  <w:vAlign w:val="bottom"/>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768" w:type="pct"/>
                  <w:shd w:val="clear" w:color="auto" w:fill="auto"/>
                  <w:tcMar>
                    <w:top w:w="20" w:type="dxa"/>
                    <w:left w:w="20" w:type="dxa"/>
                    <w:bottom w:w="0" w:type="dxa"/>
                    <w:right w:w="20" w:type="dxa"/>
                  </w:tcMar>
                  <w:vAlign w:val="bottom"/>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1</w:t>
                  </w:r>
                </w:p>
              </w:tc>
              <w:tc>
                <w:tcPr>
                  <w:tcW w:w="826" w:type="pct"/>
                  <w:shd w:val="clear" w:color="auto" w:fill="auto"/>
                  <w:tcMar>
                    <w:top w:w="20" w:type="dxa"/>
                    <w:left w:w="20" w:type="dxa"/>
                    <w:bottom w:w="0" w:type="dxa"/>
                    <w:right w:w="20" w:type="dxa"/>
                  </w:tcMar>
                  <w:vAlign w:val="bottom"/>
                </w:tcPr>
                <w:p w:rsidR="00617C36" w:rsidRPr="00D1098C" w:rsidRDefault="00617C36">
                  <w:pPr>
                    <w:pStyle w:val="NormalWeb"/>
                    <w:spacing w:before="0" w:beforeAutospacing="0" w:after="0" w:afterAutospacing="0"/>
                    <w:jc w:val="center"/>
                    <w:textAlignment w:val="bottom"/>
                    <w:rPr>
                      <w:sz w:val="20"/>
                      <w:szCs w:val="20"/>
                    </w:rPr>
                  </w:pPr>
                  <w:r w:rsidRPr="00D1098C">
                    <w:rPr>
                      <w:rFonts w:eastAsiaTheme="minorEastAsia"/>
                      <w:color w:val="000000"/>
                      <w:kern w:val="24"/>
                      <w:sz w:val="20"/>
                      <w:szCs w:val="20"/>
                    </w:rPr>
                    <w:t>2</w:t>
                  </w:r>
                </w:p>
              </w:tc>
            </w:tr>
            <w:tr w:rsidR="00CC427C" w:rsidRPr="00D1098C" w:rsidTr="00CC427C">
              <w:tc>
                <w:tcPr>
                  <w:tcW w:w="629" w:type="pct"/>
                  <w:shd w:val="clear" w:color="auto" w:fill="auto"/>
                  <w:tcMar>
                    <w:top w:w="20" w:type="dxa"/>
                    <w:left w:w="20" w:type="dxa"/>
                    <w:bottom w:w="0" w:type="dxa"/>
                    <w:right w:w="20" w:type="dxa"/>
                  </w:tcMar>
                  <w:vAlign w:val="center"/>
                </w:tcPr>
                <w:p w:rsidR="00CC427C" w:rsidRPr="00D1098C" w:rsidRDefault="00CC427C" w:rsidP="003D7814">
                  <w:pPr>
                    <w:spacing w:after="0"/>
                    <w:jc w:val="center"/>
                    <w:rPr>
                      <w:rFonts w:ascii="Times New Roman" w:hAnsi="Times New Roman" w:cs="Times New Roman"/>
                      <w:sz w:val="20"/>
                      <w:szCs w:val="20"/>
                    </w:rPr>
                  </w:pPr>
                </w:p>
              </w:tc>
              <w:tc>
                <w:tcPr>
                  <w:tcW w:w="2010" w:type="pct"/>
                  <w:shd w:val="clear" w:color="auto" w:fill="auto"/>
                  <w:tcMar>
                    <w:top w:w="15" w:type="dxa"/>
                    <w:left w:w="15" w:type="dxa"/>
                    <w:bottom w:w="0" w:type="dxa"/>
                    <w:right w:w="15" w:type="dxa"/>
                  </w:tcMar>
                  <w:vAlign w:val="center"/>
                </w:tcPr>
                <w:p w:rsidR="00CC427C" w:rsidRPr="00D1098C" w:rsidRDefault="00CC427C" w:rsidP="003D7814">
                  <w:pPr>
                    <w:spacing w:after="0"/>
                    <w:jc w:val="center"/>
                    <w:rPr>
                      <w:rFonts w:ascii="Times New Roman" w:hAnsi="Times New Roman" w:cs="Times New Roman"/>
                      <w:b/>
                      <w:sz w:val="20"/>
                      <w:szCs w:val="20"/>
                    </w:rPr>
                  </w:pPr>
                  <w:r w:rsidRPr="00D1098C">
                    <w:rPr>
                      <w:rFonts w:ascii="Times New Roman" w:hAnsi="Times New Roman" w:cs="Times New Roman"/>
                      <w:b/>
                      <w:sz w:val="20"/>
                      <w:szCs w:val="20"/>
                    </w:rPr>
                    <w:t>Total</w:t>
                  </w:r>
                </w:p>
              </w:tc>
              <w:tc>
                <w:tcPr>
                  <w:tcW w:w="767" w:type="pct"/>
                  <w:shd w:val="clear" w:color="auto" w:fill="auto"/>
                  <w:tcMar>
                    <w:top w:w="20" w:type="dxa"/>
                    <w:left w:w="20" w:type="dxa"/>
                    <w:bottom w:w="0" w:type="dxa"/>
                    <w:right w:w="20" w:type="dxa"/>
                  </w:tcMar>
                  <w:vAlign w:val="bottom"/>
                </w:tcPr>
                <w:p w:rsidR="00CC427C" w:rsidRPr="00D1098C" w:rsidRDefault="00617C36" w:rsidP="003D7814">
                  <w:pPr>
                    <w:spacing w:after="0"/>
                    <w:jc w:val="center"/>
                    <w:rPr>
                      <w:rFonts w:ascii="Times New Roman" w:hAnsi="Times New Roman" w:cs="Times New Roman"/>
                      <w:b/>
                      <w:sz w:val="20"/>
                      <w:szCs w:val="20"/>
                    </w:rPr>
                  </w:pPr>
                  <w:r w:rsidRPr="00D1098C">
                    <w:rPr>
                      <w:rFonts w:ascii="Times New Roman" w:hAnsi="Times New Roman" w:cs="Times New Roman"/>
                      <w:b/>
                      <w:sz w:val="20"/>
                      <w:szCs w:val="20"/>
                    </w:rPr>
                    <w:t>67</w:t>
                  </w:r>
                </w:p>
              </w:tc>
              <w:tc>
                <w:tcPr>
                  <w:tcW w:w="768" w:type="pct"/>
                  <w:shd w:val="clear" w:color="auto" w:fill="auto"/>
                  <w:tcMar>
                    <w:top w:w="20" w:type="dxa"/>
                    <w:left w:w="20" w:type="dxa"/>
                    <w:bottom w:w="0" w:type="dxa"/>
                    <w:right w:w="20" w:type="dxa"/>
                  </w:tcMar>
                  <w:vAlign w:val="bottom"/>
                </w:tcPr>
                <w:p w:rsidR="00CC427C" w:rsidRPr="00D1098C" w:rsidRDefault="00CC427C" w:rsidP="00617C36">
                  <w:pPr>
                    <w:spacing w:after="0"/>
                    <w:jc w:val="center"/>
                    <w:rPr>
                      <w:rFonts w:ascii="Times New Roman" w:hAnsi="Times New Roman" w:cs="Times New Roman"/>
                      <w:b/>
                      <w:sz w:val="20"/>
                      <w:szCs w:val="20"/>
                    </w:rPr>
                  </w:pPr>
                  <w:r w:rsidRPr="00D1098C">
                    <w:rPr>
                      <w:rFonts w:ascii="Times New Roman" w:hAnsi="Times New Roman" w:cs="Times New Roman"/>
                      <w:b/>
                      <w:sz w:val="20"/>
                      <w:szCs w:val="20"/>
                    </w:rPr>
                    <w:t>1</w:t>
                  </w:r>
                  <w:r w:rsidR="00617C36" w:rsidRPr="00D1098C">
                    <w:rPr>
                      <w:rFonts w:ascii="Times New Roman" w:hAnsi="Times New Roman" w:cs="Times New Roman"/>
                      <w:b/>
                      <w:sz w:val="20"/>
                      <w:szCs w:val="20"/>
                    </w:rPr>
                    <w:t>53</w:t>
                  </w:r>
                </w:p>
              </w:tc>
              <w:tc>
                <w:tcPr>
                  <w:tcW w:w="826" w:type="pct"/>
                  <w:shd w:val="clear" w:color="auto" w:fill="auto"/>
                  <w:tcMar>
                    <w:top w:w="20" w:type="dxa"/>
                    <w:left w:w="20" w:type="dxa"/>
                    <w:bottom w:w="0" w:type="dxa"/>
                    <w:right w:w="20" w:type="dxa"/>
                  </w:tcMar>
                  <w:vAlign w:val="bottom"/>
                </w:tcPr>
                <w:p w:rsidR="00CC427C" w:rsidRPr="00D1098C" w:rsidRDefault="00617C36" w:rsidP="003D7814">
                  <w:pPr>
                    <w:spacing w:after="0"/>
                    <w:jc w:val="center"/>
                    <w:rPr>
                      <w:rFonts w:ascii="Times New Roman" w:hAnsi="Times New Roman" w:cs="Times New Roman"/>
                      <w:b/>
                      <w:sz w:val="20"/>
                      <w:szCs w:val="20"/>
                    </w:rPr>
                  </w:pPr>
                  <w:r w:rsidRPr="00D1098C">
                    <w:rPr>
                      <w:rFonts w:ascii="Times New Roman" w:hAnsi="Times New Roman" w:cs="Times New Roman"/>
                      <w:b/>
                      <w:sz w:val="20"/>
                      <w:szCs w:val="20"/>
                    </w:rPr>
                    <w:t>220</w:t>
                  </w:r>
                </w:p>
              </w:tc>
            </w:tr>
          </w:tbl>
          <w:p w:rsidR="00CC427C" w:rsidRPr="00D1098C" w:rsidRDefault="00CC427C" w:rsidP="003D7814">
            <w:pPr>
              <w:rPr>
                <w:rFonts w:ascii="Times New Roman" w:hAnsi="Times New Roman" w:cs="Times New Roman"/>
                <w:sz w:val="20"/>
                <w:szCs w:val="20"/>
              </w:rPr>
            </w:pPr>
          </w:p>
        </w:tc>
      </w:tr>
    </w:tbl>
    <w:p w:rsidR="00B20B46" w:rsidRPr="00D1098C" w:rsidRDefault="00B20B46" w:rsidP="00CC427C">
      <w:pPr>
        <w:rPr>
          <w:rFonts w:ascii="Times New Roman" w:hAnsi="Times New Roman" w:cs="Times New Roman"/>
          <w:b/>
        </w:rPr>
      </w:pPr>
    </w:p>
    <w:p w:rsidR="00CC427C" w:rsidRPr="00D1098C" w:rsidRDefault="00CC427C" w:rsidP="00CC427C">
      <w:pPr>
        <w:rPr>
          <w:rFonts w:ascii="Times New Roman" w:hAnsi="Times New Roman" w:cs="Times New Roman"/>
          <w:b/>
        </w:rPr>
      </w:pPr>
      <w:r w:rsidRPr="00D1098C">
        <w:rPr>
          <w:rFonts w:ascii="Times New Roman" w:hAnsi="Times New Roman" w:cs="Times New Roman"/>
          <w:b/>
        </w:rPr>
        <w:t>Figure 4: Month wise – Increase in RT-PCR Labs in Tamil Nadu</w:t>
      </w:r>
    </w:p>
    <w:p w:rsidR="00CC427C" w:rsidRPr="00D1098C" w:rsidRDefault="00CC427C" w:rsidP="00CC427C">
      <w:pPr>
        <w:rPr>
          <w:rFonts w:ascii="Times New Roman" w:hAnsi="Times New Roman" w:cs="Times New Roman"/>
        </w:rPr>
      </w:pPr>
      <w:r w:rsidRPr="00D1098C">
        <w:rPr>
          <w:rFonts w:ascii="Times New Roman" w:hAnsi="Times New Roman" w:cs="Times New Roman"/>
          <w:noProof/>
          <w:lang w:eastAsia="en-IN"/>
        </w:rPr>
        <w:drawing>
          <wp:inline distT="0" distB="0" distL="0" distR="0" wp14:anchorId="378A320D" wp14:editId="4BAEF0F1">
            <wp:extent cx="5732145" cy="2471681"/>
            <wp:effectExtent l="19050" t="0" r="20955" b="4819"/>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90882" w:rsidRPr="00D1098C" w:rsidRDefault="00490882" w:rsidP="00490882">
      <w:pPr>
        <w:spacing w:line="360" w:lineRule="auto"/>
        <w:rPr>
          <w:rFonts w:ascii="Times New Roman" w:hAnsi="Times New Roman" w:cs="Times New Roman"/>
          <w:i/>
          <w:szCs w:val="24"/>
        </w:rPr>
      </w:pPr>
      <w:r w:rsidRPr="00D1098C">
        <w:rPr>
          <w:rFonts w:ascii="Times New Roman" w:hAnsi="Times New Roman" w:cs="Times New Roman"/>
          <w:i/>
          <w:szCs w:val="24"/>
        </w:rPr>
        <w:t>Source: Media Bulletin, Health and Family Welfare Department (Graphs prepared by authors)</w:t>
      </w:r>
    </w:p>
    <w:p w:rsidR="00617C36" w:rsidRPr="00D1098C" w:rsidRDefault="00617C36" w:rsidP="00490882">
      <w:pPr>
        <w:spacing w:line="360" w:lineRule="auto"/>
        <w:rPr>
          <w:rFonts w:ascii="Times New Roman" w:hAnsi="Times New Roman" w:cs="Times New Roman"/>
          <w:i/>
          <w:szCs w:val="24"/>
        </w:rPr>
      </w:pPr>
      <w:r w:rsidRPr="00D1098C">
        <w:rPr>
          <w:rFonts w:ascii="Times New Roman" w:hAnsi="Times New Roman" w:cs="Times New Roman"/>
          <w:b/>
          <w:bCs/>
          <w:i/>
          <w:szCs w:val="24"/>
        </w:rPr>
        <w:t xml:space="preserve">Figure 5: COVID-19: </w:t>
      </w:r>
      <w:r w:rsidR="00775BA3" w:rsidRPr="00D1098C">
        <w:rPr>
          <w:rFonts w:ascii="Times New Roman" w:hAnsi="Times New Roman" w:cs="Times New Roman"/>
          <w:b/>
          <w:bCs/>
          <w:i/>
          <w:szCs w:val="24"/>
        </w:rPr>
        <w:t>Percentage share of Govt Free Test (including those covered under insurance</w:t>
      </w:r>
      <w:r w:rsidR="00DE1B6B" w:rsidRPr="00D1098C">
        <w:rPr>
          <w:rFonts w:ascii="Times New Roman" w:hAnsi="Times New Roman" w:cs="Times New Roman"/>
          <w:b/>
          <w:bCs/>
          <w:i/>
          <w:szCs w:val="24"/>
        </w:rPr>
        <w:t>)</w:t>
      </w:r>
      <w:r w:rsidR="00775BA3" w:rsidRPr="00D1098C">
        <w:rPr>
          <w:rFonts w:ascii="Times New Roman" w:hAnsi="Times New Roman" w:cs="Times New Roman"/>
          <w:b/>
          <w:bCs/>
          <w:i/>
          <w:szCs w:val="24"/>
        </w:rPr>
        <w:t xml:space="preserve"> vs Paid Testing in Private)</w:t>
      </w:r>
    </w:p>
    <w:p w:rsidR="00617C36" w:rsidRPr="00D1098C" w:rsidRDefault="00775BA3" w:rsidP="00490882">
      <w:pPr>
        <w:spacing w:line="360" w:lineRule="auto"/>
        <w:jc w:val="both"/>
        <w:rPr>
          <w:rFonts w:ascii="Times New Roman" w:hAnsi="Times New Roman" w:cs="Times New Roman"/>
          <w:b/>
          <w:sz w:val="24"/>
          <w:szCs w:val="24"/>
        </w:rPr>
      </w:pPr>
      <w:r w:rsidRPr="00D1098C">
        <w:rPr>
          <w:rFonts w:ascii="Times New Roman" w:hAnsi="Times New Roman" w:cs="Times New Roman"/>
          <w:b/>
          <w:noProof/>
          <w:sz w:val="24"/>
          <w:szCs w:val="24"/>
          <w:lang w:eastAsia="en-IN"/>
        </w:rPr>
        <w:drawing>
          <wp:inline distT="0" distB="0" distL="0" distR="0" wp14:anchorId="115E2DB0" wp14:editId="650B6E22">
            <wp:extent cx="5814060" cy="2933700"/>
            <wp:effectExtent l="0" t="0" r="1524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17C36" w:rsidRPr="00D1098C" w:rsidRDefault="00617C36" w:rsidP="00617C36">
      <w:pPr>
        <w:spacing w:line="360" w:lineRule="auto"/>
        <w:rPr>
          <w:rFonts w:ascii="Times New Roman" w:hAnsi="Times New Roman" w:cs="Times New Roman"/>
          <w:i/>
          <w:szCs w:val="24"/>
        </w:rPr>
      </w:pPr>
      <w:r w:rsidRPr="00D1098C">
        <w:rPr>
          <w:rFonts w:ascii="Times New Roman" w:hAnsi="Times New Roman" w:cs="Times New Roman"/>
          <w:i/>
          <w:szCs w:val="24"/>
        </w:rPr>
        <w:t>Source: State Control Room, Health and Family Welfare Department (Graphs prepared by authors)</w:t>
      </w:r>
    </w:p>
    <w:p w:rsidR="002048AC" w:rsidRPr="00D1098C" w:rsidRDefault="002048AC" w:rsidP="00490882">
      <w:pPr>
        <w:spacing w:line="360" w:lineRule="auto"/>
        <w:jc w:val="both"/>
        <w:rPr>
          <w:rFonts w:ascii="Times New Roman" w:hAnsi="Times New Roman" w:cs="Times New Roman"/>
          <w:b/>
          <w:sz w:val="24"/>
          <w:szCs w:val="24"/>
        </w:rPr>
      </w:pPr>
    </w:p>
    <w:p w:rsidR="00D1098C" w:rsidRDefault="00D1098C" w:rsidP="00490882">
      <w:pPr>
        <w:spacing w:line="360" w:lineRule="auto"/>
        <w:jc w:val="both"/>
        <w:rPr>
          <w:rFonts w:ascii="Times New Roman" w:hAnsi="Times New Roman" w:cs="Times New Roman"/>
          <w:b/>
          <w:sz w:val="24"/>
          <w:szCs w:val="24"/>
        </w:rPr>
      </w:pPr>
    </w:p>
    <w:p w:rsidR="00490882" w:rsidRPr="00D1098C" w:rsidRDefault="00490882" w:rsidP="00490882">
      <w:pPr>
        <w:spacing w:line="360" w:lineRule="auto"/>
        <w:jc w:val="both"/>
        <w:rPr>
          <w:rFonts w:ascii="Times New Roman" w:hAnsi="Times New Roman" w:cs="Times New Roman"/>
          <w:b/>
          <w:sz w:val="24"/>
          <w:szCs w:val="24"/>
        </w:rPr>
      </w:pPr>
      <w:r w:rsidRPr="00D1098C">
        <w:rPr>
          <w:rFonts w:ascii="Times New Roman" w:hAnsi="Times New Roman" w:cs="Times New Roman"/>
          <w:b/>
          <w:sz w:val="24"/>
          <w:szCs w:val="24"/>
        </w:rPr>
        <w:lastRenderedPageBreak/>
        <w:t xml:space="preserve">The logistics of testing: </w:t>
      </w:r>
    </w:p>
    <w:p w:rsidR="00490882" w:rsidRPr="00D1098C" w:rsidRDefault="00490882" w:rsidP="00490882">
      <w:pPr>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 xml:space="preserve">The other major reason why the state could go up to such a high frequency of testing, is because of its excellent public health logistics. </w:t>
      </w:r>
      <w:r w:rsidRPr="00D1098C">
        <w:rPr>
          <w:rStyle w:val="None"/>
          <w:rFonts w:ascii="Times New Roman" w:hAnsi="Times New Roman" w:cs="Times New Roman"/>
          <w:sz w:val="24"/>
          <w:szCs w:val="24"/>
          <w:lang w:val="en-US"/>
        </w:rPr>
        <w:t xml:space="preserve">The </w:t>
      </w:r>
      <w:r w:rsidRPr="00D1098C">
        <w:rPr>
          <w:rFonts w:ascii="Times New Roman" w:hAnsi="Times New Roman" w:cs="Times New Roman"/>
          <w:color w:val="000000" w:themeColor="text1"/>
          <w:sz w:val="24"/>
          <w:szCs w:val="24"/>
        </w:rPr>
        <w:t xml:space="preserve">Logistics and supply chain management for these facilities were effectively managed by the Tamil Nadu Medical Services Corporation Limited (TNMSC), which got established way back in 1995. </w:t>
      </w:r>
    </w:p>
    <w:p w:rsidR="0008195D" w:rsidRPr="00D1098C" w:rsidRDefault="00490882" w:rsidP="00490882">
      <w:pPr>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The challenge is to maintain 6</w:t>
      </w:r>
      <w:r w:rsidR="00D05D3F" w:rsidRPr="00D1098C">
        <w:rPr>
          <w:rFonts w:ascii="Times New Roman" w:hAnsi="Times New Roman" w:cs="Times New Roman"/>
          <w:sz w:val="24"/>
          <w:szCs w:val="24"/>
        </w:rPr>
        <w:t>7</w:t>
      </w:r>
      <w:r w:rsidRPr="00D1098C">
        <w:rPr>
          <w:rFonts w:ascii="Times New Roman" w:hAnsi="Times New Roman" w:cs="Times New Roman"/>
          <w:sz w:val="24"/>
          <w:szCs w:val="24"/>
        </w:rPr>
        <w:t xml:space="preserve"> well dispersed laboratories with the necessary kits, and a number of auxiliary consumables in required quantities, though there would be wide differences in utilization between them. </w:t>
      </w:r>
      <w:r w:rsidR="007222D3" w:rsidRPr="00D1098C">
        <w:rPr>
          <w:rFonts w:ascii="Times New Roman" w:hAnsi="Times New Roman" w:cs="Times New Roman"/>
          <w:sz w:val="24"/>
          <w:szCs w:val="24"/>
        </w:rPr>
        <w:t xml:space="preserve">Tamil Nadu’s ability to manage this logistics challenge rests a lot on its famed institution- the Tamil Nadu Medical Services Corporation which was able to ensure uninterrupted and adequate </w:t>
      </w:r>
      <w:r w:rsidR="007222D3" w:rsidRPr="00D1098C">
        <w:rPr>
          <w:rFonts w:ascii="Times New Roman" w:hAnsi="Times New Roman" w:cs="Times New Roman"/>
          <w:color w:val="000000" w:themeColor="text1"/>
          <w:sz w:val="24"/>
          <w:szCs w:val="24"/>
        </w:rPr>
        <w:t xml:space="preserve"> </w:t>
      </w:r>
      <w:r w:rsidR="007222D3" w:rsidRPr="00D1098C">
        <w:rPr>
          <w:rFonts w:ascii="Times New Roman" w:hAnsi="Times New Roman" w:cs="Times New Roman"/>
          <w:sz w:val="24"/>
          <w:szCs w:val="24"/>
        </w:rPr>
        <w:t xml:space="preserve">supply of nasal swabs, Viral Transport Medium (VTM), Extraction Kits,  RT-PCR Kits, reagents, and other consumables. </w:t>
      </w:r>
      <w:r w:rsidR="003C33FD" w:rsidRPr="00D1098C">
        <w:rPr>
          <w:rFonts w:ascii="Times New Roman" w:hAnsi="Times New Roman" w:cs="Times New Roman"/>
          <w:sz w:val="24"/>
          <w:szCs w:val="24"/>
        </w:rPr>
        <w:t>The TNMSC has so far procured and suppli</w:t>
      </w:r>
      <w:r w:rsidR="001C17BA" w:rsidRPr="00D1098C">
        <w:rPr>
          <w:rFonts w:ascii="Times New Roman" w:hAnsi="Times New Roman" w:cs="Times New Roman"/>
          <w:sz w:val="24"/>
          <w:szCs w:val="24"/>
        </w:rPr>
        <w:t>ed 86.95 Lakhs kits as on Nov 30</w:t>
      </w:r>
      <w:r w:rsidR="003C33FD" w:rsidRPr="00D1098C">
        <w:rPr>
          <w:rFonts w:ascii="Times New Roman" w:hAnsi="Times New Roman" w:cs="Times New Roman"/>
          <w:sz w:val="24"/>
          <w:szCs w:val="24"/>
          <w:vertAlign w:val="superscript"/>
        </w:rPr>
        <w:t>th</w:t>
      </w:r>
      <w:r w:rsidR="003C33FD" w:rsidRPr="00D1098C">
        <w:rPr>
          <w:rFonts w:ascii="Times New Roman" w:hAnsi="Times New Roman" w:cs="Times New Roman"/>
          <w:sz w:val="24"/>
          <w:szCs w:val="24"/>
        </w:rPr>
        <w:t xml:space="preserve"> 2020. </w:t>
      </w:r>
      <w:r w:rsidRPr="00D1098C">
        <w:rPr>
          <w:rFonts w:ascii="Times New Roman" w:hAnsi="Times New Roman" w:cs="Times New Roman"/>
          <w:sz w:val="24"/>
          <w:szCs w:val="24"/>
        </w:rPr>
        <w:t xml:space="preserve">These testing kits, and the equipment were new products with limited manufacturers and one had to have transparent procurement that brought in high quality of test kits, but at very low procurement costs since the entire testing expenditure was being borne by the state.  </w:t>
      </w:r>
    </w:p>
    <w:p w:rsidR="008C47C1" w:rsidRPr="00D1098C" w:rsidRDefault="008C47C1" w:rsidP="00490882">
      <w:pPr>
        <w:spacing w:line="360" w:lineRule="auto"/>
        <w:jc w:val="both"/>
        <w:rPr>
          <w:rFonts w:ascii="Times New Roman" w:hAnsi="Times New Roman" w:cs="Times New Roman"/>
          <w:b/>
          <w:sz w:val="24"/>
          <w:szCs w:val="24"/>
        </w:rPr>
      </w:pPr>
      <w:r w:rsidRPr="00D1098C">
        <w:rPr>
          <w:rFonts w:ascii="Times New Roman" w:hAnsi="Times New Roman" w:cs="Times New Roman"/>
          <w:b/>
          <w:sz w:val="24"/>
          <w:szCs w:val="24"/>
        </w:rPr>
        <w:t>Technology Choices</w:t>
      </w:r>
      <w:r w:rsidR="00D96B74" w:rsidRPr="00D1098C">
        <w:rPr>
          <w:rFonts w:ascii="Times New Roman" w:hAnsi="Times New Roman" w:cs="Times New Roman"/>
          <w:b/>
          <w:sz w:val="24"/>
          <w:szCs w:val="24"/>
        </w:rPr>
        <w:t xml:space="preserve"> adopted</w:t>
      </w:r>
      <w:r w:rsidRPr="00D1098C">
        <w:rPr>
          <w:rFonts w:ascii="Times New Roman" w:hAnsi="Times New Roman" w:cs="Times New Roman"/>
          <w:b/>
          <w:sz w:val="24"/>
          <w:szCs w:val="24"/>
        </w:rPr>
        <w:t xml:space="preserve"> in </w:t>
      </w:r>
      <w:r w:rsidR="00D96B74" w:rsidRPr="00D1098C">
        <w:rPr>
          <w:rFonts w:ascii="Times New Roman" w:hAnsi="Times New Roman" w:cs="Times New Roman"/>
          <w:b/>
          <w:sz w:val="24"/>
          <w:szCs w:val="24"/>
        </w:rPr>
        <w:t xml:space="preserve">Government </w:t>
      </w:r>
      <w:r w:rsidRPr="00D1098C">
        <w:rPr>
          <w:rFonts w:ascii="Times New Roman" w:hAnsi="Times New Roman" w:cs="Times New Roman"/>
          <w:b/>
          <w:sz w:val="24"/>
          <w:szCs w:val="24"/>
        </w:rPr>
        <w:t>RT PCR Labs</w:t>
      </w:r>
    </w:p>
    <w:p w:rsidR="0008195D" w:rsidRPr="00D1098C" w:rsidRDefault="0008195D" w:rsidP="00490882">
      <w:pPr>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 xml:space="preserve">In addition to the establishing of new labs, the other key factor which ensured the success of the testing strategy implemented through public institutions is the choice of technology choices adopted by TNMSC. The first was the drive to automate all the government labs for the RNA extraction process, since this was the most time consuming part of the testing cycle. This was achieved by ensuring that automated extractors were installed in all labs and today, no government lab does manual extraction. </w:t>
      </w:r>
      <w:r w:rsidR="0064080B" w:rsidRPr="00D1098C">
        <w:rPr>
          <w:rFonts w:ascii="Times New Roman" w:hAnsi="Times New Roman" w:cs="Times New Roman"/>
          <w:sz w:val="24"/>
          <w:szCs w:val="24"/>
        </w:rPr>
        <w:t xml:space="preserve">This helped to eliminate employee fatigue and the state to sustain high testing for months. </w:t>
      </w:r>
      <w:r w:rsidRPr="00D1098C">
        <w:rPr>
          <w:rFonts w:ascii="Times New Roman" w:hAnsi="Times New Roman" w:cs="Times New Roman"/>
          <w:sz w:val="24"/>
          <w:szCs w:val="24"/>
        </w:rPr>
        <w:t>Second was the insistence of performance parameters</w:t>
      </w:r>
      <w:r w:rsidR="001042D5" w:rsidRPr="00D1098C">
        <w:rPr>
          <w:rFonts w:ascii="Times New Roman" w:hAnsi="Times New Roman" w:cs="Times New Roman"/>
          <w:sz w:val="24"/>
          <w:szCs w:val="24"/>
        </w:rPr>
        <w:t xml:space="preserve"> for RT-PCR kits with strict adherence to international quality norms as well as assay time of 45-50 minutes. This resulted in helping the state government to drastically reduce the dependence on private labs.</w:t>
      </w:r>
      <w:r w:rsidRPr="00D1098C">
        <w:rPr>
          <w:rFonts w:ascii="Times New Roman" w:hAnsi="Times New Roman" w:cs="Times New Roman"/>
          <w:sz w:val="24"/>
          <w:szCs w:val="24"/>
        </w:rPr>
        <w:t xml:space="preserve"> </w:t>
      </w:r>
    </w:p>
    <w:p w:rsidR="007222D3" w:rsidRPr="00D1098C" w:rsidRDefault="007222D3" w:rsidP="007222D3">
      <w:pPr>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 xml:space="preserve">The above strategy has a significant economic angle too, considering the difference in cost of testing between the ramped up public institutions’ capacity and Tamil Nadu’s well developed private sector. At present, even after multiple reduction mandates by the state government, the prescribed rate for RT-PCR testing </w:t>
      </w:r>
      <w:r w:rsidR="00F94B88" w:rsidRPr="00D1098C">
        <w:rPr>
          <w:rFonts w:ascii="Times New Roman" w:hAnsi="Times New Roman" w:cs="Times New Roman"/>
          <w:sz w:val="24"/>
          <w:szCs w:val="24"/>
        </w:rPr>
        <w:t xml:space="preserve">of government samples </w:t>
      </w:r>
      <w:r w:rsidRPr="00D1098C">
        <w:rPr>
          <w:rFonts w:ascii="Times New Roman" w:hAnsi="Times New Roman" w:cs="Times New Roman"/>
          <w:sz w:val="24"/>
          <w:szCs w:val="24"/>
        </w:rPr>
        <w:t>in Ta</w:t>
      </w:r>
      <w:r w:rsidR="00495006" w:rsidRPr="00D1098C">
        <w:rPr>
          <w:rFonts w:ascii="Times New Roman" w:hAnsi="Times New Roman" w:cs="Times New Roman"/>
          <w:sz w:val="24"/>
          <w:szCs w:val="24"/>
        </w:rPr>
        <w:t>mil Nadu’s private labs is Rs. 1200</w:t>
      </w:r>
      <w:r w:rsidRPr="00D1098C">
        <w:rPr>
          <w:rFonts w:ascii="Times New Roman" w:hAnsi="Times New Roman" w:cs="Times New Roman"/>
          <w:sz w:val="24"/>
          <w:szCs w:val="24"/>
        </w:rPr>
        <w:t xml:space="preserve"> as against Rs.</w:t>
      </w:r>
      <w:r w:rsidR="00495006" w:rsidRPr="00D1098C">
        <w:rPr>
          <w:rFonts w:ascii="Times New Roman" w:hAnsi="Times New Roman" w:cs="Times New Roman"/>
          <w:sz w:val="24"/>
          <w:szCs w:val="24"/>
        </w:rPr>
        <w:t xml:space="preserve"> </w:t>
      </w:r>
      <w:r w:rsidR="0064080B" w:rsidRPr="00D1098C">
        <w:rPr>
          <w:rFonts w:ascii="Times New Roman" w:hAnsi="Times New Roman" w:cs="Times New Roman"/>
          <w:sz w:val="24"/>
          <w:szCs w:val="24"/>
        </w:rPr>
        <w:t>36</w:t>
      </w:r>
      <w:r w:rsidRPr="00D1098C">
        <w:rPr>
          <w:rFonts w:ascii="Times New Roman" w:hAnsi="Times New Roman" w:cs="Times New Roman"/>
          <w:sz w:val="24"/>
          <w:szCs w:val="24"/>
        </w:rPr>
        <w:t>0</w:t>
      </w:r>
      <w:r w:rsidR="00F94B88" w:rsidRPr="00D1098C">
        <w:rPr>
          <w:rFonts w:ascii="Times New Roman" w:hAnsi="Times New Roman" w:cs="Times New Roman"/>
          <w:sz w:val="24"/>
          <w:szCs w:val="24"/>
        </w:rPr>
        <w:t xml:space="preserve"> by government labs</w:t>
      </w:r>
      <w:r w:rsidR="00495006" w:rsidRPr="00D1098C">
        <w:rPr>
          <w:rFonts w:ascii="Times New Roman" w:hAnsi="Times New Roman" w:cs="Times New Roman"/>
          <w:sz w:val="24"/>
          <w:szCs w:val="24"/>
        </w:rPr>
        <w:t xml:space="preserve"> (but given fully free of cost for patients)</w:t>
      </w:r>
      <w:r w:rsidR="00F94B88" w:rsidRPr="00D1098C">
        <w:rPr>
          <w:rFonts w:ascii="Times New Roman" w:hAnsi="Times New Roman" w:cs="Times New Roman"/>
          <w:sz w:val="24"/>
          <w:szCs w:val="24"/>
        </w:rPr>
        <w:t xml:space="preserve">. This includes the additional costs of usage of automated RNA extraction and </w:t>
      </w:r>
      <w:r w:rsidR="008B5C31" w:rsidRPr="00D1098C">
        <w:rPr>
          <w:rFonts w:ascii="Times New Roman" w:hAnsi="Times New Roman" w:cs="Times New Roman"/>
          <w:sz w:val="24"/>
          <w:szCs w:val="24"/>
        </w:rPr>
        <w:t xml:space="preserve">kits with </w:t>
      </w:r>
      <w:r w:rsidR="008B5C31" w:rsidRPr="00D1098C">
        <w:rPr>
          <w:rFonts w:ascii="Times New Roman" w:hAnsi="Times New Roman" w:cs="Times New Roman"/>
          <w:sz w:val="24"/>
          <w:szCs w:val="24"/>
        </w:rPr>
        <w:lastRenderedPageBreak/>
        <w:t xml:space="preserve">international certifications. </w:t>
      </w:r>
      <w:r w:rsidR="00F94B88" w:rsidRPr="00D1098C">
        <w:rPr>
          <w:rFonts w:ascii="Times New Roman" w:hAnsi="Times New Roman" w:cs="Times New Roman"/>
          <w:sz w:val="24"/>
          <w:szCs w:val="24"/>
        </w:rPr>
        <w:t>Even if the initial costs are capitalized, the cost per test is likely to be only around Rs.</w:t>
      </w:r>
      <w:r w:rsidR="00C417EF" w:rsidRPr="00D1098C">
        <w:rPr>
          <w:rFonts w:ascii="Times New Roman" w:hAnsi="Times New Roman" w:cs="Times New Roman"/>
          <w:sz w:val="24"/>
          <w:szCs w:val="24"/>
        </w:rPr>
        <w:t xml:space="preserve"> </w:t>
      </w:r>
      <w:r w:rsidR="00F94B88" w:rsidRPr="00D1098C">
        <w:rPr>
          <w:rFonts w:ascii="Times New Roman" w:hAnsi="Times New Roman" w:cs="Times New Roman"/>
          <w:sz w:val="24"/>
          <w:szCs w:val="24"/>
        </w:rPr>
        <w:t>400</w:t>
      </w:r>
      <w:r w:rsidR="008B5C31" w:rsidRPr="00D1098C">
        <w:rPr>
          <w:rFonts w:ascii="Times New Roman" w:hAnsi="Times New Roman" w:cs="Times New Roman"/>
          <w:sz w:val="24"/>
          <w:szCs w:val="24"/>
        </w:rPr>
        <w:t>. The above cost saving has been the primary factor is Tamil Nadu standing up and sustaining its ‘only RT-PCR testing strategy’.</w:t>
      </w:r>
    </w:p>
    <w:p w:rsidR="00F43690" w:rsidRPr="00D1098C" w:rsidRDefault="00945521" w:rsidP="00F43690">
      <w:pPr>
        <w:spacing w:after="240" w:line="360" w:lineRule="auto"/>
        <w:jc w:val="both"/>
        <w:rPr>
          <w:rFonts w:ascii="Times New Roman" w:hAnsi="Times New Roman" w:cs="Times New Roman"/>
          <w:b/>
          <w:sz w:val="24"/>
          <w:szCs w:val="28"/>
        </w:rPr>
      </w:pPr>
      <w:r w:rsidRPr="00D1098C">
        <w:rPr>
          <w:rFonts w:ascii="Times New Roman" w:hAnsi="Times New Roman" w:cs="Times New Roman"/>
          <w:sz w:val="24"/>
          <w:szCs w:val="28"/>
        </w:rPr>
        <w:t>TNMSC also made the technology choice</w:t>
      </w:r>
      <w:r w:rsidR="00F43690" w:rsidRPr="00D1098C">
        <w:rPr>
          <w:rFonts w:ascii="Times New Roman" w:hAnsi="Times New Roman" w:cs="Times New Roman"/>
          <w:sz w:val="24"/>
          <w:szCs w:val="28"/>
        </w:rPr>
        <w:t xml:space="preserve"> to opt for open systems of hardware, which are compatible with diverse consumables rather than closed system, which offered higher throughput at higher recurring costs. To improve throughput in such open system hardware, equipment were supplied to automate the crucial steps in testing. Also, the orders for such hardware supply were strictly tied to guarantees of consumable supplies.</w:t>
      </w:r>
    </w:p>
    <w:p w:rsidR="00490882" w:rsidRPr="00D1098C" w:rsidRDefault="00490882" w:rsidP="007222D3">
      <w:pPr>
        <w:spacing w:line="360" w:lineRule="auto"/>
        <w:jc w:val="both"/>
        <w:rPr>
          <w:rFonts w:ascii="Times New Roman" w:hAnsi="Times New Roman" w:cs="Times New Roman"/>
          <w:b/>
          <w:color w:val="000000" w:themeColor="text1"/>
          <w:sz w:val="24"/>
          <w:szCs w:val="24"/>
          <w:lang w:val="en-GB"/>
        </w:rPr>
      </w:pPr>
      <w:r w:rsidRPr="00D1098C">
        <w:rPr>
          <w:rFonts w:ascii="Times New Roman" w:hAnsi="Times New Roman" w:cs="Times New Roman"/>
          <w:b/>
          <w:color w:val="000000" w:themeColor="text1"/>
          <w:sz w:val="24"/>
          <w:szCs w:val="24"/>
          <w:lang w:val="en-GB"/>
        </w:rPr>
        <w:t>Access to Therapeutics</w:t>
      </w:r>
    </w:p>
    <w:p w:rsidR="00490882" w:rsidRPr="00D1098C" w:rsidRDefault="00490882" w:rsidP="00490882">
      <w:pPr>
        <w:tabs>
          <w:tab w:val="num" w:pos="720"/>
        </w:tabs>
        <w:spacing w:line="360" w:lineRule="auto"/>
        <w:jc w:val="both"/>
        <w:rPr>
          <w:rFonts w:ascii="Times New Roman" w:hAnsi="Times New Roman" w:cs="Times New Roman"/>
          <w:color w:val="000000" w:themeColor="text1"/>
          <w:sz w:val="24"/>
          <w:szCs w:val="24"/>
          <w:lang w:val="en-GB"/>
        </w:rPr>
      </w:pPr>
      <w:r w:rsidRPr="00D1098C">
        <w:rPr>
          <w:rFonts w:ascii="Times New Roman" w:hAnsi="Times New Roman" w:cs="Times New Roman"/>
          <w:color w:val="000000" w:themeColor="text1"/>
          <w:sz w:val="24"/>
          <w:szCs w:val="24"/>
          <w:lang w:val="en-GB"/>
        </w:rPr>
        <w:t>Tamil Nadu’ health system has been described as one of the better health systems in the country with a much better performance on many key health indicators (</w:t>
      </w:r>
      <w:r w:rsidR="002048AC" w:rsidRPr="00D1098C">
        <w:rPr>
          <w:rFonts w:ascii="Times New Roman" w:hAnsi="Times New Roman" w:cs="Times New Roman"/>
          <w:color w:val="000000" w:themeColor="text1"/>
          <w:sz w:val="24"/>
          <w:szCs w:val="24"/>
          <w:lang w:val="en-GB"/>
        </w:rPr>
        <w:t>5</w:t>
      </w:r>
      <w:r w:rsidRPr="00D1098C">
        <w:rPr>
          <w:rFonts w:ascii="Times New Roman" w:hAnsi="Times New Roman" w:cs="Times New Roman"/>
          <w:color w:val="000000" w:themeColor="text1"/>
          <w:sz w:val="24"/>
          <w:szCs w:val="24"/>
          <w:lang w:val="en-GB"/>
        </w:rPr>
        <w:t xml:space="preserve">). The </w:t>
      </w:r>
      <w:r w:rsidRPr="00D1098C">
        <w:rPr>
          <w:rFonts w:ascii="Times New Roman" w:eastAsiaTheme="minorEastAsia" w:hAnsi="Times New Roman" w:cs="Times New Roman"/>
          <w:sz w:val="24"/>
          <w:szCs w:val="24"/>
          <w:lang w:val="en-US"/>
        </w:rPr>
        <w:t>Directorate of Public Health a</w:t>
      </w:r>
      <w:r w:rsidRPr="00D1098C">
        <w:rPr>
          <w:rFonts w:ascii="Times New Roman" w:hAnsi="Times New Roman" w:cs="Times New Roman"/>
          <w:sz w:val="24"/>
          <w:szCs w:val="24"/>
          <w:lang w:val="en-US"/>
        </w:rPr>
        <w:t>nd Preventive Medicine functioning</w:t>
      </w:r>
      <w:r w:rsidRPr="00D1098C">
        <w:rPr>
          <w:rFonts w:ascii="Times New Roman" w:eastAsiaTheme="minorEastAsia" w:hAnsi="Times New Roman" w:cs="Times New Roman"/>
          <w:sz w:val="24"/>
          <w:szCs w:val="24"/>
          <w:lang w:val="en-US"/>
        </w:rPr>
        <w:t xml:space="preserve"> since 1923</w:t>
      </w:r>
      <w:r w:rsidRPr="00D1098C">
        <w:rPr>
          <w:rFonts w:ascii="Times New Roman" w:hAnsi="Times New Roman" w:cs="Times New Roman"/>
          <w:color w:val="000000" w:themeColor="text1"/>
          <w:sz w:val="24"/>
          <w:szCs w:val="24"/>
          <w:lang w:val="en-GB"/>
        </w:rPr>
        <w:t xml:space="preserve"> has the experience of both public health and the organization of both primary healthcare and hospital services. Its position with respect to health professionals is relatively better than other states.  </w:t>
      </w:r>
    </w:p>
    <w:p w:rsidR="00490882" w:rsidRPr="00D1098C" w:rsidRDefault="00490882" w:rsidP="00490882">
      <w:pPr>
        <w:tabs>
          <w:tab w:val="num" w:pos="720"/>
        </w:tabs>
        <w:spacing w:line="360" w:lineRule="auto"/>
        <w:jc w:val="both"/>
        <w:rPr>
          <w:rFonts w:ascii="Times New Roman" w:hAnsi="Times New Roman" w:cs="Times New Roman"/>
          <w:color w:val="000000" w:themeColor="text1"/>
          <w:sz w:val="24"/>
          <w:szCs w:val="24"/>
          <w:lang w:val="en-GB"/>
        </w:rPr>
      </w:pPr>
      <w:r w:rsidRPr="00D1098C">
        <w:rPr>
          <w:rFonts w:ascii="Times New Roman" w:hAnsi="Times New Roman" w:cs="Times New Roman"/>
          <w:color w:val="000000" w:themeColor="text1"/>
          <w:sz w:val="24"/>
          <w:szCs w:val="24"/>
          <w:lang w:val="en-GB"/>
        </w:rPr>
        <w:t xml:space="preserve">One of the challenges that even good health systems face in responding to the COVID 19 pandemic is the huge expansion of hospitalization capacity that is required. Though increased number of beds and staff is often what is most visible, equally important is the supply chains that are required for ensuring that the necessary equipment and consumables are in place. </w:t>
      </w:r>
    </w:p>
    <w:p w:rsidR="00490882" w:rsidRPr="00D1098C" w:rsidRDefault="00490882" w:rsidP="00F43690">
      <w:pPr>
        <w:spacing w:after="240" w:line="360" w:lineRule="auto"/>
        <w:jc w:val="both"/>
        <w:rPr>
          <w:rFonts w:ascii="Times New Roman" w:hAnsi="Times New Roman" w:cs="Times New Roman"/>
          <w:sz w:val="24"/>
          <w:szCs w:val="24"/>
          <w:lang w:val="en-US"/>
        </w:rPr>
      </w:pPr>
      <w:r w:rsidRPr="00D1098C">
        <w:rPr>
          <w:rFonts w:ascii="Times New Roman" w:hAnsi="Times New Roman" w:cs="Times New Roman"/>
          <w:color w:val="000000" w:themeColor="text1"/>
          <w:sz w:val="24"/>
          <w:szCs w:val="24"/>
          <w:lang w:val="en-GB"/>
        </w:rPr>
        <w:t>The presence of an innovative public institution like Tamil Nadu Medical Services Corporation (TNMSC) made a huge difference to Tamil Nadu’s health systems preparedness to respond to this pandemic. The TNMSC has a good reputation built over two decades of how a highly effective and efficient supply chain management can be ensured for delivery of public services where all drugs and diagnostics are provided free to patients. Its success had been attributed to its relative autonomy that enables a professional leadership to develop and provides considerable operational flexibility, a high level of transparency, its negotiation of rates and fixing of rate-contracts, and processes that make drug distribution responsive to changing demand patterns.  This flexibility, helped TNMSC take swift action, and even before the pandemic wave reached Tamil Nadu, in February 2020, the TNMSC had done a stocking in the district warehouses of all essential drugs required in each district for the next six months</w:t>
      </w:r>
      <w:r w:rsidR="001700E1" w:rsidRPr="00D1098C">
        <w:rPr>
          <w:rFonts w:ascii="Times New Roman" w:hAnsi="Times New Roman" w:cs="Times New Roman"/>
          <w:color w:val="000000" w:themeColor="text1"/>
          <w:sz w:val="24"/>
          <w:szCs w:val="24"/>
          <w:lang w:val="en-GB"/>
        </w:rPr>
        <w:t xml:space="preserve">, </w:t>
      </w:r>
      <w:r w:rsidR="001700E1" w:rsidRPr="00D1098C">
        <w:rPr>
          <w:rFonts w:ascii="Times New Roman" w:hAnsi="Times New Roman" w:cs="Times New Roman"/>
          <w:sz w:val="24"/>
          <w:szCs w:val="24"/>
          <w:lang w:val="en-GB"/>
        </w:rPr>
        <w:t xml:space="preserve">anticipating supply chain disruptions considering the fact that the epidemic was then centred in China and China was the principal supplier of APIs to India’s generic drug </w:t>
      </w:r>
      <w:r w:rsidR="001700E1" w:rsidRPr="00D1098C">
        <w:rPr>
          <w:rFonts w:ascii="Times New Roman" w:hAnsi="Times New Roman" w:cs="Times New Roman"/>
          <w:sz w:val="24"/>
          <w:szCs w:val="24"/>
          <w:lang w:val="en-GB"/>
        </w:rPr>
        <w:lastRenderedPageBreak/>
        <w:t xml:space="preserve">industry. </w:t>
      </w:r>
      <w:r w:rsidRPr="00D1098C">
        <w:rPr>
          <w:rFonts w:ascii="Times New Roman" w:hAnsi="Times New Roman" w:cs="Times New Roman"/>
          <w:sz w:val="24"/>
          <w:szCs w:val="24"/>
          <w:lang w:val="en-GB"/>
        </w:rPr>
        <w:t xml:space="preserve"> </w:t>
      </w:r>
      <w:r w:rsidRPr="00D1098C">
        <w:rPr>
          <w:rFonts w:ascii="Times New Roman" w:hAnsi="Times New Roman" w:cs="Times New Roman"/>
          <w:color w:val="000000" w:themeColor="text1"/>
          <w:sz w:val="24"/>
          <w:szCs w:val="24"/>
          <w:lang w:val="en-GB"/>
        </w:rPr>
        <w:t>Further, in March 2020, faced with the challenge of ordering a number of new products, the TNMSC has adopted the 16 (A) clause of the Tamil Nadu Tender Transparency (TT) Act which suspended key provisions of the Act as is permissible during natural calamities and emergencies and thus was able to do rapid procurement of essential new drugs, consumables and equipment in the changed supply side conditions- where there were few or no providers. The TNMSC took it on itself to forecast the demand under the changed circumstances, and procured medicines in anticipation of formal orders and payments. On some commodities the TNMSC made up to 50% advance payments,</w:t>
      </w:r>
      <w:r w:rsidR="001700E1" w:rsidRPr="00D1098C">
        <w:rPr>
          <w:rFonts w:ascii="Times New Roman" w:hAnsi="Times New Roman" w:cs="Times New Roman"/>
          <w:color w:val="000000" w:themeColor="text1"/>
          <w:sz w:val="24"/>
          <w:szCs w:val="24"/>
          <w:lang w:val="en-GB"/>
        </w:rPr>
        <w:t xml:space="preserve"> so as to ensure its supply as against the usual practice of</w:t>
      </w:r>
      <w:r w:rsidRPr="00D1098C">
        <w:rPr>
          <w:rFonts w:ascii="Times New Roman" w:hAnsi="Times New Roman" w:cs="Times New Roman"/>
          <w:color w:val="000000" w:themeColor="text1"/>
          <w:sz w:val="24"/>
          <w:szCs w:val="24"/>
          <w:lang w:val="en-GB"/>
        </w:rPr>
        <w:t xml:space="preserve"> full payment only after delivery. When those rate-contracted firms ran out of supplies, TNMSC could go to the next available supplier and negotiate the next best deal. </w:t>
      </w:r>
      <w:r w:rsidR="00F43690" w:rsidRPr="00D1098C">
        <w:rPr>
          <w:rFonts w:ascii="Times New Roman" w:hAnsi="Times New Roman" w:cs="Times New Roman"/>
          <w:sz w:val="24"/>
          <w:szCs w:val="24"/>
        </w:rPr>
        <w:t xml:space="preserve">To ensure cash flows, interest free advances were </w:t>
      </w:r>
      <w:r w:rsidR="00945521" w:rsidRPr="00D1098C">
        <w:rPr>
          <w:rFonts w:ascii="Times New Roman" w:hAnsi="Times New Roman" w:cs="Times New Roman"/>
          <w:sz w:val="24"/>
          <w:szCs w:val="24"/>
        </w:rPr>
        <w:t xml:space="preserve">also </w:t>
      </w:r>
      <w:r w:rsidR="00F43690" w:rsidRPr="00D1098C">
        <w:rPr>
          <w:rFonts w:ascii="Times New Roman" w:hAnsi="Times New Roman" w:cs="Times New Roman"/>
          <w:sz w:val="24"/>
          <w:szCs w:val="24"/>
        </w:rPr>
        <w:t xml:space="preserve">issued against indemnity bonds so that the vendors down the supply chain get the confidence. </w:t>
      </w:r>
      <w:r w:rsidRPr="00D1098C">
        <w:rPr>
          <w:rFonts w:ascii="Times New Roman" w:hAnsi="Times New Roman" w:cs="Times New Roman"/>
          <w:sz w:val="24"/>
          <w:szCs w:val="24"/>
          <w:lang w:val="en-GB"/>
        </w:rPr>
        <w:t xml:space="preserve">There were further challenges in procuring items from other countries, and diplomatic channels had to </w:t>
      </w:r>
      <w:r w:rsidRPr="00D1098C">
        <w:rPr>
          <w:rFonts w:ascii="Times New Roman" w:hAnsi="Times New Roman" w:cs="Times New Roman"/>
          <w:color w:val="000000" w:themeColor="text1"/>
          <w:sz w:val="24"/>
          <w:szCs w:val="24"/>
          <w:lang w:val="en-GB"/>
        </w:rPr>
        <w:t xml:space="preserve">be leveraged to ensure quality supply. </w:t>
      </w:r>
    </w:p>
    <w:p w:rsidR="00490882" w:rsidRPr="00D1098C" w:rsidRDefault="00490882" w:rsidP="00490882">
      <w:pPr>
        <w:tabs>
          <w:tab w:val="num" w:pos="720"/>
        </w:tabs>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Another major challenge was the supply of medical oxygen. The TNMSC estimated requirements for three types of supply: liquid medical oxygen tank capacity for the tertiary care institutions and other large public hospitals, D type bulk cylinders for all institutions and B type cylinders for emer</w:t>
      </w:r>
      <w:r w:rsidR="00C417EF" w:rsidRPr="00D1098C">
        <w:rPr>
          <w:rFonts w:ascii="Times New Roman" w:hAnsi="Times New Roman" w:cs="Times New Roman"/>
          <w:sz w:val="24"/>
          <w:szCs w:val="24"/>
        </w:rPr>
        <w:t xml:space="preserve">gency use in Covid Care Centres </w:t>
      </w:r>
      <w:r w:rsidRPr="00D1098C">
        <w:rPr>
          <w:rFonts w:ascii="Times New Roman" w:hAnsi="Times New Roman" w:cs="Times New Roman"/>
          <w:sz w:val="24"/>
          <w:szCs w:val="24"/>
        </w:rPr>
        <w:t xml:space="preserve">(CCCs). In addition it also provided for a large number of portable oxygen concentrators as back-up. The supply chain mechanism was able to ensure that no oxygen bed went short of oxygen when they required it. In March, when the pandemic broke both public and private sector had almost equal liquid medical oxygen capacity- about 355.1 kilo litre in public and 314.6 kilo litre in private. By October this had increased to 519.4 in Public sector, whereas it remained stagnant in the private sector. </w:t>
      </w:r>
      <w:r w:rsidR="003C33FD" w:rsidRPr="00D1098C">
        <w:rPr>
          <w:rFonts w:ascii="Times New Roman" w:hAnsi="Times New Roman" w:cs="Times New Roman"/>
          <w:sz w:val="24"/>
          <w:szCs w:val="24"/>
        </w:rPr>
        <w:t xml:space="preserve">The plan is to enhance this to 834.11 KL and works are on to achieve this capacity. </w:t>
      </w:r>
      <w:r w:rsidR="008B5C31" w:rsidRPr="00D1098C">
        <w:rPr>
          <w:rFonts w:ascii="Times New Roman" w:hAnsi="Times New Roman" w:cs="Times New Roman"/>
          <w:sz w:val="24"/>
          <w:szCs w:val="24"/>
        </w:rPr>
        <w:t xml:space="preserve"> </w:t>
      </w:r>
      <w:r w:rsidRPr="00D1098C">
        <w:rPr>
          <w:rFonts w:ascii="Times New Roman" w:hAnsi="Times New Roman" w:cs="Times New Roman"/>
          <w:sz w:val="24"/>
          <w:szCs w:val="24"/>
        </w:rPr>
        <w:t xml:space="preserve">Type D cylinders deployed rose from 4649 to 6649 and Type B cylinders capacity from 4893 to 6543.  Such rapid increase in </w:t>
      </w:r>
      <w:r w:rsidR="008B5C31" w:rsidRPr="00D1098C">
        <w:rPr>
          <w:rFonts w:ascii="Times New Roman" w:hAnsi="Times New Roman" w:cs="Times New Roman"/>
          <w:sz w:val="24"/>
          <w:szCs w:val="24"/>
        </w:rPr>
        <w:t>capacity</w:t>
      </w:r>
      <w:r w:rsidRPr="00D1098C">
        <w:rPr>
          <w:rFonts w:ascii="Times New Roman" w:hAnsi="Times New Roman" w:cs="Times New Roman"/>
          <w:sz w:val="24"/>
          <w:szCs w:val="24"/>
        </w:rPr>
        <w:t xml:space="preserve"> required close collaboration with </w:t>
      </w:r>
      <w:r w:rsidR="008B5C31" w:rsidRPr="00D1098C">
        <w:rPr>
          <w:rFonts w:ascii="Times New Roman" w:hAnsi="Times New Roman" w:cs="Times New Roman"/>
          <w:sz w:val="24"/>
          <w:szCs w:val="24"/>
        </w:rPr>
        <w:t xml:space="preserve">all </w:t>
      </w:r>
      <w:r w:rsidRPr="00D1098C">
        <w:rPr>
          <w:rFonts w:ascii="Times New Roman" w:hAnsi="Times New Roman" w:cs="Times New Roman"/>
          <w:sz w:val="24"/>
          <w:szCs w:val="24"/>
        </w:rPr>
        <w:t>the concerned government departments and the private manufacturers and distributors.</w:t>
      </w:r>
    </w:p>
    <w:p w:rsidR="00490882" w:rsidRPr="00D1098C" w:rsidRDefault="00490882" w:rsidP="00490882">
      <w:pPr>
        <w:pStyle w:val="Default"/>
        <w:spacing w:line="360" w:lineRule="auto"/>
        <w:jc w:val="both"/>
        <w:rPr>
          <w:rFonts w:ascii="Times New Roman" w:hAnsi="Times New Roman" w:cs="Times New Roman"/>
        </w:rPr>
      </w:pPr>
      <w:r w:rsidRPr="00D1098C">
        <w:rPr>
          <w:rFonts w:ascii="Times New Roman" w:hAnsi="Times New Roman" w:cs="Times New Roman"/>
        </w:rPr>
        <w:t>The number of “oxygen beds” (including ICU beds) increased from less than 300 in March 2020 to approximately 22,000 in October 2020 in public facilities. Similarly, the number of Ventilators currently in public facilities reached nearly 6000 numbers, wherein more than 50% of procurement was done during last eight months</w:t>
      </w:r>
      <w:r w:rsidRPr="00D1098C">
        <w:rPr>
          <w:rFonts w:ascii="Times New Roman" w:hAnsi="Times New Roman" w:cs="Times New Roman"/>
          <w:color w:val="auto"/>
        </w:rPr>
        <w:t xml:space="preserve">. </w:t>
      </w:r>
      <w:r w:rsidR="003C33FD" w:rsidRPr="00D1098C">
        <w:rPr>
          <w:rFonts w:ascii="Times New Roman" w:hAnsi="Times New Roman" w:cs="Times New Roman"/>
          <w:color w:val="auto"/>
        </w:rPr>
        <w:t xml:space="preserve">The number of High Flow Nasal Cannula (HFNC) and Continuous Positive Airway Pressure Therapy (CPAP) in the facilities during March 2020 was 85 and 124 respectively and it was increased to 2164 and 201 </w:t>
      </w:r>
      <w:r w:rsidR="003C33FD" w:rsidRPr="00D1098C">
        <w:rPr>
          <w:rFonts w:ascii="Times New Roman" w:hAnsi="Times New Roman" w:cs="Times New Roman"/>
          <w:color w:val="auto"/>
        </w:rPr>
        <w:lastRenderedPageBreak/>
        <w:t xml:space="preserve">respectively by October 2020.  </w:t>
      </w:r>
      <w:r w:rsidRPr="00D1098C">
        <w:rPr>
          <w:rFonts w:ascii="Times New Roman" w:hAnsi="Times New Roman" w:cs="Times New Roman"/>
        </w:rPr>
        <w:t xml:space="preserve">The entire procurement and installation of the equipment with all the necessary consumables for this was again the work of the TNMSC. </w:t>
      </w:r>
    </w:p>
    <w:p w:rsidR="00490882" w:rsidRPr="00D1098C" w:rsidRDefault="00490882" w:rsidP="00490882">
      <w:pPr>
        <w:pStyle w:val="Default"/>
        <w:spacing w:line="360" w:lineRule="auto"/>
        <w:jc w:val="both"/>
        <w:rPr>
          <w:rFonts w:ascii="Times New Roman" w:hAnsi="Times New Roman" w:cs="Times New Roman"/>
        </w:rPr>
      </w:pPr>
    </w:p>
    <w:p w:rsidR="00F43690" w:rsidRPr="00D1098C" w:rsidRDefault="00490882" w:rsidP="00F43690">
      <w:pPr>
        <w:spacing w:after="240" w:line="360" w:lineRule="auto"/>
        <w:jc w:val="both"/>
        <w:rPr>
          <w:rFonts w:ascii="Times New Roman" w:hAnsi="Times New Roman" w:cs="Times New Roman"/>
          <w:color w:val="FF0000"/>
          <w:sz w:val="24"/>
          <w:szCs w:val="24"/>
        </w:rPr>
      </w:pPr>
      <w:r w:rsidRPr="00D1098C">
        <w:rPr>
          <w:rFonts w:ascii="Times New Roman" w:hAnsi="Times New Roman" w:cs="Times New Roman"/>
          <w:sz w:val="24"/>
          <w:szCs w:val="24"/>
        </w:rPr>
        <w:t xml:space="preserve">There were also no pricing issues in Tamil Nadu public health system since the government had a clear commitment to provide all these hospitalization services free of charge-including the medication, and diagnostics and ICU bed charges. Rate contract for all drugs was finalized by TNMSC and the requirement of each district was directly delivered to dedicated district warehouses. </w:t>
      </w:r>
      <w:r w:rsidR="00F43690" w:rsidRPr="00D1098C">
        <w:rPr>
          <w:rFonts w:ascii="Times New Roman" w:hAnsi="Times New Roman" w:cs="Times New Roman"/>
          <w:sz w:val="24"/>
          <w:szCs w:val="24"/>
        </w:rPr>
        <w:t xml:space="preserve">To avoid disruptions in availability, a model of regular releases to institutions was also formulated by TNMSC. The entitlement of each health institution was fixed based on its bed strength and cases. The institutions </w:t>
      </w:r>
      <w:r w:rsidR="00945521" w:rsidRPr="00D1098C">
        <w:rPr>
          <w:rFonts w:ascii="Times New Roman" w:hAnsi="Times New Roman" w:cs="Times New Roman"/>
          <w:sz w:val="24"/>
          <w:szCs w:val="24"/>
        </w:rPr>
        <w:t>were</w:t>
      </w:r>
      <w:r w:rsidR="00F43690" w:rsidRPr="00D1098C">
        <w:rPr>
          <w:rFonts w:ascii="Times New Roman" w:hAnsi="Times New Roman" w:cs="Times New Roman"/>
          <w:sz w:val="24"/>
          <w:szCs w:val="24"/>
        </w:rPr>
        <w:t xml:space="preserve"> allowed to lift the items once in every two days from the warehouses without any payment, by accounting all the COVID-19 related supplies as of zero value and not linking them to their corresponding regular budgetary allotments.</w:t>
      </w:r>
    </w:p>
    <w:p w:rsidR="003C33FD" w:rsidRPr="00D1098C" w:rsidRDefault="00490882" w:rsidP="003C33FD">
      <w:pPr>
        <w:pStyle w:val="Default"/>
        <w:spacing w:line="360" w:lineRule="auto"/>
        <w:jc w:val="both"/>
        <w:rPr>
          <w:rFonts w:ascii="Times New Roman" w:hAnsi="Times New Roman" w:cs="Times New Roman"/>
          <w:color w:val="auto"/>
        </w:rPr>
      </w:pPr>
      <w:r w:rsidRPr="00D1098C">
        <w:rPr>
          <w:rFonts w:ascii="Times New Roman" w:hAnsi="Times New Roman" w:cs="Times New Roman"/>
        </w:rPr>
        <w:t xml:space="preserve">TNMSC ensured adequate availability of special high end drugs such as Tocilizumab Injection, Remedesivir, Enoxaparin Injection for the management of COVID-19 in all Government Medical Institutions throughout the State by adopting a streamlined and centralized procedure for the procurement, storage and distribution. To counter the challenges that may arise during the procurement and supply of the drugs, a competitive pricing was offered to the companies for the procurement. </w:t>
      </w:r>
      <w:r w:rsidR="003C33FD" w:rsidRPr="00D1098C">
        <w:rPr>
          <w:rFonts w:ascii="Times New Roman" w:hAnsi="Times New Roman" w:cs="Times New Roman"/>
          <w:color w:val="auto"/>
        </w:rPr>
        <w:t>A recent Government report states that as of  Nov 15</w:t>
      </w:r>
      <w:r w:rsidR="003C33FD" w:rsidRPr="00D1098C">
        <w:rPr>
          <w:rFonts w:ascii="Times New Roman" w:hAnsi="Times New Roman" w:cs="Times New Roman"/>
          <w:color w:val="auto"/>
          <w:vertAlign w:val="superscript"/>
        </w:rPr>
        <w:t>th</w:t>
      </w:r>
      <w:r w:rsidR="003C33FD" w:rsidRPr="00D1098C">
        <w:rPr>
          <w:rFonts w:ascii="Times New Roman" w:hAnsi="Times New Roman" w:cs="Times New Roman"/>
          <w:color w:val="auto"/>
        </w:rPr>
        <w:t xml:space="preserve"> 2020, TNMSC has supplied </w:t>
      </w:r>
      <w:r w:rsidR="003C33FD" w:rsidRPr="00D1098C">
        <w:rPr>
          <w:rFonts w:ascii="Times New Roman" w:hAnsi="Times New Roman" w:cs="Times New Roman"/>
          <w:bCs/>
          <w:color w:val="auto"/>
        </w:rPr>
        <w:t xml:space="preserve">4,63,344 vials of </w:t>
      </w:r>
      <w:r w:rsidR="003C33FD" w:rsidRPr="00D1098C">
        <w:rPr>
          <w:rFonts w:ascii="Times New Roman" w:hAnsi="Times New Roman" w:cs="Times New Roman"/>
          <w:color w:val="auto"/>
        </w:rPr>
        <w:t xml:space="preserve">Remdesivir Inj and </w:t>
      </w:r>
      <w:r w:rsidR="003C33FD" w:rsidRPr="00D1098C">
        <w:rPr>
          <w:rFonts w:ascii="Times New Roman" w:hAnsi="Times New Roman" w:cs="Times New Roman"/>
          <w:bCs/>
          <w:color w:val="auto"/>
        </w:rPr>
        <w:t xml:space="preserve">8,31,969 vials of </w:t>
      </w:r>
      <w:r w:rsidR="003C33FD" w:rsidRPr="00D1098C">
        <w:rPr>
          <w:rFonts w:ascii="Times New Roman" w:hAnsi="Times New Roman" w:cs="Times New Roman"/>
          <w:color w:val="auto"/>
        </w:rPr>
        <w:t xml:space="preserve">Enoxaparin Inj and 2047 of Tocilizumab Inj. Dexamethasone of course was already part of the government supply chain. </w:t>
      </w:r>
    </w:p>
    <w:p w:rsidR="00945521" w:rsidRPr="00D1098C" w:rsidRDefault="00945521" w:rsidP="003C33FD">
      <w:pPr>
        <w:pStyle w:val="Default"/>
        <w:spacing w:line="360" w:lineRule="auto"/>
        <w:jc w:val="both"/>
        <w:rPr>
          <w:rFonts w:ascii="Times New Roman" w:hAnsi="Times New Roman" w:cs="Times New Roman"/>
          <w:color w:val="auto"/>
        </w:rPr>
      </w:pPr>
    </w:p>
    <w:p w:rsidR="00D61E16" w:rsidRPr="00D1098C" w:rsidRDefault="00C2548D" w:rsidP="00D61E16">
      <w:pPr>
        <w:spacing w:after="240" w:line="360" w:lineRule="auto"/>
        <w:jc w:val="both"/>
        <w:rPr>
          <w:rFonts w:ascii="Times New Roman" w:hAnsi="Times New Roman" w:cs="Times New Roman"/>
          <w:sz w:val="24"/>
          <w:szCs w:val="24"/>
        </w:rPr>
      </w:pPr>
      <w:r w:rsidRPr="00D1098C">
        <w:rPr>
          <w:rFonts w:ascii="Times New Roman" w:hAnsi="Times New Roman" w:cs="Times New Roman"/>
          <w:sz w:val="24"/>
          <w:szCs w:val="24"/>
        </w:rPr>
        <w:t xml:space="preserve">Since the scientific understanding and clinical management of the pandemic </w:t>
      </w:r>
      <w:r w:rsidR="00097ACC" w:rsidRPr="00D1098C">
        <w:rPr>
          <w:rFonts w:ascii="Times New Roman" w:hAnsi="Times New Roman" w:cs="Times New Roman"/>
          <w:sz w:val="24"/>
          <w:szCs w:val="24"/>
        </w:rPr>
        <w:t>keep</w:t>
      </w:r>
      <w:r w:rsidR="00D61E16" w:rsidRPr="00D1098C">
        <w:rPr>
          <w:rFonts w:ascii="Times New Roman" w:hAnsi="Times New Roman" w:cs="Times New Roman"/>
          <w:sz w:val="24"/>
          <w:szCs w:val="24"/>
        </w:rPr>
        <w:t xml:space="preserve"> on evolving day by day, procurement policies also needs to be tuned in such a manner </w:t>
      </w:r>
      <w:r w:rsidRPr="00D1098C">
        <w:rPr>
          <w:rFonts w:ascii="Times New Roman" w:hAnsi="Times New Roman" w:cs="Times New Roman"/>
          <w:sz w:val="24"/>
          <w:szCs w:val="24"/>
        </w:rPr>
        <w:t xml:space="preserve">to ensure supplies in the sellers’ market. </w:t>
      </w:r>
      <w:r w:rsidR="00D61E16" w:rsidRPr="00D1098C">
        <w:rPr>
          <w:rFonts w:ascii="Times New Roman" w:hAnsi="Times New Roman" w:cs="Times New Roman"/>
          <w:sz w:val="24"/>
          <w:szCs w:val="24"/>
        </w:rPr>
        <w:t>TNMSC</w:t>
      </w:r>
      <w:r w:rsidRPr="00D1098C">
        <w:rPr>
          <w:rFonts w:ascii="Times New Roman" w:hAnsi="Times New Roman" w:cs="Times New Roman"/>
          <w:sz w:val="24"/>
          <w:szCs w:val="24"/>
        </w:rPr>
        <w:t xml:space="preserve"> continuously followed USFDA approvals and other developments on therapeutic </w:t>
      </w:r>
      <w:r w:rsidR="00D61E16" w:rsidRPr="00D1098C">
        <w:rPr>
          <w:rFonts w:ascii="Times New Roman" w:hAnsi="Times New Roman" w:cs="Times New Roman"/>
          <w:sz w:val="24"/>
          <w:szCs w:val="24"/>
        </w:rPr>
        <w:t>applications in this regard. Early large scale adoption of Remdesivir, cautious adoption of Tocilizumab and avoiding Faviperavir, installing CT scans earmarked for COVID patients etc. were few successful examples in this regard on how TNMSC has done evidence based procurement planning.</w:t>
      </w:r>
    </w:p>
    <w:p w:rsidR="00D1098C" w:rsidRDefault="00D1098C" w:rsidP="00490882">
      <w:pPr>
        <w:pStyle w:val="Default"/>
        <w:spacing w:line="360" w:lineRule="auto"/>
        <w:jc w:val="both"/>
        <w:rPr>
          <w:rFonts w:ascii="Times New Roman" w:hAnsi="Times New Roman" w:cs="Times New Roman"/>
          <w:b/>
          <w:color w:val="000000" w:themeColor="text1"/>
        </w:rPr>
      </w:pPr>
    </w:p>
    <w:p w:rsidR="00D1098C" w:rsidRDefault="00D1098C" w:rsidP="00490882">
      <w:pPr>
        <w:pStyle w:val="Default"/>
        <w:spacing w:line="360" w:lineRule="auto"/>
        <w:jc w:val="both"/>
        <w:rPr>
          <w:rFonts w:ascii="Times New Roman" w:hAnsi="Times New Roman" w:cs="Times New Roman"/>
          <w:b/>
          <w:color w:val="000000" w:themeColor="text1"/>
        </w:rPr>
      </w:pPr>
    </w:p>
    <w:p w:rsidR="00490882" w:rsidRPr="00D1098C" w:rsidRDefault="00490882" w:rsidP="00490882">
      <w:pPr>
        <w:pStyle w:val="Default"/>
        <w:spacing w:line="360" w:lineRule="auto"/>
        <w:jc w:val="both"/>
        <w:rPr>
          <w:rFonts w:ascii="Times New Roman" w:hAnsi="Times New Roman" w:cs="Times New Roman"/>
          <w:b/>
          <w:color w:val="000000" w:themeColor="text1"/>
        </w:rPr>
      </w:pPr>
      <w:r w:rsidRPr="00D1098C">
        <w:rPr>
          <w:rFonts w:ascii="Times New Roman" w:hAnsi="Times New Roman" w:cs="Times New Roman"/>
          <w:b/>
          <w:color w:val="000000" w:themeColor="text1"/>
        </w:rPr>
        <w:lastRenderedPageBreak/>
        <w:t>The course of the Pandemic in Tamil Nadu</w:t>
      </w:r>
    </w:p>
    <w:p w:rsidR="00490882" w:rsidRPr="00D1098C" w:rsidRDefault="00490882" w:rsidP="00490882">
      <w:pPr>
        <w:pStyle w:val="Default"/>
        <w:spacing w:line="360" w:lineRule="auto"/>
        <w:jc w:val="both"/>
        <w:rPr>
          <w:rFonts w:ascii="Times New Roman" w:hAnsi="Times New Roman" w:cs="Times New Roman"/>
          <w:b/>
          <w:color w:val="000000" w:themeColor="text1"/>
        </w:rPr>
      </w:pPr>
    </w:p>
    <w:p w:rsidR="00490882" w:rsidRPr="00D1098C" w:rsidRDefault="00490882" w:rsidP="00490882">
      <w:pPr>
        <w:spacing w:line="360" w:lineRule="auto"/>
        <w:jc w:val="both"/>
        <w:rPr>
          <w:rFonts w:ascii="Times New Roman" w:hAnsi="Times New Roman" w:cs="Times New Roman"/>
          <w:bCs/>
          <w:sz w:val="24"/>
          <w:szCs w:val="24"/>
          <w:lang w:val="en-US"/>
        </w:rPr>
      </w:pPr>
      <w:r w:rsidRPr="00D1098C">
        <w:rPr>
          <w:rFonts w:ascii="Times New Roman" w:hAnsi="Times New Roman" w:cs="Times New Roman"/>
          <w:color w:val="000000" w:themeColor="text1"/>
          <w:sz w:val="24"/>
          <w:szCs w:val="24"/>
          <w:lang w:val="en-US"/>
        </w:rPr>
        <w:t xml:space="preserve">Eight months after the start of the epidemic, the transmission curve is currently showing a downward trend in the State.  There are many reasons for Tamil Nadu’s relatively good performance.  But what we highlight in this paper is how rapid scaling up of access to testing and to appropriate therapeutics requires </w:t>
      </w:r>
      <w:r w:rsidRPr="00D1098C">
        <w:rPr>
          <w:rFonts w:ascii="Times New Roman" w:hAnsi="Times New Roman" w:cs="Times New Roman"/>
          <w:color w:val="000000" w:themeColor="text1"/>
          <w:sz w:val="24"/>
          <w:szCs w:val="24"/>
        </w:rPr>
        <w:t xml:space="preserve">robust public procurement systems for drugs and diagnostics to be already in place.  Also in a context where the entire treatment has to be provided without any user fees, </w:t>
      </w:r>
      <w:r w:rsidRPr="00D1098C">
        <w:rPr>
          <w:rFonts w:ascii="Times New Roman" w:hAnsi="Times New Roman" w:cs="Times New Roman"/>
          <w:sz w:val="24"/>
          <w:szCs w:val="24"/>
        </w:rPr>
        <w:t xml:space="preserve">a good public procurement agency for drugs and diagnostics brings value for money. TNMSC officials claim that Tamil Nadu has managed the lowest rate in the country for all the consumables in use, while ensuring </w:t>
      </w:r>
      <w:r w:rsidRPr="00D1098C">
        <w:rPr>
          <w:rFonts w:ascii="Times New Roman" w:hAnsi="Times New Roman" w:cs="Times New Roman"/>
          <w:bCs/>
          <w:sz w:val="24"/>
          <w:szCs w:val="24"/>
          <w:lang w:val="en-US"/>
        </w:rPr>
        <w:t xml:space="preserve">quality assurance and deploying the best technology options. This is one reason why Tamil Nadu has been able to reach one of the highest levels of testing and institutionalized care for COVID 19 in the country.  </w:t>
      </w:r>
    </w:p>
    <w:p w:rsidR="00490882" w:rsidRPr="00D1098C" w:rsidRDefault="00490882" w:rsidP="00490882">
      <w:pPr>
        <w:spacing w:line="360" w:lineRule="auto"/>
        <w:jc w:val="both"/>
        <w:rPr>
          <w:rFonts w:ascii="Times New Roman" w:hAnsi="Times New Roman" w:cs="Times New Roman"/>
          <w:sz w:val="24"/>
          <w:szCs w:val="24"/>
          <w:lang w:val="en-US"/>
        </w:rPr>
      </w:pPr>
      <w:r w:rsidRPr="00D1098C">
        <w:rPr>
          <w:rFonts w:ascii="Times New Roman" w:hAnsi="Times New Roman" w:cs="Times New Roman"/>
          <w:bCs/>
          <w:sz w:val="24"/>
          <w:szCs w:val="24"/>
          <w:lang w:val="en-US"/>
        </w:rPr>
        <w:t xml:space="preserve">COVID-19 has exposed both the vulnerabilities and opportunities in public health systems. One measure of the success of any public service institution is gauged on its efficiency, responsiveness and resilience, when faced with a crisis. The Tamil Nadu experience shows that public trust in public health institutions is still intact. It validates the understanding that investing in public institutions is essential for responsiveness to pandemics and other public health emergencies.  And further that a robust public health procurement and logistics system is an essential element of building both trust and resilience in public health services. These are lessons for every state. But states like Tamil Nadu should go further and also invest in </w:t>
      </w:r>
      <w:r w:rsidRPr="00D1098C">
        <w:rPr>
          <w:rFonts w:ascii="Times New Roman" w:hAnsi="Times New Roman" w:cs="Times New Roman"/>
          <w:sz w:val="24"/>
          <w:szCs w:val="24"/>
          <w:lang w:val="en-US"/>
        </w:rPr>
        <w:t xml:space="preserve">developing domestic manufacturing capacity and building the innovation ecosystems required for necessary medical products- including vaccines, diagnostics, devices, vaccines and personal protective equipment. </w:t>
      </w:r>
    </w:p>
    <w:p w:rsidR="00490882" w:rsidRPr="00D1098C" w:rsidRDefault="00490882" w:rsidP="00490882">
      <w:pPr>
        <w:spacing w:line="360" w:lineRule="auto"/>
        <w:jc w:val="both"/>
        <w:rPr>
          <w:rFonts w:ascii="Times New Roman" w:hAnsi="Times New Roman" w:cs="Times New Roman"/>
          <w:sz w:val="24"/>
          <w:szCs w:val="24"/>
          <w:lang w:val="en-US"/>
        </w:rPr>
      </w:pPr>
      <w:r w:rsidRPr="00D1098C">
        <w:rPr>
          <w:rFonts w:ascii="Times New Roman" w:hAnsi="Times New Roman" w:cs="Times New Roman"/>
          <w:b/>
          <w:sz w:val="24"/>
          <w:szCs w:val="24"/>
          <w:lang w:val="en-US"/>
        </w:rPr>
        <w:t>Acknowledgement:</w:t>
      </w:r>
      <w:r w:rsidRPr="00D1098C">
        <w:rPr>
          <w:rFonts w:ascii="Times New Roman" w:hAnsi="Times New Roman" w:cs="Times New Roman"/>
          <w:sz w:val="24"/>
          <w:szCs w:val="24"/>
          <w:lang w:val="en-US"/>
        </w:rPr>
        <w:t xml:space="preserve"> </w:t>
      </w:r>
      <w:r w:rsidR="00AA780B" w:rsidRPr="00D1098C">
        <w:rPr>
          <w:rFonts w:ascii="Times New Roman" w:hAnsi="Times New Roman" w:cs="Times New Roman"/>
          <w:b/>
          <w:sz w:val="24"/>
          <w:szCs w:val="24"/>
          <w:lang w:val="en-US"/>
        </w:rPr>
        <w:t xml:space="preserve">Dr P Umanath </w:t>
      </w:r>
      <w:r w:rsidR="00AA780B" w:rsidRPr="00D1098C">
        <w:rPr>
          <w:rFonts w:ascii="Times New Roman" w:hAnsi="Times New Roman" w:cs="Times New Roman"/>
          <w:sz w:val="24"/>
          <w:szCs w:val="24"/>
          <w:lang w:val="en-US"/>
        </w:rPr>
        <w:t xml:space="preserve">and the team from TNMSC gave critical inputs which helped the authors very much in developing the article. </w:t>
      </w:r>
      <w:r w:rsidRPr="00D1098C">
        <w:rPr>
          <w:rFonts w:ascii="Times New Roman" w:hAnsi="Times New Roman" w:cs="Times New Roman"/>
          <w:sz w:val="24"/>
          <w:szCs w:val="24"/>
          <w:lang w:val="en-US"/>
        </w:rPr>
        <w:t xml:space="preserve">The authors are acknowledged to </w:t>
      </w:r>
      <w:r w:rsidR="00AA780B" w:rsidRPr="00D1098C">
        <w:rPr>
          <w:rFonts w:ascii="Times New Roman" w:hAnsi="Times New Roman" w:cs="Times New Roman"/>
          <w:sz w:val="24"/>
          <w:szCs w:val="24"/>
          <w:lang w:val="en-US"/>
        </w:rPr>
        <w:t xml:space="preserve">all </w:t>
      </w:r>
      <w:r w:rsidRPr="00D1098C">
        <w:rPr>
          <w:rFonts w:ascii="Times New Roman" w:hAnsi="Times New Roman" w:cs="Times New Roman"/>
          <w:sz w:val="24"/>
          <w:szCs w:val="24"/>
          <w:lang w:val="en-US"/>
        </w:rPr>
        <w:t xml:space="preserve">staff from TNMSC, State Emergency Operations Center (EOC), Tamil Nadu-Health Informatics Division, National Health Mission and other Directorates who gave us time for detailed information and shared data from internal review reports. We are also thankful to the department for the permission to publish the same. The views expressed in this papers and responsibility for errors if any, are however with the authors. </w:t>
      </w:r>
    </w:p>
    <w:p w:rsidR="00D1098C" w:rsidRDefault="00D1098C" w:rsidP="00490882">
      <w:pPr>
        <w:spacing w:line="360" w:lineRule="auto"/>
        <w:jc w:val="both"/>
        <w:rPr>
          <w:rFonts w:ascii="Times New Roman" w:hAnsi="Times New Roman" w:cs="Times New Roman"/>
          <w:b/>
          <w:sz w:val="24"/>
          <w:szCs w:val="24"/>
          <w:lang w:val="en-US"/>
        </w:rPr>
      </w:pPr>
    </w:p>
    <w:p w:rsidR="00D1098C" w:rsidRDefault="00D1098C" w:rsidP="00490882">
      <w:pPr>
        <w:spacing w:line="360" w:lineRule="auto"/>
        <w:jc w:val="both"/>
        <w:rPr>
          <w:rFonts w:ascii="Times New Roman" w:hAnsi="Times New Roman" w:cs="Times New Roman"/>
          <w:b/>
          <w:sz w:val="24"/>
          <w:szCs w:val="24"/>
          <w:lang w:val="en-US"/>
        </w:rPr>
      </w:pPr>
    </w:p>
    <w:p w:rsidR="00490882" w:rsidRPr="00D1098C" w:rsidRDefault="00490882" w:rsidP="00490882">
      <w:pPr>
        <w:spacing w:line="360" w:lineRule="auto"/>
        <w:jc w:val="both"/>
        <w:rPr>
          <w:rFonts w:ascii="Times New Roman" w:hAnsi="Times New Roman" w:cs="Times New Roman"/>
          <w:b/>
          <w:sz w:val="24"/>
          <w:szCs w:val="24"/>
          <w:lang w:val="en-US"/>
        </w:rPr>
      </w:pPr>
      <w:r w:rsidRPr="00D1098C">
        <w:rPr>
          <w:rFonts w:ascii="Times New Roman" w:hAnsi="Times New Roman" w:cs="Times New Roman"/>
          <w:b/>
          <w:sz w:val="24"/>
          <w:szCs w:val="24"/>
          <w:lang w:val="en-US"/>
        </w:rPr>
        <w:lastRenderedPageBreak/>
        <w:t>Note:</w:t>
      </w:r>
    </w:p>
    <w:p w:rsidR="00490882" w:rsidRPr="00D1098C" w:rsidRDefault="00490882" w:rsidP="00490882">
      <w:pPr>
        <w:pStyle w:val="ListParagraph"/>
        <w:numPr>
          <w:ilvl w:val="0"/>
          <w:numId w:val="2"/>
        </w:numPr>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Most of the data mentioned in the paper is from the Daily Media Bulletins published by Health &amp; Family Welfare Department, Tamil Nadu.</w:t>
      </w:r>
    </w:p>
    <w:p w:rsidR="00490882" w:rsidRPr="00D1098C" w:rsidRDefault="00490882" w:rsidP="00490882">
      <w:pPr>
        <w:pStyle w:val="ListParagraph"/>
        <w:numPr>
          <w:ilvl w:val="0"/>
          <w:numId w:val="2"/>
        </w:numPr>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 xml:space="preserve"> The data on TNMSC procurement of drugs, diagnostics, Oxygen Capacity, Beds, Ventilators etc. was obtained from Internal Reports </w:t>
      </w:r>
      <w:r w:rsidR="008C47C1" w:rsidRPr="00D1098C">
        <w:rPr>
          <w:rFonts w:ascii="Times New Roman" w:hAnsi="Times New Roman" w:cs="Times New Roman"/>
          <w:sz w:val="24"/>
          <w:szCs w:val="24"/>
        </w:rPr>
        <w:t xml:space="preserve">from TNMSC and </w:t>
      </w:r>
      <w:r w:rsidRPr="00D1098C">
        <w:rPr>
          <w:rFonts w:ascii="Times New Roman" w:hAnsi="Times New Roman" w:cs="Times New Roman"/>
          <w:sz w:val="24"/>
          <w:szCs w:val="24"/>
        </w:rPr>
        <w:t>the Health &amp; Family Welfare Department, Tamil Nadu.</w:t>
      </w:r>
    </w:p>
    <w:p w:rsidR="00490882" w:rsidRPr="00D1098C" w:rsidRDefault="00490882" w:rsidP="00490882">
      <w:pPr>
        <w:tabs>
          <w:tab w:val="left" w:pos="948"/>
        </w:tabs>
        <w:spacing w:line="360" w:lineRule="auto"/>
        <w:jc w:val="both"/>
        <w:rPr>
          <w:rFonts w:ascii="Times New Roman" w:hAnsi="Times New Roman" w:cs="Times New Roman"/>
          <w:b/>
          <w:sz w:val="24"/>
          <w:szCs w:val="24"/>
        </w:rPr>
      </w:pPr>
      <w:r w:rsidRPr="00D1098C">
        <w:rPr>
          <w:rFonts w:ascii="Times New Roman" w:hAnsi="Times New Roman" w:cs="Times New Roman"/>
          <w:b/>
          <w:sz w:val="24"/>
          <w:szCs w:val="24"/>
        </w:rPr>
        <w:t>References:</w:t>
      </w:r>
    </w:p>
    <w:p w:rsidR="002048AC" w:rsidRPr="00D1098C" w:rsidRDefault="002048AC" w:rsidP="002048AC">
      <w:pPr>
        <w:pStyle w:val="ListParagraph"/>
        <w:numPr>
          <w:ilvl w:val="0"/>
          <w:numId w:val="1"/>
        </w:numPr>
        <w:tabs>
          <w:tab w:val="left" w:pos="948"/>
        </w:tabs>
        <w:spacing w:line="360" w:lineRule="auto"/>
        <w:jc w:val="both"/>
        <w:rPr>
          <w:rFonts w:ascii="Times New Roman" w:hAnsi="Times New Roman" w:cs="Times New Roman"/>
          <w:sz w:val="24"/>
          <w:szCs w:val="24"/>
        </w:rPr>
      </w:pPr>
      <w:r w:rsidRPr="00D1098C">
        <w:rPr>
          <w:rFonts w:ascii="Times New Roman" w:hAnsi="Times New Roman" w:cs="Times New Roman"/>
          <w:sz w:val="24"/>
          <w:szCs w:val="24"/>
        </w:rPr>
        <w:t>The Hindu (Newspaper dated 02.11.2020). Tamil Nadu carries out 1 crore RT-PCR tests for COVID-19. Chennai. Accessed on 05.11.2020</w:t>
      </w:r>
    </w:p>
    <w:p w:rsidR="002048AC" w:rsidRPr="00D1098C" w:rsidRDefault="002048AC" w:rsidP="002048AC">
      <w:pPr>
        <w:pStyle w:val="ListParagraph"/>
        <w:numPr>
          <w:ilvl w:val="0"/>
          <w:numId w:val="1"/>
        </w:numPr>
        <w:tabs>
          <w:tab w:val="left" w:pos="948"/>
        </w:tabs>
        <w:spacing w:line="360" w:lineRule="auto"/>
        <w:jc w:val="both"/>
        <w:rPr>
          <w:rFonts w:ascii="Times New Roman" w:hAnsi="Times New Roman" w:cs="Times New Roman"/>
          <w:sz w:val="24"/>
          <w:szCs w:val="24"/>
        </w:rPr>
      </w:pPr>
      <w:r w:rsidRPr="00D1098C">
        <w:rPr>
          <w:rFonts w:ascii="Times New Roman" w:hAnsi="Times New Roman" w:cs="Times New Roman"/>
          <w:color w:val="222222"/>
          <w:sz w:val="24"/>
          <w:szCs w:val="24"/>
          <w:shd w:val="clear" w:color="auto" w:fill="FFFFFF"/>
        </w:rPr>
        <w:t>Mak GC, Cheng PK, Lau SS, Wong KK, Lau CS, Lam ET, Chan RC, Tsang DN. Evaluation of rapid antigen test for detection of SARS-CoV-2 virus. Journal of Clinical Virology. 2020 Jun 8:104500.</w:t>
      </w:r>
    </w:p>
    <w:p w:rsidR="00490882" w:rsidRPr="00D1098C" w:rsidRDefault="00490882" w:rsidP="00490882">
      <w:pPr>
        <w:pStyle w:val="ListParagraph"/>
        <w:numPr>
          <w:ilvl w:val="0"/>
          <w:numId w:val="1"/>
        </w:numPr>
        <w:tabs>
          <w:tab w:val="left" w:pos="948"/>
        </w:tabs>
        <w:spacing w:line="360" w:lineRule="auto"/>
        <w:jc w:val="both"/>
        <w:rPr>
          <w:rFonts w:ascii="Times New Roman" w:hAnsi="Times New Roman" w:cs="Times New Roman"/>
          <w:sz w:val="24"/>
          <w:szCs w:val="24"/>
        </w:rPr>
      </w:pPr>
      <w:r w:rsidRPr="00D1098C">
        <w:rPr>
          <w:rFonts w:ascii="Times New Roman" w:hAnsi="Times New Roman" w:cs="Times New Roman"/>
          <w:color w:val="222222"/>
          <w:sz w:val="24"/>
          <w:szCs w:val="24"/>
          <w:shd w:val="clear" w:color="auto" w:fill="FFFFFF"/>
        </w:rPr>
        <w:t xml:space="preserve">ICMR. </w:t>
      </w:r>
      <w:r w:rsidRPr="00D1098C">
        <w:rPr>
          <w:rFonts w:ascii="Times New Roman" w:hAnsi="Times New Roman" w:cs="Times New Roman"/>
          <w:sz w:val="24"/>
          <w:szCs w:val="24"/>
        </w:rPr>
        <w:t>Advisory on Strategy for COVID-19 Testing in India (Version VI, dated 4th September 2020) Recommended by the National Task Force on COVID-19. Accessed on 05.11.2020</w:t>
      </w:r>
    </w:p>
    <w:p w:rsidR="002048AC" w:rsidRPr="00D1098C" w:rsidRDefault="002048AC" w:rsidP="002048AC">
      <w:pPr>
        <w:pStyle w:val="ListParagraph"/>
        <w:numPr>
          <w:ilvl w:val="0"/>
          <w:numId w:val="1"/>
        </w:numPr>
        <w:tabs>
          <w:tab w:val="left" w:pos="948"/>
        </w:tabs>
        <w:spacing w:line="360" w:lineRule="auto"/>
        <w:jc w:val="both"/>
        <w:rPr>
          <w:rFonts w:ascii="Times New Roman" w:hAnsi="Times New Roman" w:cs="Times New Roman"/>
          <w:sz w:val="24"/>
          <w:szCs w:val="24"/>
        </w:rPr>
      </w:pPr>
      <w:r w:rsidRPr="00D1098C">
        <w:rPr>
          <w:rFonts w:ascii="Times New Roman" w:hAnsi="Times New Roman" w:cs="Times New Roman"/>
          <w:color w:val="222222"/>
          <w:sz w:val="24"/>
          <w:szCs w:val="24"/>
          <w:shd w:val="clear" w:color="auto" w:fill="FFFFFF"/>
        </w:rPr>
        <w:t>Times of India (Newspaper dated 10.</w:t>
      </w:r>
      <w:r w:rsidRPr="00D1098C">
        <w:rPr>
          <w:rFonts w:ascii="Times New Roman" w:hAnsi="Times New Roman" w:cs="Times New Roman"/>
          <w:sz w:val="24"/>
          <w:szCs w:val="24"/>
        </w:rPr>
        <w:t>09.2020). Health ministry asks states, UTs to mandatorily retest all symptomatic RAT negative cases. Accessed on 05.11.2020</w:t>
      </w:r>
    </w:p>
    <w:p w:rsidR="00490882" w:rsidRPr="00D1098C" w:rsidRDefault="00490882" w:rsidP="00490882">
      <w:pPr>
        <w:pStyle w:val="ListParagraph"/>
        <w:numPr>
          <w:ilvl w:val="0"/>
          <w:numId w:val="1"/>
        </w:numPr>
        <w:tabs>
          <w:tab w:val="left" w:pos="948"/>
        </w:tabs>
        <w:spacing w:line="360" w:lineRule="auto"/>
        <w:jc w:val="both"/>
        <w:rPr>
          <w:rFonts w:ascii="Times New Roman" w:hAnsi="Times New Roman" w:cs="Times New Roman"/>
          <w:sz w:val="24"/>
          <w:szCs w:val="24"/>
        </w:rPr>
      </w:pPr>
      <w:r w:rsidRPr="00D1098C">
        <w:rPr>
          <w:rFonts w:ascii="Times New Roman" w:hAnsi="Times New Roman" w:cs="Times New Roman"/>
          <w:noProof/>
          <w:sz w:val="24"/>
        </w:rPr>
        <w:t xml:space="preserve">Monica Das Gupta, B R Desikachari, Rajendra Shukla, T V Somanathan, P Padmanaban, K K Datta. How Might India’s Public Health Systems Be Strengthened? Lessons from Tamil Nadu. EPW.2010. Vol XLV (10). </w:t>
      </w:r>
      <w:r w:rsidRPr="00D1098C">
        <w:rPr>
          <w:rFonts w:ascii="Times New Roman" w:hAnsi="Times New Roman" w:cs="Times New Roman"/>
          <w:sz w:val="24"/>
          <w:szCs w:val="24"/>
        </w:rPr>
        <w:t>Accessed on 05.11.2020</w:t>
      </w:r>
    </w:p>
    <w:p w:rsidR="00534D02" w:rsidRPr="00D1098C" w:rsidRDefault="00534D02" w:rsidP="00534D02">
      <w:pPr>
        <w:pStyle w:val="ListParagraph"/>
        <w:tabs>
          <w:tab w:val="left" w:pos="948"/>
        </w:tabs>
        <w:spacing w:line="360" w:lineRule="auto"/>
        <w:jc w:val="both"/>
        <w:rPr>
          <w:rFonts w:ascii="Times New Roman" w:hAnsi="Times New Roman" w:cs="Times New Roman"/>
          <w:color w:val="222222"/>
          <w:sz w:val="24"/>
          <w:szCs w:val="24"/>
          <w:shd w:val="clear" w:color="auto" w:fill="FFFFFF"/>
        </w:rPr>
      </w:pPr>
    </w:p>
    <w:p w:rsidR="00534D02" w:rsidRPr="00D1098C" w:rsidRDefault="00534D02" w:rsidP="00534D02">
      <w:pPr>
        <w:tabs>
          <w:tab w:val="left" w:pos="948"/>
        </w:tabs>
        <w:spacing w:line="360" w:lineRule="auto"/>
        <w:jc w:val="both"/>
        <w:rPr>
          <w:rFonts w:ascii="Times New Roman" w:hAnsi="Times New Roman" w:cs="Times New Roman"/>
          <w:b/>
          <w:sz w:val="24"/>
          <w:szCs w:val="24"/>
        </w:rPr>
      </w:pPr>
      <w:r w:rsidRPr="00D1098C">
        <w:rPr>
          <w:rFonts w:ascii="Times New Roman" w:hAnsi="Times New Roman" w:cs="Times New Roman"/>
          <w:b/>
          <w:sz w:val="24"/>
          <w:szCs w:val="24"/>
        </w:rPr>
        <w:t>Author Details</w:t>
      </w:r>
    </w:p>
    <w:p w:rsidR="00534D02" w:rsidRPr="00D1098C" w:rsidRDefault="00534D02" w:rsidP="00534D02">
      <w:pPr>
        <w:jc w:val="both"/>
        <w:rPr>
          <w:rFonts w:ascii="Times New Roman" w:eastAsia="Times New Roman" w:hAnsi="Times New Roman" w:cs="Times New Roman"/>
          <w:i/>
          <w:sz w:val="24"/>
          <w:szCs w:val="24"/>
        </w:rPr>
      </w:pPr>
      <w:r w:rsidRPr="00D1098C">
        <w:rPr>
          <w:rFonts w:ascii="Times New Roman" w:eastAsia="Times New Roman" w:hAnsi="Times New Roman" w:cs="Times New Roman"/>
          <w:b/>
          <w:i/>
          <w:sz w:val="24"/>
          <w:szCs w:val="24"/>
        </w:rPr>
        <w:t>Dr. Adithyan G.S</w:t>
      </w:r>
      <w:r w:rsidRPr="00D1098C">
        <w:rPr>
          <w:rFonts w:ascii="Times New Roman" w:eastAsia="Times New Roman" w:hAnsi="Times New Roman" w:cs="Times New Roman"/>
          <w:i/>
          <w:sz w:val="24"/>
          <w:szCs w:val="24"/>
        </w:rPr>
        <w:t xml:space="preserve"> is a public health professional, currently working </w:t>
      </w:r>
      <w:r w:rsidR="00AA780B" w:rsidRPr="00D1098C">
        <w:rPr>
          <w:rFonts w:ascii="Times New Roman" w:eastAsia="Times New Roman" w:hAnsi="Times New Roman" w:cs="Times New Roman"/>
          <w:i/>
          <w:sz w:val="24"/>
          <w:szCs w:val="24"/>
        </w:rPr>
        <w:t>in Chennai</w:t>
      </w:r>
      <w:r w:rsidRPr="00D1098C">
        <w:rPr>
          <w:rFonts w:ascii="Times New Roman" w:eastAsia="Times New Roman" w:hAnsi="Times New Roman" w:cs="Times New Roman"/>
          <w:i/>
          <w:sz w:val="24"/>
          <w:szCs w:val="24"/>
        </w:rPr>
        <w:t xml:space="preserve">, Tamil Nadu. He holds a public health postgraduate degree from the School of Health Systems Studies, Tata Institute of Social Sciences, Mumbai. Email: </w:t>
      </w:r>
      <w:hyperlink r:id="rId15" w:history="1">
        <w:r w:rsidR="00B20B46" w:rsidRPr="00D1098C">
          <w:rPr>
            <w:rStyle w:val="Hyperlink"/>
            <w:rFonts w:ascii="Times New Roman" w:eastAsia="Times New Roman" w:hAnsi="Times New Roman" w:cs="Times New Roman"/>
            <w:i/>
            <w:sz w:val="24"/>
            <w:szCs w:val="24"/>
          </w:rPr>
          <w:t>adithyangs@gmail.com</w:t>
        </w:r>
      </w:hyperlink>
      <w:r w:rsidR="00B20B46" w:rsidRPr="00D1098C">
        <w:rPr>
          <w:rFonts w:ascii="Times New Roman" w:eastAsia="Times New Roman" w:hAnsi="Times New Roman" w:cs="Times New Roman"/>
          <w:i/>
          <w:sz w:val="24"/>
          <w:szCs w:val="24"/>
        </w:rPr>
        <w:t>. Mobile: +91-9037710290</w:t>
      </w:r>
    </w:p>
    <w:p w:rsidR="00534D02" w:rsidRPr="00D1098C" w:rsidRDefault="00534D02" w:rsidP="00534D02">
      <w:pPr>
        <w:jc w:val="both"/>
        <w:rPr>
          <w:rFonts w:ascii="Times New Roman" w:eastAsia="Times New Roman" w:hAnsi="Times New Roman" w:cs="Times New Roman"/>
          <w:i/>
          <w:sz w:val="24"/>
          <w:szCs w:val="24"/>
        </w:rPr>
      </w:pPr>
      <w:r w:rsidRPr="00D1098C">
        <w:rPr>
          <w:rFonts w:ascii="Times New Roman" w:eastAsia="Times New Roman" w:hAnsi="Times New Roman" w:cs="Times New Roman"/>
          <w:b/>
          <w:i/>
          <w:sz w:val="24"/>
          <w:szCs w:val="24"/>
        </w:rPr>
        <w:t xml:space="preserve">Prof. T. Sundararaman, </w:t>
      </w:r>
      <w:r w:rsidRPr="00D1098C">
        <w:rPr>
          <w:rFonts w:ascii="Times New Roman" w:eastAsia="Times New Roman" w:hAnsi="Times New Roman" w:cs="Times New Roman"/>
          <w:i/>
          <w:sz w:val="24"/>
          <w:szCs w:val="24"/>
        </w:rPr>
        <w:t xml:space="preserve">currently </w:t>
      </w:r>
      <w:r w:rsidR="00B367B2" w:rsidRPr="00D1098C">
        <w:rPr>
          <w:rFonts w:ascii="Times New Roman" w:eastAsia="Times New Roman" w:hAnsi="Times New Roman" w:cs="Times New Roman"/>
          <w:i/>
          <w:sz w:val="24"/>
          <w:szCs w:val="24"/>
        </w:rPr>
        <w:t>Global Co-ordinator</w:t>
      </w:r>
      <w:r w:rsidRPr="00D1098C">
        <w:rPr>
          <w:rFonts w:ascii="Times New Roman" w:eastAsia="Times New Roman" w:hAnsi="Times New Roman" w:cs="Times New Roman"/>
          <w:i/>
          <w:sz w:val="24"/>
          <w:szCs w:val="24"/>
        </w:rPr>
        <w:t xml:space="preserve"> with Peoples Health Movement is the former Professor of Medicine, JIPMER; former Executive Director, National Health Systems Resource Center (NHSRC), and former Dean, School of Health Systems Studies, Tata Institute of Social Sciences.</w:t>
      </w:r>
      <w:r w:rsidR="002048AC" w:rsidRPr="00D1098C">
        <w:rPr>
          <w:rFonts w:ascii="Times New Roman" w:eastAsia="Times New Roman" w:hAnsi="Times New Roman" w:cs="Times New Roman"/>
          <w:i/>
          <w:sz w:val="24"/>
          <w:szCs w:val="24"/>
        </w:rPr>
        <w:t xml:space="preserve"> Email: sundar2016@gmail.com</w:t>
      </w:r>
    </w:p>
    <w:p w:rsidR="00534D02" w:rsidRPr="00D1098C" w:rsidRDefault="00534D02" w:rsidP="00534D02">
      <w:pPr>
        <w:pStyle w:val="ListParagraph"/>
        <w:tabs>
          <w:tab w:val="left" w:pos="948"/>
        </w:tabs>
        <w:spacing w:line="360" w:lineRule="auto"/>
        <w:jc w:val="both"/>
        <w:rPr>
          <w:rFonts w:ascii="Times New Roman" w:hAnsi="Times New Roman" w:cs="Times New Roman"/>
          <w:sz w:val="24"/>
          <w:szCs w:val="24"/>
        </w:rPr>
      </w:pPr>
    </w:p>
    <w:sectPr w:rsidR="00534D02" w:rsidRPr="00D109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25D" w:rsidRDefault="00FA125D" w:rsidP="00617C36">
      <w:pPr>
        <w:spacing w:after="0" w:line="240" w:lineRule="auto"/>
      </w:pPr>
      <w:r>
        <w:separator/>
      </w:r>
    </w:p>
  </w:endnote>
  <w:endnote w:type="continuationSeparator" w:id="0">
    <w:p w:rsidR="00FA125D" w:rsidRDefault="00FA125D" w:rsidP="00617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25D" w:rsidRDefault="00FA125D" w:rsidP="00617C36">
      <w:pPr>
        <w:spacing w:after="0" w:line="240" w:lineRule="auto"/>
      </w:pPr>
      <w:r>
        <w:separator/>
      </w:r>
    </w:p>
  </w:footnote>
  <w:footnote w:type="continuationSeparator" w:id="0">
    <w:p w:rsidR="00FA125D" w:rsidRDefault="00FA125D" w:rsidP="00617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E3843"/>
    <w:multiLevelType w:val="hybridMultilevel"/>
    <w:tmpl w:val="44B40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8F4F60"/>
    <w:multiLevelType w:val="hybridMultilevel"/>
    <w:tmpl w:val="D0969D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400305B"/>
    <w:multiLevelType w:val="hybridMultilevel"/>
    <w:tmpl w:val="1778B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9E55A5"/>
    <w:multiLevelType w:val="hybridMultilevel"/>
    <w:tmpl w:val="DC041A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DAD63DC"/>
    <w:multiLevelType w:val="hybridMultilevel"/>
    <w:tmpl w:val="0BD8C9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CBB7055"/>
    <w:multiLevelType w:val="hybridMultilevel"/>
    <w:tmpl w:val="89307DFC"/>
    <w:lvl w:ilvl="0" w:tplc="E4D45EE8">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DF12166"/>
    <w:multiLevelType w:val="hybridMultilevel"/>
    <w:tmpl w:val="02387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82"/>
    <w:rsid w:val="0008195D"/>
    <w:rsid w:val="00097ACC"/>
    <w:rsid w:val="001042D5"/>
    <w:rsid w:val="00116A5D"/>
    <w:rsid w:val="001700E1"/>
    <w:rsid w:val="00184185"/>
    <w:rsid w:val="001C17BA"/>
    <w:rsid w:val="002048AC"/>
    <w:rsid w:val="003B4EA0"/>
    <w:rsid w:val="003C33FD"/>
    <w:rsid w:val="003C7E7D"/>
    <w:rsid w:val="003F7305"/>
    <w:rsid w:val="00414B3A"/>
    <w:rsid w:val="00473460"/>
    <w:rsid w:val="00490882"/>
    <w:rsid w:val="00495006"/>
    <w:rsid w:val="004B53A2"/>
    <w:rsid w:val="004C7A84"/>
    <w:rsid w:val="00534D02"/>
    <w:rsid w:val="005A1E68"/>
    <w:rsid w:val="005D278A"/>
    <w:rsid w:val="00617C36"/>
    <w:rsid w:val="0064080B"/>
    <w:rsid w:val="006F63AD"/>
    <w:rsid w:val="007222D3"/>
    <w:rsid w:val="00775BA3"/>
    <w:rsid w:val="007B04D4"/>
    <w:rsid w:val="008B5C31"/>
    <w:rsid w:val="008C47C1"/>
    <w:rsid w:val="008F4A47"/>
    <w:rsid w:val="00945521"/>
    <w:rsid w:val="0098390C"/>
    <w:rsid w:val="009E112D"/>
    <w:rsid w:val="00A66510"/>
    <w:rsid w:val="00AA780B"/>
    <w:rsid w:val="00B0396D"/>
    <w:rsid w:val="00B20B46"/>
    <w:rsid w:val="00B362AA"/>
    <w:rsid w:val="00B367B2"/>
    <w:rsid w:val="00B669C4"/>
    <w:rsid w:val="00C2548D"/>
    <w:rsid w:val="00C417EF"/>
    <w:rsid w:val="00CB2A43"/>
    <w:rsid w:val="00CC427C"/>
    <w:rsid w:val="00D05D3F"/>
    <w:rsid w:val="00D1098C"/>
    <w:rsid w:val="00D61E16"/>
    <w:rsid w:val="00D96B74"/>
    <w:rsid w:val="00DB4211"/>
    <w:rsid w:val="00DE1B6B"/>
    <w:rsid w:val="00DE273C"/>
    <w:rsid w:val="00DF458E"/>
    <w:rsid w:val="00E07367"/>
    <w:rsid w:val="00E57490"/>
    <w:rsid w:val="00E90EC2"/>
    <w:rsid w:val="00ED2F19"/>
    <w:rsid w:val="00F43690"/>
    <w:rsid w:val="00F94B88"/>
    <w:rsid w:val="00FA1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2879F-D31D-4021-A570-9AF4CE54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88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
    <w:name w:val="None"/>
    <w:rsid w:val="00490882"/>
  </w:style>
  <w:style w:type="paragraph" w:styleId="ListParagraph">
    <w:name w:val="List Paragraph"/>
    <w:basedOn w:val="Normal"/>
    <w:uiPriority w:val="34"/>
    <w:qFormat/>
    <w:rsid w:val="00490882"/>
    <w:pPr>
      <w:spacing w:after="200" w:line="276" w:lineRule="auto"/>
      <w:ind w:left="720"/>
      <w:contextualSpacing/>
    </w:pPr>
    <w:rPr>
      <w:rFonts w:eastAsiaTheme="minorEastAsia"/>
      <w:lang w:val="en-US"/>
    </w:rPr>
  </w:style>
  <w:style w:type="paragraph" w:customStyle="1" w:styleId="Default">
    <w:name w:val="Default"/>
    <w:rsid w:val="00490882"/>
    <w:pPr>
      <w:autoSpaceDE w:val="0"/>
      <w:autoSpaceDN w:val="0"/>
      <w:adjustRightInd w:val="0"/>
      <w:spacing w:after="0" w:line="240" w:lineRule="auto"/>
    </w:pPr>
    <w:rPr>
      <w:rFonts w:ascii="Cambria" w:hAnsi="Cambria" w:cs="Cambria"/>
      <w:color w:val="000000"/>
      <w:sz w:val="24"/>
      <w:szCs w:val="24"/>
    </w:rPr>
  </w:style>
  <w:style w:type="table" w:styleId="LightShading-Accent1">
    <w:name w:val="Light Shading Accent 1"/>
    <w:basedOn w:val="TableNormal"/>
    <w:uiPriority w:val="60"/>
    <w:rsid w:val="0049088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90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882"/>
    <w:rPr>
      <w:rFonts w:ascii="Tahoma" w:hAnsi="Tahoma" w:cs="Tahoma"/>
      <w:sz w:val="16"/>
      <w:szCs w:val="16"/>
    </w:rPr>
  </w:style>
  <w:style w:type="paragraph" w:styleId="NormalWeb">
    <w:name w:val="Normal (Web)"/>
    <w:basedOn w:val="Normal"/>
    <w:uiPriority w:val="99"/>
    <w:unhideWhenUsed/>
    <w:rsid w:val="00DB42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4211"/>
    <w:rPr>
      <w:color w:val="0000FF" w:themeColor="hyperlink"/>
      <w:u w:val="single"/>
    </w:rPr>
  </w:style>
  <w:style w:type="table" w:styleId="TableGrid">
    <w:name w:val="Table Grid"/>
    <w:basedOn w:val="TableNormal"/>
    <w:uiPriority w:val="59"/>
    <w:rsid w:val="00CC427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17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C36"/>
  </w:style>
  <w:style w:type="paragraph" w:styleId="Footer">
    <w:name w:val="footer"/>
    <w:basedOn w:val="Normal"/>
    <w:link w:val="FooterChar"/>
    <w:uiPriority w:val="99"/>
    <w:unhideWhenUsed/>
    <w:rsid w:val="00617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C36"/>
  </w:style>
  <w:style w:type="character" w:customStyle="1" w:styleId="gmaildefault">
    <w:name w:val="gmail_default"/>
    <w:basedOn w:val="DefaultParagraphFont"/>
    <w:rsid w:val="00E9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21346">
      <w:bodyDiv w:val="1"/>
      <w:marLeft w:val="0"/>
      <w:marRight w:val="0"/>
      <w:marTop w:val="0"/>
      <w:marBottom w:val="0"/>
      <w:divBdr>
        <w:top w:val="none" w:sz="0" w:space="0" w:color="auto"/>
        <w:left w:val="none" w:sz="0" w:space="0" w:color="auto"/>
        <w:bottom w:val="none" w:sz="0" w:space="0" w:color="auto"/>
        <w:right w:val="none" w:sz="0" w:space="0" w:color="auto"/>
      </w:divBdr>
    </w:div>
    <w:div w:id="15105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vid19in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adithyangs@gmail.com" TargetMode="External"/><Relationship Id="rId10" Type="http://schemas.openxmlformats.org/officeDocument/2006/relationships/hyperlink" Target="http://www.covid19in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D:\corona%20control%20room\Daily%20analysis\Nov%202020\Nov%2029%20Cab%20Sec%20VC\29.11%20test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Labs </c:v>
                </c:pt>
              </c:strCache>
            </c:strRef>
          </c:tx>
          <c:spPr>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April </c:v>
                </c:pt>
                <c:pt idx="1">
                  <c:v>May </c:v>
                </c:pt>
                <c:pt idx="2">
                  <c:v>June </c:v>
                </c:pt>
                <c:pt idx="3">
                  <c:v>July </c:v>
                </c:pt>
                <c:pt idx="4">
                  <c:v>August </c:v>
                </c:pt>
                <c:pt idx="5">
                  <c:v>September</c:v>
                </c:pt>
                <c:pt idx="6">
                  <c:v>October </c:v>
                </c:pt>
                <c:pt idx="7">
                  <c:v>November</c:v>
                </c:pt>
              </c:strCache>
            </c:strRef>
          </c:cat>
          <c:val>
            <c:numRef>
              <c:f>Sheet1!$B$2:$B$9</c:f>
              <c:numCache>
                <c:formatCode>General</c:formatCode>
                <c:ptCount val="8"/>
                <c:pt idx="0">
                  <c:v>45</c:v>
                </c:pt>
                <c:pt idx="1">
                  <c:v>72</c:v>
                </c:pt>
                <c:pt idx="2">
                  <c:v>90</c:v>
                </c:pt>
                <c:pt idx="3">
                  <c:v>120</c:v>
                </c:pt>
                <c:pt idx="4">
                  <c:v>182</c:v>
                </c:pt>
                <c:pt idx="5">
                  <c:v>186</c:v>
                </c:pt>
                <c:pt idx="6">
                  <c:v>202</c:v>
                </c:pt>
                <c:pt idx="7">
                  <c:v>220</c:v>
                </c:pt>
              </c:numCache>
            </c:numRef>
          </c:val>
        </c:ser>
        <c:dLbls>
          <c:showLegendKey val="0"/>
          <c:showVal val="0"/>
          <c:showCatName val="0"/>
          <c:showSerName val="0"/>
          <c:showPercent val="0"/>
          <c:showBubbleSize val="0"/>
        </c:dLbls>
        <c:gapWidth val="150"/>
        <c:axId val="359594736"/>
        <c:axId val="359595520"/>
      </c:barChart>
      <c:catAx>
        <c:axId val="359594736"/>
        <c:scaling>
          <c:orientation val="minMax"/>
        </c:scaling>
        <c:delete val="0"/>
        <c:axPos val="b"/>
        <c:numFmt formatCode="General" sourceLinked="0"/>
        <c:majorTickMark val="out"/>
        <c:minorTickMark val="none"/>
        <c:tickLblPos val="nextTo"/>
        <c:txPr>
          <a:bodyPr rot="-1860000" vert="horz"/>
          <a:lstStyle/>
          <a:p>
            <a:pPr>
              <a:defRPr/>
            </a:pPr>
            <a:endParaRPr lang="en-US"/>
          </a:p>
        </c:txPr>
        <c:crossAx val="359595520"/>
        <c:crosses val="autoZero"/>
        <c:auto val="1"/>
        <c:lblAlgn val="ctr"/>
        <c:lblOffset val="100"/>
        <c:noMultiLvlLbl val="0"/>
      </c:catAx>
      <c:valAx>
        <c:axId val="359595520"/>
        <c:scaling>
          <c:orientation val="minMax"/>
        </c:scaling>
        <c:delete val="0"/>
        <c:axPos val="l"/>
        <c:numFmt formatCode="General" sourceLinked="1"/>
        <c:majorTickMark val="out"/>
        <c:minorTickMark val="none"/>
        <c:tickLblPos val="nextTo"/>
        <c:crossAx val="359594736"/>
        <c:crosses val="autoZero"/>
        <c:crossBetween val="between"/>
      </c:valAx>
    </c:plotArea>
    <c:plotVisOnly val="1"/>
    <c:dispBlanksAs val="gap"/>
    <c:showDLblsOverMax val="0"/>
  </c:chart>
  <c:txPr>
    <a:bodyPr/>
    <a:lstStyle/>
    <a:p>
      <a:pPr>
        <a:defRPr sz="1100">
          <a:latin typeface="+mj-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Sheet1!$D$3</c:f>
              <c:strCache>
                <c:ptCount val="1"/>
                <c:pt idx="0">
                  <c:v>Govt Labs</c:v>
                </c:pt>
              </c:strCache>
            </c:strRef>
          </c:tx>
          <c:cat>
            <c:strRef>
              <c:f>Sheet1!$C$4:$C$12</c:f>
              <c:strCache>
                <c:ptCount val="9"/>
                <c:pt idx="0">
                  <c:v>Upto March 20</c:v>
                </c:pt>
                <c:pt idx="1">
                  <c:v>April</c:v>
                </c:pt>
                <c:pt idx="2">
                  <c:v>May</c:v>
                </c:pt>
                <c:pt idx="3">
                  <c:v>June</c:v>
                </c:pt>
                <c:pt idx="4">
                  <c:v>July</c:v>
                </c:pt>
                <c:pt idx="5">
                  <c:v>Aug</c:v>
                </c:pt>
                <c:pt idx="6">
                  <c:v>Sep</c:v>
                </c:pt>
                <c:pt idx="7">
                  <c:v>Oct</c:v>
                </c:pt>
                <c:pt idx="8">
                  <c:v>Nov</c:v>
                </c:pt>
              </c:strCache>
            </c:strRef>
          </c:cat>
          <c:val>
            <c:numRef>
              <c:f>Sheet1!$D$4:$D$12</c:f>
            </c:numRef>
          </c:val>
          <c:smooth val="0"/>
        </c:ser>
        <c:ser>
          <c:idx val="1"/>
          <c:order val="1"/>
          <c:tx>
            <c:strRef>
              <c:f>Sheet1!$E$3</c:f>
              <c:strCache>
                <c:ptCount val="1"/>
                <c:pt idx="0">
                  <c:v>Private Labs</c:v>
                </c:pt>
              </c:strCache>
            </c:strRef>
          </c:tx>
          <c:cat>
            <c:strRef>
              <c:f>Sheet1!$C$4:$C$12</c:f>
              <c:strCache>
                <c:ptCount val="9"/>
                <c:pt idx="0">
                  <c:v>Upto March 20</c:v>
                </c:pt>
                <c:pt idx="1">
                  <c:v>April</c:v>
                </c:pt>
                <c:pt idx="2">
                  <c:v>May</c:v>
                </c:pt>
                <c:pt idx="3">
                  <c:v>June</c:v>
                </c:pt>
                <c:pt idx="4">
                  <c:v>July</c:v>
                </c:pt>
                <c:pt idx="5">
                  <c:v>Aug</c:v>
                </c:pt>
                <c:pt idx="6">
                  <c:v>Sep</c:v>
                </c:pt>
                <c:pt idx="7">
                  <c:v>Oct</c:v>
                </c:pt>
                <c:pt idx="8">
                  <c:v>Nov</c:v>
                </c:pt>
              </c:strCache>
            </c:strRef>
          </c:cat>
          <c:val>
            <c:numRef>
              <c:f>Sheet1!$E$4:$E$12</c:f>
            </c:numRef>
          </c:val>
          <c:smooth val="0"/>
        </c:ser>
        <c:ser>
          <c:idx val="2"/>
          <c:order val="2"/>
          <c:tx>
            <c:strRef>
              <c:f>Sheet1!$F$3</c:f>
              <c:strCache>
                <c:ptCount val="1"/>
                <c:pt idx="0">
                  <c:v>Govt Free Tests (%)</c:v>
                </c:pt>
              </c:strCache>
            </c:strRef>
          </c:tx>
          <c:spPr>
            <a:ln w="50800">
              <a:solidFill>
                <a:srgbClr val="00B050"/>
              </a:solidFill>
            </a:ln>
          </c:spPr>
          <c:marker>
            <c:symbol val="none"/>
          </c:marker>
          <c:dLbls>
            <c:spPr>
              <a:noFill/>
              <a:ln>
                <a:noFill/>
              </a:ln>
              <a:effectLst/>
            </c:spPr>
            <c:txPr>
              <a:bodyPr/>
              <a:lstStyle/>
              <a:p>
                <a:pPr>
                  <a:defRPr sz="1000" b="1"/>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Sheet1!$C$4:$C$12</c:f>
              <c:strCache>
                <c:ptCount val="9"/>
                <c:pt idx="0">
                  <c:v>Upto March 20</c:v>
                </c:pt>
                <c:pt idx="1">
                  <c:v>April</c:v>
                </c:pt>
                <c:pt idx="2">
                  <c:v>May</c:v>
                </c:pt>
                <c:pt idx="3">
                  <c:v>June</c:v>
                </c:pt>
                <c:pt idx="4">
                  <c:v>July</c:v>
                </c:pt>
                <c:pt idx="5">
                  <c:v>Aug</c:v>
                </c:pt>
                <c:pt idx="6">
                  <c:v>Sep</c:v>
                </c:pt>
                <c:pt idx="7">
                  <c:v>Oct</c:v>
                </c:pt>
                <c:pt idx="8">
                  <c:v>Nov</c:v>
                </c:pt>
              </c:strCache>
            </c:strRef>
          </c:cat>
          <c:val>
            <c:numRef>
              <c:f>Sheet1!$F$4:$F$12</c:f>
              <c:numCache>
                <c:formatCode>0</c:formatCode>
                <c:ptCount val="9"/>
                <c:pt idx="0">
                  <c:v>88.322796578653779</c:v>
                </c:pt>
                <c:pt idx="1">
                  <c:v>95</c:v>
                </c:pt>
                <c:pt idx="2">
                  <c:v>87</c:v>
                </c:pt>
                <c:pt idx="3">
                  <c:v>85</c:v>
                </c:pt>
                <c:pt idx="4">
                  <c:v>86</c:v>
                </c:pt>
                <c:pt idx="5">
                  <c:v>88</c:v>
                </c:pt>
                <c:pt idx="6">
                  <c:v>89</c:v>
                </c:pt>
                <c:pt idx="7">
                  <c:v>88</c:v>
                </c:pt>
                <c:pt idx="8">
                  <c:v>90</c:v>
                </c:pt>
              </c:numCache>
            </c:numRef>
          </c:val>
          <c:smooth val="1"/>
        </c:ser>
        <c:ser>
          <c:idx val="3"/>
          <c:order val="3"/>
          <c:tx>
            <c:strRef>
              <c:f>Sheet1!$G$3</c:f>
              <c:strCache>
                <c:ptCount val="1"/>
                <c:pt idx="0">
                  <c:v>Private Testing (%)</c:v>
                </c:pt>
              </c:strCache>
            </c:strRef>
          </c:tx>
          <c:spPr>
            <a:ln w="50800">
              <a:solidFill>
                <a:srgbClr val="FF0000">
                  <a:alpha val="72000"/>
                </a:srgbClr>
              </a:solidFill>
            </a:ln>
          </c:spPr>
          <c:marker>
            <c:symbol val="none"/>
          </c:marker>
          <c:dLbls>
            <c:spPr>
              <a:ln w="50800"/>
            </c:spPr>
            <c:txPr>
              <a:bodyPr/>
              <a:lstStyle/>
              <a:p>
                <a:pPr>
                  <a:defRPr sz="1000" b="1"/>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Sheet1!$C$4:$C$12</c:f>
              <c:strCache>
                <c:ptCount val="9"/>
                <c:pt idx="0">
                  <c:v>Upto March 20</c:v>
                </c:pt>
                <c:pt idx="1">
                  <c:v>April</c:v>
                </c:pt>
                <c:pt idx="2">
                  <c:v>May</c:v>
                </c:pt>
                <c:pt idx="3">
                  <c:v>June</c:v>
                </c:pt>
                <c:pt idx="4">
                  <c:v>July</c:v>
                </c:pt>
                <c:pt idx="5">
                  <c:v>Aug</c:v>
                </c:pt>
                <c:pt idx="6">
                  <c:v>Sep</c:v>
                </c:pt>
                <c:pt idx="7">
                  <c:v>Oct</c:v>
                </c:pt>
                <c:pt idx="8">
                  <c:v>Nov</c:v>
                </c:pt>
              </c:strCache>
            </c:strRef>
          </c:cat>
          <c:val>
            <c:numRef>
              <c:f>Sheet1!$G$4:$G$12</c:f>
              <c:numCache>
                <c:formatCode>0</c:formatCode>
                <c:ptCount val="9"/>
                <c:pt idx="0">
                  <c:v>11.677203421346221</c:v>
                </c:pt>
                <c:pt idx="1">
                  <c:v>5</c:v>
                </c:pt>
                <c:pt idx="2">
                  <c:v>13</c:v>
                </c:pt>
                <c:pt idx="3">
                  <c:v>15</c:v>
                </c:pt>
                <c:pt idx="4">
                  <c:v>14</c:v>
                </c:pt>
                <c:pt idx="5">
                  <c:v>12</c:v>
                </c:pt>
                <c:pt idx="6">
                  <c:v>11</c:v>
                </c:pt>
                <c:pt idx="7">
                  <c:v>12</c:v>
                </c:pt>
                <c:pt idx="8">
                  <c:v>10</c:v>
                </c:pt>
              </c:numCache>
            </c:numRef>
          </c:val>
          <c:smooth val="1"/>
        </c:ser>
        <c:dLbls>
          <c:showLegendKey val="0"/>
          <c:showVal val="0"/>
          <c:showCatName val="0"/>
          <c:showSerName val="0"/>
          <c:showPercent val="0"/>
          <c:showBubbleSize val="0"/>
        </c:dLbls>
        <c:smooth val="0"/>
        <c:axId val="286880000"/>
        <c:axId val="286880784"/>
      </c:lineChart>
      <c:catAx>
        <c:axId val="286880000"/>
        <c:scaling>
          <c:orientation val="minMax"/>
        </c:scaling>
        <c:delete val="0"/>
        <c:axPos val="b"/>
        <c:numFmt formatCode="General" sourceLinked="0"/>
        <c:majorTickMark val="none"/>
        <c:minorTickMark val="none"/>
        <c:tickLblPos val="nextTo"/>
        <c:crossAx val="286880784"/>
        <c:crosses val="autoZero"/>
        <c:auto val="1"/>
        <c:lblAlgn val="ctr"/>
        <c:lblOffset val="100"/>
        <c:noMultiLvlLbl val="0"/>
      </c:catAx>
      <c:valAx>
        <c:axId val="286880784"/>
        <c:scaling>
          <c:orientation val="minMax"/>
        </c:scaling>
        <c:delete val="0"/>
        <c:axPos val="l"/>
        <c:numFmt formatCode="0" sourceLinked="1"/>
        <c:majorTickMark val="none"/>
        <c:minorTickMark val="none"/>
        <c:tickLblPos val="nextTo"/>
        <c:txPr>
          <a:bodyPr/>
          <a:lstStyle/>
          <a:p>
            <a:pPr>
              <a:defRPr sz="900"/>
            </a:pPr>
            <a:endParaRPr lang="en-US"/>
          </a:p>
        </c:txPr>
        <c:crossAx val="286880000"/>
        <c:crosses val="autoZero"/>
        <c:crossBetween val="between"/>
      </c:valAx>
      <c:dTable>
        <c:showHorzBorder val="1"/>
        <c:showVertBorder val="1"/>
        <c:showOutline val="1"/>
        <c:showKeys val="1"/>
        <c:txPr>
          <a:bodyPr/>
          <a:lstStyle/>
          <a:p>
            <a:pPr rtl="0">
              <a:defRPr sz="1100" b="1"/>
            </a:pPr>
            <a:endParaRPr lang="en-US"/>
          </a:p>
        </c:txPr>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D1147-A983-4743-8F52-DF4CB362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2020-12-15T14:09:00Z</dcterms:created>
  <dcterms:modified xsi:type="dcterms:W3CDTF">2020-12-15T14:09:00Z</dcterms:modified>
</cp:coreProperties>
</file>