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27A" w:rsidRDefault="00B1263B" w:rsidP="00E20DD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Title</w:t>
      </w:r>
      <w:r w:rsidR="00C227B5" w:rsidRPr="0040364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E74F3">
        <w:rPr>
          <w:rFonts w:ascii="Times New Roman" w:hAnsi="Times New Roman" w:cs="Times New Roman"/>
          <w:sz w:val="24"/>
          <w:szCs w:val="24"/>
          <w:lang w:val="en-US"/>
        </w:rPr>
        <w:t xml:space="preserve">Assessment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Communicable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Diseases</w:t>
      </w:r>
      <w:r w:rsidR="007E74F3">
        <w:rPr>
          <w:rFonts w:ascii="Times New Roman" w:hAnsi="Times New Roman" w:cs="Times New Roman"/>
          <w:sz w:val="24"/>
          <w:szCs w:val="24"/>
          <w:lang w:val="en-US"/>
        </w:rPr>
        <w:t xml:space="preserve"> in Manipur State, India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Challenges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COVID-19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Lifestyle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sz w:val="24"/>
          <w:szCs w:val="24"/>
          <w:lang w:val="en-US"/>
        </w:rPr>
        <w:t>Pattern</w:t>
      </w:r>
    </w:p>
    <w:p w:rsidR="00BD49EE" w:rsidRPr="00BD49EE" w:rsidRDefault="00BD49EE" w:rsidP="00BD49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Short</w:t>
      </w:r>
      <w:r w:rsidRPr="00BD49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title: </w:t>
      </w:r>
      <w:r w:rsidRPr="00BD49EE">
        <w:rPr>
          <w:rFonts w:ascii="Times New Roman" w:hAnsi="Times New Roman" w:cs="Times New Roman"/>
          <w:sz w:val="24"/>
          <w:szCs w:val="24"/>
          <w:lang w:val="en-US"/>
        </w:rPr>
        <w:t xml:space="preserve">Lifestyle Pattern of NCD Patients </w:t>
      </w:r>
      <w:r w:rsidR="00881F0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D49EE">
        <w:rPr>
          <w:rFonts w:ascii="Times New Roman" w:hAnsi="Times New Roman" w:cs="Times New Roman"/>
          <w:sz w:val="24"/>
          <w:szCs w:val="24"/>
          <w:lang w:val="en-US"/>
        </w:rPr>
        <w:t>uring COVID</w:t>
      </w:r>
      <w:r w:rsidR="00EF127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D49EE">
        <w:rPr>
          <w:rFonts w:ascii="Times New Roman" w:hAnsi="Times New Roman" w:cs="Times New Roman"/>
          <w:sz w:val="24"/>
          <w:szCs w:val="24"/>
          <w:lang w:val="en-US"/>
        </w:rPr>
        <w:t xml:space="preserve">19  </w:t>
      </w:r>
    </w:p>
    <w:p w:rsidR="005A0677" w:rsidRPr="00C061F1" w:rsidRDefault="00925319" w:rsidP="005A0677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</w:t>
      </w:r>
      <w:r w:rsidR="005A0677" w:rsidRPr="00C061F1">
        <w:rPr>
          <w:rFonts w:ascii="Times New Roman" w:hAnsi="Times New Roman" w:cs="Times New Roman"/>
          <w:b/>
        </w:rPr>
        <w:t xml:space="preserve">uthors: </w:t>
      </w:r>
    </w:p>
    <w:p w:rsidR="005A0677" w:rsidRPr="00BA6F1D" w:rsidRDefault="005A0677" w:rsidP="005A0677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 Renu Bala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>MD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>Research Officer,</w:t>
      </w:r>
    </w:p>
    <w:p w:rsidR="005A0677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 xml:space="preserve">Regional Research Institute (H), Imphal 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C061F1">
        <w:rPr>
          <w:rFonts w:ascii="Times New Roman" w:hAnsi="Times New Roman" w:cs="Times New Roman"/>
          <w:lang w:val="en-GB"/>
        </w:rPr>
        <w:t>New Checkon, Opposite Tribal Colony,</w:t>
      </w:r>
    </w:p>
    <w:p w:rsidR="005A0677" w:rsidRDefault="005A0677" w:rsidP="005A0677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C061F1">
        <w:rPr>
          <w:rFonts w:ascii="Times New Roman" w:hAnsi="Times New Roman" w:cs="Times New Roman"/>
          <w:lang w:val="en-GB"/>
        </w:rPr>
        <w:t>Imphal East, Manipur- 795001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Mob: 9140570079</w:t>
      </w:r>
    </w:p>
    <w:p w:rsidR="005A0677" w:rsidRPr="00C061F1" w:rsidRDefault="003D3AA4" w:rsidP="005A0677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5A0677" w:rsidRPr="00C061F1">
          <w:rPr>
            <w:rStyle w:val="Hyperlink"/>
            <w:rFonts w:ascii="Times New Roman" w:hAnsi="Times New Roman" w:cs="Times New Roman"/>
            <w:lang w:val="en-GB"/>
          </w:rPr>
          <w:t>drrenu3011@gmail.com</w:t>
        </w:r>
      </w:hyperlink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Dr Amit Srivastava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>MD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>Research Officer,</w:t>
      </w:r>
    </w:p>
    <w:p w:rsidR="005A0677" w:rsidRDefault="005A0677" w:rsidP="005A0677">
      <w:pPr>
        <w:spacing w:after="0" w:line="360" w:lineRule="auto"/>
        <w:rPr>
          <w:rFonts w:ascii="Times New Roman" w:hAnsi="Times New Roman" w:cs="Times New Roman"/>
        </w:rPr>
      </w:pPr>
      <w:r w:rsidRPr="00C061F1">
        <w:rPr>
          <w:rFonts w:ascii="Times New Roman" w:hAnsi="Times New Roman" w:cs="Times New Roman"/>
        </w:rPr>
        <w:t xml:space="preserve">Regional Research Institute (H), Imphal </w:t>
      </w:r>
    </w:p>
    <w:p w:rsidR="005A0677" w:rsidRPr="00C061F1" w:rsidRDefault="005A0677" w:rsidP="005A0677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C061F1">
        <w:rPr>
          <w:rFonts w:ascii="Times New Roman" w:hAnsi="Times New Roman" w:cs="Times New Roman"/>
          <w:lang w:val="en-GB"/>
        </w:rPr>
        <w:t>New Checkon, Opposite Tribal Colony,</w:t>
      </w:r>
    </w:p>
    <w:p w:rsidR="005A0677" w:rsidRDefault="005A0677" w:rsidP="005A0677">
      <w:pPr>
        <w:spacing w:after="0" w:line="360" w:lineRule="auto"/>
        <w:rPr>
          <w:rFonts w:ascii="Times New Roman" w:hAnsi="Times New Roman" w:cs="Times New Roman"/>
          <w:lang w:val="en-GB"/>
        </w:rPr>
      </w:pPr>
      <w:r w:rsidRPr="00C061F1">
        <w:rPr>
          <w:rFonts w:ascii="Times New Roman" w:hAnsi="Times New Roman" w:cs="Times New Roman"/>
          <w:lang w:val="en-GB"/>
        </w:rPr>
        <w:t>Imphal East, Manipur- 795001</w:t>
      </w:r>
    </w:p>
    <w:p w:rsidR="005A0677" w:rsidRDefault="005A0677" w:rsidP="005A0677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Mob: 9140577532</w:t>
      </w:r>
    </w:p>
    <w:p w:rsidR="005A0677" w:rsidRDefault="003D3AA4" w:rsidP="005A0677">
      <w:pPr>
        <w:spacing w:line="360" w:lineRule="auto"/>
      </w:pPr>
      <w:hyperlink r:id="rId8" w:history="1">
        <w:r w:rsidR="005A0677" w:rsidRPr="00C061F1">
          <w:rPr>
            <w:rStyle w:val="Hyperlink"/>
            <w:rFonts w:ascii="Times New Roman" w:hAnsi="Times New Roman" w:cs="Times New Roman"/>
            <w:lang w:val="en-GB"/>
          </w:rPr>
          <w:t>amitdr911@gmail.com</w:t>
        </w:r>
      </w:hyperlink>
    </w:p>
    <w:p w:rsidR="006F33E1" w:rsidRPr="006F33E1" w:rsidRDefault="001F4039" w:rsidP="006F33E1">
      <w:pPr>
        <w:spacing w:line="36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Funding </w:t>
      </w:r>
      <w:r w:rsidR="006F33E1" w:rsidRPr="006F33E1">
        <w:rPr>
          <w:rFonts w:ascii="Times New Roman" w:hAnsi="Times New Roman" w:cs="Times New Roman"/>
          <w:b/>
          <w:lang w:val="en-US"/>
        </w:rPr>
        <w:t xml:space="preserve">support: </w:t>
      </w:r>
      <w:r w:rsidR="006F33E1" w:rsidRPr="006F33E1">
        <w:rPr>
          <w:rFonts w:ascii="Times New Roman" w:hAnsi="Times New Roman" w:cs="Times New Roman"/>
          <w:lang w:val="en-US"/>
        </w:rPr>
        <w:t>None</w:t>
      </w:r>
    </w:p>
    <w:p w:rsidR="006F33E1" w:rsidRPr="006F33E1" w:rsidRDefault="001F4039" w:rsidP="006F33E1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Conflicting Interest</w:t>
      </w:r>
      <w:r w:rsidR="006F33E1" w:rsidRPr="006F33E1">
        <w:rPr>
          <w:rFonts w:ascii="Times New Roman" w:hAnsi="Times New Roman" w:cs="Times New Roman"/>
          <w:b/>
          <w:lang w:val="en-US"/>
        </w:rPr>
        <w:t xml:space="preserve">: </w:t>
      </w:r>
      <w:r w:rsidR="006F33E1" w:rsidRPr="006F33E1">
        <w:rPr>
          <w:rFonts w:ascii="Times New Roman" w:hAnsi="Times New Roman" w:cs="Times New Roman"/>
          <w:lang w:val="en-US"/>
        </w:rPr>
        <w:t>None declared</w:t>
      </w:r>
    </w:p>
    <w:p w:rsidR="002F20F8" w:rsidRPr="002F20F8" w:rsidRDefault="002F20F8" w:rsidP="002F20F8">
      <w:pPr>
        <w:spacing w:line="360" w:lineRule="auto"/>
        <w:rPr>
          <w:rFonts w:ascii="Times New Roman" w:hAnsi="Times New Roman" w:cs="Times New Roman"/>
          <w:lang w:val="en-GB"/>
        </w:rPr>
      </w:pPr>
      <w:r w:rsidRPr="002F20F8">
        <w:rPr>
          <w:rFonts w:ascii="Times New Roman" w:hAnsi="Times New Roman" w:cs="Times New Roman"/>
          <w:b/>
          <w:lang w:val="en-GB"/>
        </w:rPr>
        <w:t>Prior publication</w:t>
      </w:r>
      <w:r>
        <w:rPr>
          <w:rFonts w:ascii="Times New Roman" w:hAnsi="Times New Roman" w:cs="Times New Roman"/>
          <w:b/>
          <w:lang w:val="en-GB"/>
        </w:rPr>
        <w:t>/submission</w:t>
      </w:r>
      <w:r w:rsidRPr="002F20F8">
        <w:rPr>
          <w:rFonts w:ascii="Times New Roman" w:hAnsi="Times New Roman" w:cs="Times New Roman"/>
          <w:b/>
          <w:lang w:val="en-GB"/>
        </w:rPr>
        <w:t>:</w:t>
      </w:r>
      <w:r w:rsidRPr="002F20F8">
        <w:rPr>
          <w:rFonts w:ascii="Times New Roman" w:hAnsi="Times New Roman" w:cs="Times New Roman"/>
          <w:lang w:val="en-GB"/>
        </w:rPr>
        <w:t xml:space="preserve"> None</w:t>
      </w:r>
    </w:p>
    <w:p w:rsidR="006F33E1" w:rsidRDefault="006F33E1" w:rsidP="005A0677">
      <w:pPr>
        <w:spacing w:line="360" w:lineRule="auto"/>
        <w:rPr>
          <w:rFonts w:ascii="Times New Roman" w:hAnsi="Times New Roman" w:cs="Times New Roman"/>
        </w:rPr>
      </w:pPr>
    </w:p>
    <w:p w:rsidR="000158AE" w:rsidRDefault="000158AE" w:rsidP="005A0677">
      <w:pPr>
        <w:spacing w:line="360" w:lineRule="auto"/>
        <w:rPr>
          <w:rFonts w:ascii="Times New Roman" w:hAnsi="Times New Roman" w:cs="Times New Roman"/>
        </w:rPr>
      </w:pPr>
    </w:p>
    <w:p w:rsidR="000158AE" w:rsidRDefault="000158AE" w:rsidP="005A0677">
      <w:pPr>
        <w:spacing w:line="360" w:lineRule="auto"/>
        <w:rPr>
          <w:rFonts w:ascii="Times New Roman" w:hAnsi="Times New Roman" w:cs="Times New Roman"/>
        </w:rPr>
      </w:pPr>
    </w:p>
    <w:p w:rsidR="000158AE" w:rsidRDefault="000158AE" w:rsidP="005A0677">
      <w:pPr>
        <w:spacing w:line="360" w:lineRule="auto"/>
        <w:rPr>
          <w:rFonts w:ascii="Times New Roman" w:hAnsi="Times New Roman" w:cs="Times New Roman"/>
        </w:rPr>
      </w:pPr>
    </w:p>
    <w:p w:rsidR="000158AE" w:rsidRPr="00C061F1" w:rsidRDefault="000158AE" w:rsidP="005A0677">
      <w:pPr>
        <w:spacing w:line="360" w:lineRule="auto"/>
        <w:rPr>
          <w:rFonts w:ascii="Times New Roman" w:hAnsi="Times New Roman" w:cs="Times New Roman"/>
        </w:rPr>
      </w:pPr>
    </w:p>
    <w:p w:rsidR="00946C21" w:rsidRPr="0040364F" w:rsidRDefault="006239E7" w:rsidP="00E20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Abstract</w:t>
      </w:r>
    </w:p>
    <w:p w:rsidR="00A51EBA" w:rsidRPr="0040364F" w:rsidRDefault="005A1672" w:rsidP="00E20DD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Coronavirus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806" w:rsidRPr="0040364F">
        <w:rPr>
          <w:rFonts w:ascii="Times New Roman" w:hAnsi="Times New Roman" w:cs="Times New Roman"/>
          <w:sz w:val="24"/>
          <w:szCs w:val="24"/>
          <w:lang w:val="en-US"/>
        </w:rPr>
        <w:t>(COVID-19)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806" w:rsidRPr="0040364F">
        <w:rPr>
          <w:rFonts w:ascii="Times New Roman" w:hAnsi="Times New Roman" w:cs="Times New Roman"/>
          <w:sz w:val="24"/>
          <w:szCs w:val="24"/>
          <w:lang w:val="en-US"/>
        </w:rPr>
        <w:t>poses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806"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C7EDA" w:rsidRPr="004036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2806" w:rsidRPr="0040364F">
        <w:rPr>
          <w:rFonts w:ascii="Times New Roman" w:hAnsi="Times New Roman" w:cs="Times New Roman"/>
          <w:sz w:val="24"/>
          <w:szCs w:val="24"/>
          <w:lang w:val="en-US"/>
        </w:rPr>
        <w:t>unprecedented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0B11" w:rsidRPr="0040364F">
        <w:rPr>
          <w:rFonts w:ascii="Times New Roman" w:hAnsi="Times New Roman" w:cs="Times New Roman"/>
          <w:sz w:val="24"/>
          <w:szCs w:val="24"/>
          <w:lang w:val="en-US"/>
        </w:rPr>
        <w:t>challenge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adversely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affect</w:t>
      </w:r>
      <w:r w:rsidR="00CF396B" w:rsidRPr="0040364F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lifestyle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14F"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non</w:t>
      </w:r>
      <w:r w:rsidR="003E0D1F" w:rsidRPr="0040364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communicable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diseases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532" w:rsidRPr="0040364F">
        <w:rPr>
          <w:rFonts w:ascii="Times New Roman" w:hAnsi="Times New Roman" w:cs="Times New Roman"/>
          <w:sz w:val="24"/>
          <w:szCs w:val="24"/>
          <w:lang w:val="en-US"/>
        </w:rPr>
        <w:t>(NCDs)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enforced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restrictions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614F" w:rsidRPr="0040364F">
        <w:rPr>
          <w:rFonts w:ascii="Times New Roman" w:hAnsi="Times New Roman" w:cs="Times New Roman"/>
          <w:sz w:val="24"/>
          <w:szCs w:val="24"/>
          <w:lang w:val="en-US"/>
        </w:rPr>
        <w:t>governments</w:t>
      </w:r>
      <w:r w:rsidR="003450B4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aimed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assess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adherence,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activity,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prophylactic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behavior,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sleep,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intake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enforced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lockdown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recruited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NCD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visiting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institute’s outpatient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F04C84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formed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prophylactic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behaviour,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sleep,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along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validated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scales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92F" w:rsidRPr="0040364F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Morisky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Scale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(MMAS)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International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Questionnaire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(IPAQ)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Short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BC2AD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r w:rsidR="007E1B6C" w:rsidRP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conducted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month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August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9DC" w:rsidRPr="0040364F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0B7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recruited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413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subjects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mean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age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54.34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10ED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years</w:t>
      </w:r>
      <w:r w:rsidR="00FA459B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7314C" w:rsidRPr="0040364F">
        <w:rPr>
          <w:rFonts w:ascii="Times New Roman" w:hAnsi="Times New Roman" w:cs="Times New Roman"/>
          <w:sz w:val="24"/>
          <w:szCs w:val="24"/>
          <w:lang w:val="en-US"/>
        </w:rPr>
        <w:t>Medium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14C" w:rsidRPr="0040364F">
        <w:rPr>
          <w:rFonts w:ascii="Times New Roman" w:hAnsi="Times New Roman" w:cs="Times New Roman"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14C" w:rsidRPr="0040364F">
        <w:rPr>
          <w:rFonts w:ascii="Times New Roman" w:hAnsi="Times New Roman" w:cs="Times New Roman"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14C" w:rsidRPr="0040364F">
        <w:rPr>
          <w:rFonts w:ascii="Times New Roman" w:hAnsi="Times New Roman" w:cs="Times New Roman"/>
          <w:sz w:val="24"/>
          <w:szCs w:val="24"/>
          <w:lang w:val="en-US"/>
        </w:rPr>
        <w:t>exhibited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314C" w:rsidRPr="004036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26D1" w:rsidRPr="0040364F">
        <w:rPr>
          <w:rFonts w:ascii="Times New Roman" w:hAnsi="Times New Roman" w:cs="Times New Roman"/>
          <w:sz w:val="24"/>
          <w:szCs w:val="24"/>
          <w:lang w:val="en-US"/>
        </w:rPr>
        <w:t>77.48%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26D1" w:rsidRPr="0040364F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03"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03" w:rsidRPr="0040364F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4A6" w:rsidRPr="0040364F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4E9" w:rsidRPr="0040364F">
        <w:rPr>
          <w:rFonts w:ascii="Times New Roman" w:hAnsi="Times New Roman" w:cs="Times New Roman"/>
          <w:sz w:val="24"/>
          <w:szCs w:val="24"/>
          <w:lang w:val="en-US"/>
        </w:rPr>
        <w:t>hypertension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34E9" w:rsidRPr="004036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C34E9" w:rsidRPr="0040364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717103"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103" w:rsidRPr="0040364F">
        <w:rPr>
          <w:rFonts w:ascii="Times New Roman" w:hAnsi="Times New Roman" w:cs="Times New Roman"/>
          <w:sz w:val="24"/>
          <w:szCs w:val="24"/>
          <w:lang w:val="en-US"/>
        </w:rPr>
        <w:t>0.000)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4A6" w:rsidRPr="0040364F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Chronic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Obstructive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Pulmonary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Dis</w:t>
      </w:r>
      <w:r w:rsidR="00342856" w:rsidRPr="0040364F">
        <w:rPr>
          <w:rFonts w:ascii="Times New Roman" w:hAnsi="Times New Roman" w:cs="Times New Roman"/>
          <w:sz w:val="24"/>
          <w:szCs w:val="24"/>
          <w:lang w:val="en-US"/>
        </w:rPr>
        <w:t>ease</w:t>
      </w:r>
      <w:r w:rsidR="008A72B9" w:rsidRPr="0040364F">
        <w:rPr>
          <w:rFonts w:ascii="Times New Roman" w:hAnsi="Times New Roman" w:cs="Times New Roman"/>
          <w:sz w:val="24"/>
          <w:szCs w:val="24"/>
          <w:lang w:val="en-US"/>
        </w:rPr>
        <w:t>/Asthma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2BE" w:rsidRPr="004036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5C34E9" w:rsidRPr="0040364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B262BE"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2BE" w:rsidRPr="0040364F">
        <w:rPr>
          <w:rFonts w:ascii="Times New Roman" w:hAnsi="Times New Roman" w:cs="Times New Roman"/>
          <w:sz w:val="24"/>
          <w:szCs w:val="24"/>
          <w:lang w:val="en-US"/>
        </w:rPr>
        <w:t>0.000)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4A6" w:rsidRPr="0040364F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="00AA063C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median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536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MET-minutes/week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D546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D546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41.96%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36234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36234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D546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5417C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demonstrating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D546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D546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physical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D546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activity</w:t>
      </w:r>
      <w:r w:rsidR="00CC5BB0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statistically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between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scores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E6C0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77813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C5A8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0.009).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statistically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decrease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number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42856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before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04E51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E6C0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77813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E57544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E57544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Furthermore,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C0A" w:rsidRPr="004036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77813" w:rsidRPr="0040364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0.000)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6C0A" w:rsidRPr="0040364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77813" w:rsidRPr="0040364F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51F3" w:rsidRPr="0040364F">
        <w:rPr>
          <w:rFonts w:ascii="Times New Roman" w:hAnsi="Times New Roman" w:cs="Times New Roman"/>
          <w:sz w:val="24"/>
          <w:szCs w:val="24"/>
          <w:lang w:val="en-US"/>
        </w:rPr>
        <w:t>0.000)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F4C"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F4C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D7F4C"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DB3252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EBA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EBA" w:rsidRPr="0040364F">
        <w:rPr>
          <w:rFonts w:ascii="Times New Roman" w:hAnsi="Times New Roman" w:cs="Times New Roman"/>
          <w:sz w:val="24"/>
          <w:szCs w:val="24"/>
          <w:lang w:val="en-US"/>
        </w:rPr>
        <w:t>subjects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EB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followed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51EB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A51EB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practices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E4ADC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largely</w:t>
      </w:r>
      <w:r w:rsidR="00A51EB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A51EBA" w:rsidRP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1751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1751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1751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highlighted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1751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21751E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5717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NCD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57179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patients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525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should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525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strictly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525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adhere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525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525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their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4B525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medication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follow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optimal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schedule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take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proper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sleep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continue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following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prophylactic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A2F37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behavior</w:t>
      </w:r>
      <w:r w:rsidR="00F03EA4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EC7553" w:rsidRPr="0040364F" w:rsidRDefault="002D7286" w:rsidP="00E20DD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Keywords: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Coronavirus;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COVID-19;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Lifestyle;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adherence;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Noncommunicable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diseases; Physical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exercise;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Morisky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Scale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(MMAS);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International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Questionnaire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(IPAQ)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Short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C7553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</w:p>
    <w:p w:rsidR="00DB286B" w:rsidRPr="0040364F" w:rsidRDefault="00DB286B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2BD7" w:rsidRDefault="00EC2BD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2BD7" w:rsidRDefault="00EC2BD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2BD7" w:rsidRDefault="00EC2BD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C2BD7" w:rsidRDefault="00B72D87" w:rsidP="00B72D87">
      <w:pPr>
        <w:tabs>
          <w:tab w:val="left" w:pos="2040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E327A" w:rsidRPr="0040364F" w:rsidRDefault="005861AE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Introduction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outbreak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novel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coronavirus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(SARS-CoV-2)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infection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reported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Wuhan,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China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December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2019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spread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rapidly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declared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World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Health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(WHO)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[1]</w:t>
      </w:r>
      <w:r w:rsidR="001F5EED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69CE" w:rsidRPr="0040364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oronavirus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(COVID-19)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alters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overall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mortality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burden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through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impact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non-communicable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(NCDs)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[2]</w:t>
      </w:r>
      <w:r w:rsidR="001F5EED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kill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approximately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41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million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worldwide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year,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55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million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2030.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India,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nearly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5.8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million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year.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inactivity,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unhealthy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diets,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harmful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behavioral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NCDs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  <w:r w:rsidR="00B14508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prevalent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comorbidities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hypertension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(HTN)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diabetes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mellitus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(DM),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followed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cardiovascular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(CVD)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respiratory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diseases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[4]</w:t>
      </w:r>
      <w:r w:rsidR="001F5EED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1F46" w:rsidRPr="0040364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orldwide,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40364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increased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severe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COVID-19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40364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become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infected,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mostly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because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underlying</w:t>
      </w:r>
      <w:r w:rsidR="0040364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NCDs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[2]</w:t>
      </w:r>
      <w:r w:rsidR="001F5EED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reason,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urged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routine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medical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follow-up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though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outcomes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reduced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mobility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[5,6]</w:t>
      </w:r>
      <w:r w:rsidR="00D548A7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Furthermore,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term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medications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especially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areas</w:t>
      </w:r>
      <w:r w:rsidR="004D7446">
        <w:rPr>
          <w:rFonts w:ascii="Times New Roman" w:hAnsi="Times New Roman" w:cs="Times New Roman"/>
          <w:sz w:val="24"/>
          <w:szCs w:val="24"/>
          <w:lang w:val="en-US"/>
        </w:rPr>
        <w:t xml:space="preserve"> [7]</w:t>
      </w:r>
      <w:r w:rsidR="004D5143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0683A" w:rsidRP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Healthcare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systems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began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postponing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scaling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routine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management,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outpatient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visits,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non-urgent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surgery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avoid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unnecessary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hospital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visits,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reduce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burden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hospitals,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decrease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infection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024227">
        <w:rPr>
          <w:rFonts w:ascii="Times New Roman" w:hAnsi="Times New Roman" w:cs="Times New Roman"/>
          <w:sz w:val="24"/>
          <w:szCs w:val="24"/>
          <w:lang w:val="en-US"/>
        </w:rPr>
        <w:t xml:space="preserve"> [8]</w:t>
      </w:r>
      <w:r w:rsidR="009F59F5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Indian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initiated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containment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measures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approaches</w:t>
      </w:r>
      <w:r w:rsidR="00024227">
        <w:rPr>
          <w:rFonts w:ascii="Times New Roman" w:hAnsi="Times New Roman" w:cs="Times New Roman"/>
          <w:sz w:val="24"/>
          <w:szCs w:val="24"/>
          <w:lang w:val="en-US"/>
        </w:rPr>
        <w:t xml:space="preserve"> [9]</w:t>
      </w:r>
      <w:r w:rsidR="009F59F5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Self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isolation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recommendations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particularly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targeted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persons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and/or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chronic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medical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conditions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restrictions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inevitably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reduced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opportunities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exercise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essential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controlling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symptoms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risk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factors</w:t>
      </w:r>
      <w:r w:rsidR="00024227">
        <w:rPr>
          <w:rFonts w:ascii="Times New Roman" w:hAnsi="Times New Roman" w:cs="Times New Roman"/>
          <w:sz w:val="24"/>
          <w:szCs w:val="24"/>
          <w:lang w:val="en-US"/>
        </w:rPr>
        <w:t xml:space="preserve"> [10]</w:t>
      </w:r>
      <w:r w:rsidR="009F59F5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imposed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restrictions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relevant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clinical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implications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terms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drug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adherence,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daily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functioning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nighttime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sleep,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deleterious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effects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insufficient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smoking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drinking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behavior.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aimed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assess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adherence,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lifestyle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pattern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persons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suffering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displayed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COVID-19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pandemic.</w:t>
      </w:r>
    </w:p>
    <w:p w:rsidR="007E327A" w:rsidRPr="0040364F" w:rsidRDefault="00363C8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Methodology</w:t>
      </w:r>
    </w:p>
    <w:p w:rsidR="007E327A" w:rsidRPr="0040364F" w:rsidRDefault="007E327A" w:rsidP="00E20DDD">
      <w:pPr>
        <w:shd w:val="clear" w:color="auto" w:fill="FFFFFF"/>
        <w:spacing w:line="360" w:lineRule="auto"/>
        <w:outlineLvl w:val="2"/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val="en-US"/>
        </w:rPr>
      </w:pPr>
      <w:r w:rsidRPr="0040364F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val="en-US"/>
        </w:rPr>
        <w:lastRenderedPageBreak/>
        <w:t>Study</w:t>
      </w:r>
      <w:r w:rsidR="0040364F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val="en-US"/>
        </w:rPr>
        <w:t xml:space="preserve"> </w:t>
      </w:r>
      <w:r w:rsidRPr="0040364F">
        <w:rPr>
          <w:rFonts w:ascii="Times New Roman" w:eastAsia="Times New Roman" w:hAnsi="Times New Roman" w:cs="Times New Roman"/>
          <w:b/>
          <w:bCs/>
          <w:color w:val="202020"/>
          <w:sz w:val="24"/>
          <w:szCs w:val="24"/>
          <w:lang w:val="en-US"/>
        </w:rPr>
        <w:t>Setting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cross-sectional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conducted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August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NCD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treatment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outpatient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(OPD)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author’s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institute.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state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government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had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enforced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extended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lockdown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COVID-19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August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024227">
        <w:rPr>
          <w:rFonts w:ascii="Times New Roman" w:hAnsi="Times New Roman" w:cs="Times New Roman"/>
          <w:sz w:val="24"/>
          <w:szCs w:val="24"/>
          <w:lang w:val="en-US"/>
        </w:rPr>
        <w:t xml:space="preserve"> [11]</w:t>
      </w:r>
      <w:r w:rsidR="00B15D92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Participants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aged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18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years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above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who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agreed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participate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included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after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taking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written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informed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consent.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proportion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burden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NCDs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region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around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58.5%</w:t>
      </w:r>
      <w:r w:rsidR="00AA42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[12]</w:t>
      </w:r>
      <w:r w:rsidR="00B15D92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Open-Epi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software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used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calculating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sample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size</w:t>
      </w:r>
      <w:r w:rsidR="00AA42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[13]</w:t>
      </w:r>
      <w:r w:rsidR="00B15D92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Considering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level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significance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5%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(confidence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interval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95%)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design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effect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one,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estimated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sample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size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373.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However,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recruited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413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participants,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confidence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limit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increased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95.8%.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approved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Institutional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Ethical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Committee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authors’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institute.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instruments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questionnaire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English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language.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Participant’s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socio-demographic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characteristics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recorded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pre-designed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format.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questionnaire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this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included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scales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are:</w:t>
      </w:r>
    </w:p>
    <w:p w:rsidR="007E327A" w:rsidRPr="0040364F" w:rsidRDefault="007E327A" w:rsidP="00E20DDD">
      <w:pPr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behavior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formed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recommendations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Ministry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Health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Family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Welfare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(MoHFW),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Government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India</w:t>
      </w:r>
      <w:r w:rsidR="00AA42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[14]</w:t>
      </w:r>
      <w:r w:rsidR="006B488B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total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thirteen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formed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assess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practices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adopted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participants.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Each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measured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five-point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Likert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scale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response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choices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ranging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from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E9356F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all”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(1)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“</w:t>
      </w:r>
      <w:r w:rsidR="00E9356F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lways”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(5).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Scores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13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items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summed,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yielding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minimum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score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13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maximum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score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65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higher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scores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indicating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better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practices.</w:t>
      </w:r>
    </w:p>
    <w:p w:rsidR="007E327A" w:rsidRPr="0040364F" w:rsidRDefault="007E327A" w:rsidP="00E20DDD">
      <w:pPr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formed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assess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changes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sleeping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pattern,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smoking/tobacco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habit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intake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compared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period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9356F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before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pandemic.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each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enquired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number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hours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sleep,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cigarettes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intake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before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pandemic.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Similarly,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question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each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enquired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same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pandemic.</w:t>
      </w:r>
    </w:p>
    <w:p w:rsidR="007E327A" w:rsidRPr="0040364F" w:rsidRDefault="007E327A" w:rsidP="00E20DDD">
      <w:pPr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lastRenderedPageBreak/>
        <w:t>Morisky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Scale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(MMAS):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Taking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time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crucial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successful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management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chronic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illness.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MMAS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accurate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method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measuring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more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accurately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assess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formulate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method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intervention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improve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adherence</w:t>
      </w:r>
      <w:r w:rsidR="00AA42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[15]</w:t>
      </w:r>
      <w:r w:rsidR="006B488B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r w:rsidR="00E0683A" w:rsidRP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7E327A" w:rsidRPr="0040364F" w:rsidRDefault="007E327A" w:rsidP="00E20DDD">
      <w:pPr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International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Questionnaire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(IPAQ)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Short</w:t>
      </w:r>
      <w:r w:rsid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sz w:val="24"/>
          <w:szCs w:val="24"/>
          <w:lang w:val="en-US"/>
        </w:rPr>
        <w:t>Form</w:t>
      </w:r>
      <w:r w:rsidRP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4036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This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scale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assesses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types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intensity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sitting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time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people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do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part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their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daily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lives.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obtained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cleaned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processed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per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scale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guidelines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IPAQ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analysis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performed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348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participants.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total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calculated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expressed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median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metabolic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equivalent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task–minutes/week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(MET)</w:t>
      </w:r>
      <w:r w:rsidR="00AA42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[16]</w:t>
      </w:r>
      <w:r w:rsidR="006B488B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Statistical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information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gathered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entered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spreadsheet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statistical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Microsoft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Excel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software.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descriptive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analysis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gave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frequency,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percentage,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mean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scores,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standard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deviation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(SD)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response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median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MET–minutes/week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inter-quartile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range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(IQR)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used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scores.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Analysis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variance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(ANOVA)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t-test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behavior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Chi-square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A06883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conducted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5754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D4457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D4457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identify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depending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demographic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variables.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paired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t-test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assess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sleeping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habits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before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pandemic.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Wilcoxon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rank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assess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smoking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drinking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habits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before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pandemic.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data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processed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after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cleaning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data,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nonparametric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Mann-Whitney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Kruskal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Wallis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9197A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7919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E66E6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E66E6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sub-sample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E66E6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348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find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exists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between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groups.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p-value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kept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0.05.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post-hoc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revealed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groups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each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other.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post-hoc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p-value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adjusted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based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number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comparisons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(Bonferroni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adjustment).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Dunn’s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hoc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analysis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assessed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help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Benjaminyi-Hochberg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False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Discovery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(FDR)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adjusted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p-value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40364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https://astatsa.com/</w:t>
        </w:r>
      </w:hyperlink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7E327A" w:rsidRPr="0040364F" w:rsidRDefault="00363C87" w:rsidP="00E20D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Result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recruited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total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413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3019F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63019F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Supplementary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3019F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63019F" w:rsidRPr="0040364F">
        <w:rPr>
          <w:rFonts w:ascii="Times New Roman" w:hAnsi="Times New Roman" w:cs="Times New Roman"/>
          <w:bCs/>
          <w:sz w:val="24"/>
          <w:szCs w:val="24"/>
          <w:lang w:val="en-US"/>
        </w:rPr>
        <w:t>1)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(SD)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54.34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(13.80)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years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maximum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upto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45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years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112;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27.12%).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majority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female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(211;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51.09%),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married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(384;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92.98%),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urban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area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(246;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59.56%)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joint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family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(339;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82.08%).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Furthermore,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55.45%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(229)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population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take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prophylactic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medicine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44.55%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(184)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people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took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Homeopathic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medicine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prophylactic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measure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against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most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common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HTN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(234;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56.66%)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(43;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10.41%)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14.29%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(59)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suffered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Behavior</w:t>
      </w:r>
    </w:p>
    <w:p w:rsidR="007E327A" w:rsidRPr="0040364F" w:rsidRDefault="00D14D55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visiting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OPD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followed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larger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extent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(Supplementary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like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washing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soap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rub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(407;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98.55),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wearing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masks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public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places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(410;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99.28%),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avoid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shaking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hands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contacts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people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(411;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99.51%),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avoiding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public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transport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(410;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99.28%),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avoid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spitting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public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(409;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99.03%)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etc.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diligent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cleaning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disinfecting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things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surfaces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touched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(287,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69.49%).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(SD)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60.024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(3.893).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212B4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greater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females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unmarried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individuals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0.024)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persons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living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nuclear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family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Interestingly,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took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prophylactic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medicine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also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diligent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following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71D8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71D8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1)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demographic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occupation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0.003).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post-hoc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analysis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revealed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upto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school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(vs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junior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school,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Q=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4.253,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0.015),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secondary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(vs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junior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school,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Q=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5.549,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0.001),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graduate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(vs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junior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school,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Q=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5.626,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0.001),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occupation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government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job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(vs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unemployed,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Q=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4.138,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0.042)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homemaker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(vs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unemployed,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Q=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4.166,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E01A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0.040)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showed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E327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2).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sometimes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forgot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take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their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(72;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17.43%)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two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weeks,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take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their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some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days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(84;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20.34%).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sometimes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stopped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taking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when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felt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their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condition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under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control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(64,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15.50%).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majority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(289,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69.98%)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have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difficulty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remembering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take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their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Supplementary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3)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participants,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level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shown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none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medium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level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320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(77.48%)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level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93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(22.52%)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level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unmarried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χ2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11.860,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0.001).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demographic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categories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χ2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21.919,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χ2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9.654,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0.022),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occupation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χ2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17.567,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0.004)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type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((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χ2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80.011,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post-hoc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analysis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154224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154224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3)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after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adjusting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p-value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depending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number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comparisons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(Bonferroni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adjustment)</w:t>
      </w:r>
      <w:r w:rsidR="009E574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showed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frequency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expected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frequency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medium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lower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expected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upto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45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years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graduate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0.003),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unemployed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0.001),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suffering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Chronic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Obstructive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Pulmonary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</w:t>
      </w:r>
      <w:r w:rsidR="00BE730D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(COPD)/Asthma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Similarly,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frequency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lower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expected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frequency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medium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expected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suffering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HTN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8C1BBA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Physical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activity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analysis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performed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sub-sample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348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per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scoring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guidelines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B55E9"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4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median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(IQR)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sub-sample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536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(510)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MET-minutes/week.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level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activity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categorized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into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(146,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41.96%),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moderate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(191,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54.89%)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(11,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3.16%).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Mann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Whitney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indicated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median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(IQR)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693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(530.25)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MET-minutes/week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female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462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(363)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MET-minutes/week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statistically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(U=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10518,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Kruskal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Wallis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showed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statistically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between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scores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demographic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(H(3)=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22.304,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occupation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(H(5)=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27.053,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type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(H(5)=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15.331,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0.009).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pair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comparison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post-hoc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Dunn's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test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Benjaminyi-Hochberg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FDR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correction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B55E9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indicated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graduate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678;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532.5)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those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upto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junior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school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431;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523.88)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0.003),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school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495;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477.5)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0.046)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group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secondary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462;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363)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0.002).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Furthermore,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IPAQ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score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occupation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homemaker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400,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371.25)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business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persons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693,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599.75)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0.007),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government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job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693,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517.88)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0.013)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unemployed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(median=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693,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IQR=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862.5)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</w:t>
      </w:r>
      <w:r w:rsidR="005D730B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0.013).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Sleeping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pattern,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smoking/tobacco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habit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intake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onset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number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85.23%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(352)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period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545F8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before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decreased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11.86%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(49)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545F8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545F8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7545F8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number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96510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before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6.697;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SD=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1.028)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(Mean=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6.563;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SD=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1.321)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conditions.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</w:t>
      </w:r>
      <w:r w:rsidR="00F96510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(412)=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4.134,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546D0F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=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0.000).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Consumption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tobacco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products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cigarette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86.68%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(358)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consumption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decreased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11.86%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(49)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period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FB7CF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before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Wilcoxon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signed-rank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determined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statistically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(z=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5.090,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7CF2" w:rsidRPr="0040364F">
        <w:rPr>
          <w:rFonts w:ascii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0.000)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compared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7CF2" w:rsidRPr="0040364F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Similarly,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demonstrated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(z=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5.119,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0.000)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compared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period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prior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same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90.80%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(375)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consumption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decreased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8.96%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(37)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period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8C18E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before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(Table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9B55E9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).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7E327A" w:rsidRPr="0040364F" w:rsidRDefault="00363C87" w:rsidP="00E20D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Discussion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explored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behaviour,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physical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activity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suffering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tobacco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consumption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prevalence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like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HTN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(56.66%),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(10.41%),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multimorbidity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(14.29%)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present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similar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findings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comparable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studies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[4]</w:t>
      </w:r>
      <w:r w:rsidR="0093657F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Restriction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measures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pandemic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imply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activities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eliminated.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Indoor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safe,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simple,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easily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implementable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preserving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fitness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levels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maintaining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social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distancing.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Majority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performed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(41.96%)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moderate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(54.89%)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similar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findings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lastRenderedPageBreak/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diabetic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half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(50%)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active,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though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specific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exercises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walking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limited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small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only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(24.07%)</w:t>
      </w:r>
      <w:r w:rsidR="00AA4215">
        <w:rPr>
          <w:rFonts w:ascii="Times New Roman" w:hAnsi="Times New Roman" w:cs="Times New Roman"/>
          <w:sz w:val="24"/>
          <w:szCs w:val="24"/>
          <w:lang w:val="en-US"/>
        </w:rPr>
        <w:t xml:space="preserve"> [17]</w:t>
      </w:r>
      <w:r w:rsidR="006B488B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Studies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showed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patients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followed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some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exercise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(62%)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their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exercise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routine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(80%)</w:t>
      </w:r>
      <w:r w:rsidR="00AA4215">
        <w:rPr>
          <w:rFonts w:ascii="Times New Roman" w:hAnsi="Times New Roman" w:cs="Times New Roman"/>
          <w:sz w:val="24"/>
          <w:szCs w:val="24"/>
          <w:lang w:val="en-US"/>
        </w:rPr>
        <w:t xml:space="preserve"> [18,19]</w:t>
      </w:r>
      <w:r w:rsidR="006B488B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Similar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another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61%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performing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quarantine</w:t>
      </w:r>
      <w:r w:rsidR="00AA4215">
        <w:rPr>
          <w:rFonts w:ascii="Times New Roman" w:hAnsi="Times New Roman" w:cs="Times New Roman"/>
          <w:sz w:val="24"/>
          <w:szCs w:val="24"/>
          <w:lang w:val="en-US"/>
        </w:rPr>
        <w:t xml:space="preserve"> [20]</w:t>
      </w:r>
      <w:r w:rsidR="00871EF6" w:rsidRPr="004036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ability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individuals,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families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communities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promote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disease,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maintain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cope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illness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disability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without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support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health-care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provider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paramount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importance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troubled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times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[21]</w:t>
      </w:r>
      <w:r w:rsidR="00141B17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imperative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empower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individuals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self-carers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caregivers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might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beneficial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reducing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underlying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risk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factors,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optimizing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treatment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managing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complications.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extent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accordance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prescribed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interval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dose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dosing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regimen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[22]</w:t>
      </w:r>
      <w:r w:rsidR="00584C8D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Globally,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reported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full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compliance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treatment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chronic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illness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50%,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developing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countries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like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India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[23]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again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confirmed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medium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level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77.48%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increasing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contrary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[24]</w:t>
      </w:r>
      <w:r w:rsidR="00584C8D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present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condition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poorest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need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improvement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COPD/Asthma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consistent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findings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00A9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C00A9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[25]</w:t>
      </w:r>
      <w:r w:rsidR="00584C8D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around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globe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reported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varying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prevalence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[26,27]</w:t>
      </w:r>
      <w:r w:rsidR="003D584F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Substance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abuse,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stress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leading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forgetfulness,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lack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family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community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support,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lack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awareness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about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complications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major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barriers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Important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actions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needs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taken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self-perception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also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family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members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through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reminders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[28]</w:t>
      </w:r>
      <w:r w:rsidR="00B11DC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displayed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remarkable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consistent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finding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studies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[29,30].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disinfecting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surfaces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things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found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wanting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(69.49%)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similar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region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[29]</w:t>
      </w:r>
      <w:r w:rsidR="00B32587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attributed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fact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preventive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measures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deemed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feasible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require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greater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effort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(e.g.,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cleaning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frequently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touched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surfaces)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greater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difficulties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(e.g.,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staying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home)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others.</w:t>
      </w:r>
    </w:p>
    <w:p w:rsidR="007E327A" w:rsidRPr="0040364F" w:rsidRDefault="007E327A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vertAlign w:val="superscript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lead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smoking,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People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manage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social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isolation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distress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increasing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adverse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smoking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use.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stress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related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quarantine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social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isolation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could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serve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trigger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[31]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increase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consumption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abuse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matter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growing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concern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[32]</w:t>
      </w:r>
      <w:r w:rsidR="00782AD5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increase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would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usual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burden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associated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[33]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weaken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innate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acquired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immune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system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will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load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[34]</w:t>
      </w:r>
      <w:r w:rsidR="002C1A58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However,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reported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drinking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majority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(90.79%)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similar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[35]</w:t>
      </w:r>
      <w:r w:rsidR="000272D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Minimal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decrease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intake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among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very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few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(7.74%)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only.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Tobacco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consumption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also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remained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majority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(90.79%)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compliance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studies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[35]</w:t>
      </w:r>
      <w:r w:rsidR="000272D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sleep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assessed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6.69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prior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meets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guidelines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7–9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adults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[36]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decreased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significantly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6.56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which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findings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AA421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[37]</w:t>
      </w:r>
      <w:r w:rsidR="00143A4A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7E327A" w:rsidRPr="0040364F" w:rsidRDefault="000A19B5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several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strengths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present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including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inclusion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multiple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behaviors,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large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size,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timing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data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collection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relative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lockdown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restrictions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region.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However,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also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limitations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consider.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Firstly,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cross-sectional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assessing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variables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single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causal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relation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could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inferred.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follow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up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undertaken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observe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over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time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assess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impact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social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restrictions.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Secondly,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convenient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sampling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method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used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recruiting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subjects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therefore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results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might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affected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cultural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norms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generalizable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populations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different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characteristics.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larger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designed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recruit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participants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diverse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cultural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backgrounds.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Thirdly,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responses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D0F2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D0F2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3D0F22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subject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recall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bias. </w:t>
      </w:r>
    </w:p>
    <w:p w:rsidR="005C7D1C" w:rsidRPr="0040364F" w:rsidRDefault="005C7D1C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study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highlighted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effect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lifestyle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pattern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burden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placed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resources.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disruption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services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due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enforced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restrictions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compounded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problems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2423F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D2423F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orced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lifestyle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pattern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might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also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generate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new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long-term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disabilities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will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burden.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changed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everyday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life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lessons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should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taken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experience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build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healthcare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system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protect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most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fragile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people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our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society.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concentrated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effort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need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hour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create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awareness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through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education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campaign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ensure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patients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>receive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continuous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healthcare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services.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People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living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should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encouraged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monitor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their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symptoms,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self-care,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adhere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medication,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seek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healthcare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services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including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counseling,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practice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physical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distancing,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wash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their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hands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soap,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wear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masks.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reduce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risk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combination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effective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tobacco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alcohol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control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interventions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hypertension,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diabetes,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other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NCDs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should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be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implemented.</w:t>
      </w:r>
    </w:p>
    <w:p w:rsidR="000107CE" w:rsidRPr="0040364F" w:rsidRDefault="0071540B" w:rsidP="00E20DDD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C</w:t>
      </w:r>
      <w:r w:rsidR="000107CE"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onflicts</w:t>
      </w:r>
      <w:r w:rsid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interest: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were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conflicts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0107CE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interest.</w:t>
      </w:r>
    </w:p>
    <w:p w:rsidR="0016712D" w:rsidRPr="0040364F" w:rsidRDefault="0016712D" w:rsidP="00E20DD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References:</w:t>
      </w:r>
    </w:p>
    <w:p w:rsidR="00322FDA" w:rsidRPr="0040364F" w:rsidRDefault="00322FDA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World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Organization.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Coronavirus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(COVID-19)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pandemic.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About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virus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[Internet].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Geneva;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[cited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2021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4].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Available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10" w:history="1">
        <w:r w:rsidRPr="0040364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https://www.euro.who.int/en/health-topics/health-emergencies/coronavirus-covid-19/novel-coronavirus-2019-ncov</w:t>
        </w:r>
      </w:hyperlink>
    </w:p>
    <w:p w:rsidR="005B6DB3" w:rsidRPr="0040364F" w:rsidRDefault="00322FDA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Clark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Jit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Warren-Gash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Guthrie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Wang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HHX,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Mercer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SW,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al.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Global,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regional,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national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estimates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population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increased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risk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severe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due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underlying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conditions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modelling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study.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Lancet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Global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2020;8(8):e1003–17.</w:t>
      </w:r>
      <w:r w:rsidR="005B6DB3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doi: 10.1016/S2214-109X(20)30264-3. </w:t>
      </w:r>
      <w:hyperlink r:id="rId11" w:history="1">
        <w:r w:rsidR="005B6DB3" w:rsidRPr="0040364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https://www.thelancet.com/journals/langlo/article/PIIS2214-109X(20)30264-3/fulltext</w:t>
        </w:r>
      </w:hyperlink>
    </w:p>
    <w:p w:rsidR="00322FDA" w:rsidRPr="0040364F" w:rsidRDefault="00322FDA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National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Portal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India.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Non-communicable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Diseases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[Internet].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Delhi: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Ministry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Family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Welfare,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Govt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[cited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2021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Available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from: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12" w:history="1">
        <w:r w:rsidRPr="0040364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  <w:lang w:val="en-US"/>
          </w:rPr>
          <w:t>https://www.nhp.gov.in/healthlyliving/ncd2019</w:t>
        </w:r>
      </w:hyperlink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:rsidR="00322FDA" w:rsidRPr="0040364F" w:rsidRDefault="00322FDA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Yang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Zheng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Y,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Gou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X,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Chen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Z,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Guo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Q,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al.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Prevalence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comorbidities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effects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patients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infected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SARS-CoV-2: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systematic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review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meta-analysis.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Infect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2020;94:91–5.</w:t>
      </w:r>
    </w:p>
    <w:p w:rsidR="00C1783C" w:rsidRPr="0040364F" w:rsidRDefault="00C1783C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Huang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Lim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Pranata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Diabetes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mellitus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associated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increased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mortality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severity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disease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pneumonia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–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systematic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review,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meta-analysis,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meta-regression.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Diabetes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Metab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Syndr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2020;14(4):395–403.</w:t>
      </w:r>
    </w:p>
    <w:p w:rsidR="00C1783C" w:rsidRPr="0040364F" w:rsidRDefault="00C1783C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Pranata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Lim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Huang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Raharjo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SB,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Lukito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Hypertension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associated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increased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mortality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severity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disease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pneumonia: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systematic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review,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meta-analysis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meta-regression.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Renin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Angiotensin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Aldosterone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Syst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2020;21(2):1–11.</w:t>
      </w:r>
    </w:p>
    <w:p w:rsidR="00FF0F1F" w:rsidRPr="0040364F" w:rsidRDefault="00FF0F1F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lastRenderedPageBreak/>
        <w:t>Aebischer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Perone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Martinez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du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Mortier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Rossi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Pahud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Urbaniak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al.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Non-communicable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diseases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humanitarian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settings: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essential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questions.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Confl</w:t>
      </w:r>
      <w:r w:rsidR="004036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2017;11:17.</w:t>
      </w:r>
      <w:r w:rsidR="00D164BD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doi: 10.1186/s13031-017-0119-8. </w:t>
      </w:r>
      <w:hyperlink r:id="rId13" w:history="1">
        <w:r w:rsidR="00D164BD" w:rsidRPr="0040364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https://conflictandhealth.biomedcentral.com/articles/10.1186/s13031-017-0119-8</w:t>
        </w:r>
      </w:hyperlink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Willan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AJ,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Jeffery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Bienz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Challenges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NHS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hospitals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during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epidemic.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BMJ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2020;368:m1117.</w:t>
      </w:r>
      <w:r w:rsidR="00125E29"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doi: 10.1136/bmj.m1117. </w:t>
      </w:r>
      <w:hyperlink r:id="rId14" w:history="1">
        <w:r w:rsidR="00125E29" w:rsidRPr="0040364F">
          <w:rPr>
            <w:rStyle w:val="Hyperlink"/>
            <w:rFonts w:ascii="Times New Roman" w:hAnsi="Times New Roman" w:cs="Times New Roman"/>
            <w:bCs/>
            <w:sz w:val="24"/>
            <w:szCs w:val="24"/>
            <w:shd w:val="clear" w:color="auto" w:fill="FFFFFF"/>
          </w:rPr>
          <w:t>https://www.bmj.com/content/368/bmj.m1117</w:t>
        </w:r>
      </w:hyperlink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Golechha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lockdown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psychosocial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challenges: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What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next?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Psychiatry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2020;66(8):830–2.</w:t>
      </w:r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Dekker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Buurman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BM,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van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der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Leeden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Exercise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people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with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comorbidity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multimorbidity.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Psychol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2019;38(9):822–30.</w:t>
      </w:r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Samom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Manipur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extends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Covid-19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lockdown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till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August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31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[Internet].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Imphal: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Hindustan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Times;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[updated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Aug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15;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cited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2021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7].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Available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https://www.hindustantimes.com/india-news/manipur-extends-covid-19-lockdown-till-august-31/story-wfH9jCld96zgRqlVpWdVGI.html</w:t>
        </w:r>
      </w:hyperlink>
      <w:r w:rsidRPr="0040364F">
        <w:rPr>
          <w:rFonts w:ascii="Times New Roman" w:hAnsi="Times New Roman" w:cs="Times New Roman"/>
          <w:sz w:val="24"/>
          <w:szCs w:val="24"/>
        </w:rPr>
        <w:t>.</w:t>
      </w:r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Council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Medical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Research,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Public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Foundation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Institute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For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Metrics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Evaluation.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of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nation’s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states 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India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state-level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disease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burden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initiative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[Internet].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New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Delhi: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ICMR,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PHFI,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IHME;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2017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[cited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Oct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7]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143–6.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Available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https://phfi.org/wp-content/uploads/2018/05/2017-India-State-Level-Disease-Burden-Initiative-Full-Report.pdf</w:t>
        </w:r>
      </w:hyperlink>
      <w:r w:rsidRPr="0040364F">
        <w:rPr>
          <w:rFonts w:ascii="Times New Roman" w:hAnsi="Times New Roman" w:cs="Times New Roman"/>
          <w:sz w:val="24"/>
          <w:szCs w:val="24"/>
        </w:rPr>
        <w:t>.</w:t>
      </w:r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Dean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Sullivan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OpenEpi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-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Open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Source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Epidemiologic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Statistics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Public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Version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3.01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[Internet].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2013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[cited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Jul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10].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Available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www.OpenEpi.com</w:t>
        </w:r>
      </w:hyperlink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Ministry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Family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Welfare,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Govt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FAQ.pdf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[Internet].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New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Delhi;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[cited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30].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Available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https://www.mohfw.gov.in/pdf/FAQ.pdf</w:t>
        </w:r>
      </w:hyperlink>
      <w:r w:rsidRPr="0040364F">
        <w:rPr>
          <w:rFonts w:ascii="Times New Roman" w:hAnsi="Times New Roman" w:cs="Times New Roman"/>
          <w:sz w:val="24"/>
          <w:szCs w:val="24"/>
        </w:rPr>
        <w:t>.</w:t>
      </w:r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Morisky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Krousel-Wood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Ward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HJ.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Predictive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validity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measure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outpatient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setting.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Clin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Hypertens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2008;10(5):348–54.</w:t>
      </w:r>
    </w:p>
    <w:p w:rsidR="002659D0" w:rsidRPr="0040364F" w:rsidRDefault="002659D0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Craig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Marshall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Sjöström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Bauman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Booth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Ainsworth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International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physical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activity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questionnaire: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12-country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reliability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validity.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Sci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Sports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Exerc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2003;35(8):1381–95.</w:t>
      </w:r>
    </w:p>
    <w:p w:rsidR="003B2496" w:rsidRPr="0040364F" w:rsidRDefault="003B249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lastRenderedPageBreak/>
        <w:t>Bala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Srivastava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Potsangbam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Ningthoujam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GD.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Self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care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practices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psychological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distress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among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Manipur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scenario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North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East.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Metab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Syndr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2021;15(1):93–8.</w:t>
      </w:r>
    </w:p>
    <w:p w:rsidR="003B2496" w:rsidRPr="0040364F" w:rsidRDefault="003B249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Nachimuthu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Vijayalakshmi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Sudha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Viswanathan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Coping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-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lockdown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Results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online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pilot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survey.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Metab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Syndr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2020;14(4):579–82.</w:t>
      </w:r>
    </w:p>
    <w:p w:rsidR="003B2496" w:rsidRPr="0040364F" w:rsidRDefault="003B249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Ghosh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Arora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Gupta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Anoop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Misra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Effects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nationwide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lockdown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epidemic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lifestyle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other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issues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type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north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Metab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Syndr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2020;14(5):917–20.</w:t>
      </w:r>
    </w:p>
    <w:p w:rsidR="003B2496" w:rsidRPr="0040364F" w:rsidRDefault="003B249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Tornese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Ceconi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Monasta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Carletti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Faleschini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Barbi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Glycemic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Control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Type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1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Mellitus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Quarantine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Role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In-Home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Physical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Activity.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Technol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2020;22(6):462–7.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496" w:rsidRPr="0040364F" w:rsidRDefault="003B249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World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Organization,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Regional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Office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South-East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Asia.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Self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care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handbook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community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workers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&amp;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volunteers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[Internet].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New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Delhi: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Regional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Office;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2014.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[cited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2021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3].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Available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https://apps.who.int/iris/handle/10665/205887</w:t>
        </w:r>
      </w:hyperlink>
      <w:r w:rsidRPr="0040364F">
        <w:rPr>
          <w:rFonts w:ascii="Times New Roman" w:hAnsi="Times New Roman" w:cs="Times New Roman"/>
          <w:sz w:val="24"/>
          <w:szCs w:val="24"/>
        </w:rPr>
        <w:t>.</w:t>
      </w:r>
    </w:p>
    <w:p w:rsidR="007F26F6" w:rsidRPr="0040364F" w:rsidRDefault="007F26F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Cramer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Roy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Burrell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Fairchild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CJ,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Fuldeore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MJ,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Ollendorf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compliance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persistence: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terminology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definitions.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Value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2008;11(1):44–7.</w:t>
      </w:r>
    </w:p>
    <w:p w:rsidR="007F26F6" w:rsidRPr="0040364F" w:rsidRDefault="007F26F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World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Organization.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long-term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therapies: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evidence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action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[Internet].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Geneva;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2003.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[cited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2021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04].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Available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https://www.who.int/chp/knowledge/publications/adherence_full_report.pdf</w:t>
        </w:r>
      </w:hyperlink>
      <w:r w:rsidRPr="0040364F">
        <w:rPr>
          <w:rFonts w:ascii="Times New Roman" w:hAnsi="Times New Roman" w:cs="Times New Roman"/>
          <w:sz w:val="24"/>
          <w:szCs w:val="24"/>
        </w:rPr>
        <w:t>.</w:t>
      </w:r>
    </w:p>
    <w:p w:rsidR="007F26F6" w:rsidRPr="0040364F" w:rsidRDefault="007F26F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Rolnick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SJ,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Pawloski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Hedblom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BD,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Asche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Bruzek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RJ.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Characteristics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Associated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Clin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2013;11(2):54–65.</w:t>
      </w:r>
    </w:p>
    <w:p w:rsidR="007F26F6" w:rsidRPr="0040364F" w:rsidRDefault="007F26F6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Restrepo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RD,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Alvarez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MT,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Wittnebel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LD,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Sorenson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Wettstein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Vines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issues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treated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COPD.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Chron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Obstruct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Pulmon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2008;3(3):371–84.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Sankar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UV,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Lipska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Mini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Sarma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PS,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Thankappan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KR.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medications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rural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Kerala,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Asia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Public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2015;27(2):NP513-23.</w:t>
      </w:r>
      <w:r w:rsidR="00400C81" w:rsidRPr="0040364F">
        <w:rPr>
          <w:rFonts w:ascii="Times New Roman" w:hAnsi="Times New Roman" w:cs="Times New Roman"/>
          <w:sz w:val="24"/>
          <w:szCs w:val="24"/>
        </w:rPr>
        <w:t xml:space="preserve"> doi: 10.1177/1010539513475651. </w:t>
      </w:r>
      <w:hyperlink r:id="rId21" w:history="1">
        <w:r w:rsidR="00400C81"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https://journals.sagepub.com/doi/10.1177/1010539513475651</w:t>
        </w:r>
      </w:hyperlink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lastRenderedPageBreak/>
        <w:t>Yusuff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KB,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Obe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Joseph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anti-diabetic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drug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therapy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self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management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practices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among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type-2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diabetics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Nigeria.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Pharm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World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Sci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2008;30(6):876–83.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Krishnamoorthy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Y,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Giriyappa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Eliyas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Priyan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Saya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Lakshminarayanan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provider’s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experience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perspective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addressing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barriers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medication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adherence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among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noncommunicable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disease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rural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Puducherry,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South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India-A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qualitative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study.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Patient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Exp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2019;6(3):216–23.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Bala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Srivastava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Ningthoujam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GD,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Potsangbam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Oinam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observational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study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="00C81C58" w:rsidRPr="0040364F">
        <w:rPr>
          <w:rFonts w:ascii="Times New Roman" w:hAnsi="Times New Roman" w:cs="Times New Roman"/>
          <w:sz w:val="24"/>
          <w:szCs w:val="24"/>
        </w:rPr>
        <w:t xml:space="preserve">in Manipur State, India </w:t>
      </w:r>
      <w:r w:rsidRPr="0040364F">
        <w:rPr>
          <w:rFonts w:ascii="Times New Roman" w:hAnsi="Times New Roman" w:cs="Times New Roman"/>
          <w:sz w:val="24"/>
          <w:szCs w:val="24"/>
        </w:rPr>
        <w:t>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preventive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behavior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influenced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social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pandemic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mediated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cyberchondria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information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overload.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Prev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Public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2021</w:t>
      </w:r>
      <w:r w:rsidR="00C81C58" w:rsidRPr="0040364F">
        <w:rPr>
          <w:rFonts w:ascii="Times New Roman" w:hAnsi="Times New Roman" w:cs="Times New Roman"/>
          <w:sz w:val="24"/>
          <w:szCs w:val="24"/>
        </w:rPr>
        <w:t>;54(1):22-30.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Srivastava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Bala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Shil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Shaw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Karso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Bhaumik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Knowledge,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attitude,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practices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perception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towards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North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Eastern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States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India: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online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cross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sectional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study.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Asian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Pharmaceut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Clin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2020;13(12):165–72.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Shigemura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Ursano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RJ,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Morganstein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JC,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Kurosawa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M,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Benedek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DM.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Public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responses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to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the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novel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2019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coronavirus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(2019-nCoV)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Japan: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Mental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health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consequences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and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target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populations.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Psychiatry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Clin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Neurosci</w:t>
      </w:r>
      <w:r w:rsid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0364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2020;74(4):281–2.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Rehm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Kilian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Ferreira-Borges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Jernigan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Monteiro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Parry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CDH,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Alcohol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use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times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19: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Implications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monitoring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policy.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Drug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Alcohol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Rev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2020;39(4):301–4.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Shield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Manthey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Rylett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Probst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Wettlaufer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Parry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CDH,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National,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regional,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global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burdens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disease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2000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2016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attributable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alcohol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use: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comparative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risk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assessment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study.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Lancet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Public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2020;5(1):e51–61.</w:t>
      </w:r>
      <w:r w:rsidR="00400C81" w:rsidRPr="0040364F">
        <w:rPr>
          <w:rFonts w:ascii="Times New Roman" w:hAnsi="Times New Roman" w:cs="Times New Roman"/>
          <w:sz w:val="24"/>
          <w:szCs w:val="24"/>
        </w:rPr>
        <w:t xml:space="preserve"> doi: 10.1016/S2468-2667(19)30231-2. </w:t>
      </w:r>
      <w:hyperlink r:id="rId22" w:history="1">
        <w:r w:rsidR="00400C81"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https://www.thelancet.com/journals/lanpub/article/PIIS2468-2667(19)30231-2/fulltext</w:t>
        </w:r>
      </w:hyperlink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Molina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PE,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Happel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KI,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Zhang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Kolls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Nelson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Focus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on: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Alcohol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immune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system.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Alcohol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2010;33(1–2):97–108.</w:t>
      </w:r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Stanton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QG,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Khalesi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Williams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Alley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SJ,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Thwaite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Depression,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anxiety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stress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Associations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with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Changes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physical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activity,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sleep,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tobacco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alcohol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use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Australian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adults.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J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Environ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Public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lastRenderedPageBreak/>
        <w:t>2020;17(11):4065.</w:t>
      </w:r>
      <w:r w:rsidR="00400C81" w:rsidRPr="0040364F">
        <w:rPr>
          <w:rFonts w:ascii="Times New Roman" w:hAnsi="Times New Roman" w:cs="Times New Roman"/>
          <w:sz w:val="24"/>
          <w:szCs w:val="24"/>
        </w:rPr>
        <w:t xml:space="preserve"> doi: 10.3390/ijerph17114065. </w:t>
      </w:r>
      <w:hyperlink r:id="rId23" w:history="1">
        <w:r w:rsidR="00400C81" w:rsidRPr="0040364F">
          <w:rPr>
            <w:rStyle w:val="Hyperlink"/>
            <w:rFonts w:ascii="Times New Roman" w:hAnsi="Times New Roman" w:cs="Times New Roman"/>
            <w:sz w:val="24"/>
            <w:szCs w:val="24"/>
          </w:rPr>
          <w:t>https://www.mdpi.com/1660-4601/17/11/4065</w:t>
        </w:r>
      </w:hyperlink>
    </w:p>
    <w:p w:rsidR="00113BFE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Hirshkowitz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Whiton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Albert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Alessi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Bruni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DonCarlos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National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Sleep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Foundation’s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updated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sleep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duration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recommendations: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final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report.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Sleep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2015;1(4):233–43.</w:t>
      </w:r>
    </w:p>
    <w:p w:rsidR="0016712D" w:rsidRPr="0040364F" w:rsidRDefault="00113BFE" w:rsidP="00E20DD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</w:rPr>
        <w:t>Ammar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Trabelsi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K,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Brach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Chtourou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Boukhris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Masmoudi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L,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al.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Effects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of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home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confinement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on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mental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health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and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lifestyle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behaviours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during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COVID-19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outbreak: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Insight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from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the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ECLB-COVID19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multicenter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study.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Biol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Sport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2021;38(1):9–21.</w:t>
      </w:r>
    </w:p>
    <w:p w:rsidR="002E7F47" w:rsidRPr="0040364F" w:rsidRDefault="002E7F47" w:rsidP="00E20DD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E7F47" w:rsidRPr="0040364F" w:rsidRDefault="002E7F47" w:rsidP="00E20DD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60603" w:rsidRPr="0040364F" w:rsidRDefault="008257EA" w:rsidP="00E20DD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Table Legends:</w:t>
      </w:r>
    </w:p>
    <w:p w:rsidR="008257EA" w:rsidRPr="0040364F" w:rsidRDefault="008257E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1: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behavior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demographic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variabl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(N=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413)</w:t>
      </w:r>
    </w:p>
    <w:p w:rsidR="008257EA" w:rsidRPr="0040364F" w:rsidRDefault="008257E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2: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Post-hoc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behavior</w:t>
      </w:r>
    </w:p>
    <w:p w:rsidR="008257EA" w:rsidRPr="0040364F" w:rsidRDefault="008257E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3: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-hoc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adherence</w:t>
      </w:r>
    </w:p>
    <w:p w:rsidR="008257EA" w:rsidRPr="0040364F" w:rsidRDefault="008257E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4: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IPAQ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scores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demographic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variables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(N=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348)</w:t>
      </w:r>
    </w:p>
    <w:p w:rsidR="008257EA" w:rsidRPr="0040364F" w:rsidRDefault="008257E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5: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-h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IPAQ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core</w:t>
      </w:r>
    </w:p>
    <w:p w:rsidR="008257EA" w:rsidRPr="0040364F" w:rsidRDefault="008257EA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6: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Comparison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sleep,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intake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before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86F67" w:rsidRPr="0040364F">
        <w:rPr>
          <w:rFonts w:ascii="Times New Roman" w:hAnsi="Times New Roman" w:cs="Times New Roman"/>
          <w:sz w:val="24"/>
          <w:szCs w:val="24"/>
          <w:lang w:val="en-US"/>
        </w:rPr>
        <w:t>lockdown</w:t>
      </w:r>
    </w:p>
    <w:p w:rsidR="008257EA" w:rsidRPr="0040364F" w:rsidRDefault="008257EA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257EA" w:rsidRPr="0040364F" w:rsidRDefault="008257EA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896" w:rsidRPr="0040364F" w:rsidRDefault="0090489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896" w:rsidRPr="0040364F" w:rsidRDefault="0090489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896" w:rsidRPr="0040364F" w:rsidRDefault="0090489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896" w:rsidRPr="0040364F" w:rsidRDefault="0090489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04896" w:rsidRPr="0040364F" w:rsidRDefault="0090489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00A75" w:rsidRPr="0040364F" w:rsidRDefault="00300A75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TABLES</w:t>
      </w:r>
    </w:p>
    <w:p w:rsidR="00300A75" w:rsidRPr="0040364F" w:rsidRDefault="00300A75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1: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Comparison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behavior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adherence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based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demographic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variables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(N=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413)</w:t>
      </w:r>
    </w:p>
    <w:tbl>
      <w:tblPr>
        <w:tblW w:w="11199" w:type="dxa"/>
        <w:tblInd w:w="-885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276"/>
        <w:gridCol w:w="851"/>
        <w:gridCol w:w="850"/>
        <w:gridCol w:w="992"/>
        <w:gridCol w:w="993"/>
        <w:gridCol w:w="708"/>
        <w:gridCol w:w="851"/>
        <w:gridCol w:w="992"/>
        <w:gridCol w:w="1134"/>
        <w:gridCol w:w="851"/>
        <w:gridCol w:w="708"/>
      </w:tblGrid>
      <w:tr w:rsidR="00F52B61" w:rsidRPr="0040364F" w:rsidTr="004D6354">
        <w:trPr>
          <w:trHeight w:val="610"/>
        </w:trPr>
        <w:tc>
          <w:tcPr>
            <w:tcW w:w="3970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gridSpan w:val="4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Preventive behavior</w:t>
            </w:r>
          </w:p>
        </w:tc>
        <w:tc>
          <w:tcPr>
            <w:tcW w:w="3685" w:type="dxa"/>
            <w:gridSpan w:val="4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Morisky Medication Adherence</w:t>
            </w:r>
          </w:p>
        </w:tc>
      </w:tr>
      <w:tr w:rsidR="00F52B61" w:rsidRPr="0040364F" w:rsidTr="004D6354">
        <w:trPr>
          <w:trHeight w:val="419"/>
        </w:trPr>
        <w:tc>
          <w:tcPr>
            <w:tcW w:w="3970" w:type="dxa"/>
            <w:gridSpan w:val="4"/>
            <w:vMerge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gridSpan w:val="4"/>
            <w:vMerge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χ²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c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p-value</w:t>
            </w:r>
          </w:p>
        </w:tc>
      </w:tr>
      <w:tr w:rsidR="00F52B61" w:rsidRPr="0040364F" w:rsidTr="005D45A3">
        <w:trPr>
          <w:trHeight w:val="300"/>
        </w:trPr>
        <w:tc>
          <w:tcPr>
            <w:tcW w:w="2269" w:type="dxa"/>
            <w:gridSpan w:val="2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Demographic variables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Mean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SD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a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/F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 (%)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 (%)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485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Mean age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54.34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Standard Deviation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13.80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Upto 45 years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59.741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3.671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0.437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0.727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 (37.50)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 (62.50)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21.919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46-55 years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25.67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60.226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4.076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 (21.70)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 (78.30)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56-65 years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22.76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59.894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3.958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(14.89)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 (85.11)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477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Above 65 years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24.46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60.248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3.907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(13.86)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 (86.14)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Male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48.91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59.282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4.209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-3.836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 (21.29)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159 (78.71)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0.343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0.558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Female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51.09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60.735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3.426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(23.70)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161 (76.30)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Married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92.98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59.938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3.962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-2.355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 (20.57)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305 (79.43)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11.860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Unmarried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7.02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61.172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2.606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(48.28)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(51.72)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Type of area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Rural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40.44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59.599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4.227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-1.783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 (19.16)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135 (80.84)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1.810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0.178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Urban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59.56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60.313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3.629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 (24.80)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185 (75.20)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Upto junior high school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16.95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58.257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5.177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6.397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 (20.00)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 (80.00)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9.654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0.022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High school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60.051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3.629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(15.15)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 (84.85)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Higher secondary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23.73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60.602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3.152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 (19.39)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 (80.61)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Graduate and higher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35.35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60.466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3.582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 (30.82)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 (69.18)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Government job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14.29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58.898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3.310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3.644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 (15.25)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 (84.75)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17.567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Private job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60.735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4.353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(22.45)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 (77.55)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Business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10.65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60.682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3.777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 (34.09)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 (65.91)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Retired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60.500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3.140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(15.28)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 (84.72)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Homemaker/Housewife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33.90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60.343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3.466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 (19.29)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113 (80.71)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Unemployed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11.86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58.469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5.493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(40.82)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 (59.18)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Type of family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Nuclear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17.92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61.419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3.476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3.721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(24.32)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 (75.68)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0.169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0.681</w:t>
            </w:r>
          </w:p>
        </w:tc>
      </w:tr>
      <w:tr w:rsidR="00F52B61" w:rsidRPr="0040364F" w:rsidTr="005D45A3">
        <w:trPr>
          <w:trHeight w:val="436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Joint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82.08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59.720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3.917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 (22.12)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264 (77.88)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Prophylactic medicine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Homoeopathic medicine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44.55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61.348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3.138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6.687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 (24.46)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 (75.54)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0.715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0.398</w:t>
            </w:r>
          </w:p>
        </w:tc>
      </w:tr>
      <w:tr w:rsidR="00F52B61" w:rsidRPr="0040364F" w:rsidTr="005D45A3">
        <w:trPr>
          <w:trHeight w:val="827"/>
        </w:trPr>
        <w:tc>
          <w:tcPr>
            <w:tcW w:w="993" w:type="dxa"/>
            <w:vMerge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 did not took any medicine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55.45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58.961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4.115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 (20.96)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181 (79.04)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 w:val="restart"/>
            <w:shd w:val="clear" w:color="auto" w:fill="auto"/>
            <w:noWrap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Chronic disease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Anxiety/Depression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60.556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2.975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1.881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(44.44)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(55.56)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80.011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Diabetes Mellitus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10.41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58.977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4.517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(13.95)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 (86.05)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Hypertension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56.66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59.850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3.806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 (14.53)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 (85.47)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COPD/Asthma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61.727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2.947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(81.82)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(18.18)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300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Multi morbidity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14.29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60.305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4.211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 (13.56)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 (86.44)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F52B61" w:rsidRPr="0040364F" w:rsidTr="005D45A3">
        <w:trPr>
          <w:trHeight w:val="430"/>
        </w:trPr>
        <w:tc>
          <w:tcPr>
            <w:tcW w:w="993" w:type="dxa"/>
            <w:vMerge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Other NCDs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8.96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60.622</w:t>
            </w: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3.759</w:t>
            </w: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 (51.35)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 (48.65)</w:t>
            </w:r>
          </w:p>
        </w:tc>
        <w:tc>
          <w:tcPr>
            <w:tcW w:w="851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08" w:type="dxa"/>
            <w:vMerge/>
            <w:vAlign w:val="center"/>
            <w:hideMark/>
          </w:tcPr>
          <w:p w:rsidR="00F52B61" w:rsidRPr="0040364F" w:rsidRDefault="00F52B61" w:rsidP="00E20DDD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04896" w:rsidRPr="0040364F" w:rsidRDefault="00904896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N= Number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%= Percentage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lastRenderedPageBreak/>
        <w:t>SD= Standard Deviation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COPD= Chronic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Obstructive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Pulmonary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NCD= Non-communicable Disease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Two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b=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Analysis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Variance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(ANOVA)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c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Chi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square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p-value&lt;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:rsidR="003B1740" w:rsidRPr="0040364F" w:rsidRDefault="003B1740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F6586" w:rsidRPr="0040364F" w:rsidRDefault="006F6586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Table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2: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Hoc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Preventive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Behavior</w:t>
      </w:r>
    </w:p>
    <w:tbl>
      <w:tblPr>
        <w:tblW w:w="9483" w:type="dxa"/>
        <w:tblInd w:w="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4471"/>
        <w:gridCol w:w="1985"/>
        <w:gridCol w:w="1671"/>
      </w:tblGrid>
      <w:tr w:rsidR="006F6586" w:rsidRPr="0040364F" w:rsidTr="006F6586">
        <w:trPr>
          <w:trHeight w:val="300"/>
        </w:trPr>
        <w:tc>
          <w:tcPr>
            <w:tcW w:w="5827" w:type="dxa"/>
            <w:gridSpan w:val="2"/>
            <w:vAlign w:val="center"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Preventive</w:t>
            </w:r>
            <w:r w:rsidR="00B734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behavior</w:t>
            </w:r>
          </w:p>
        </w:tc>
        <w:tc>
          <w:tcPr>
            <w:tcW w:w="3656" w:type="dxa"/>
            <w:gridSpan w:val="2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Tukey's</w:t>
            </w:r>
            <w:r w:rsidR="00B734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HSD</w:t>
            </w:r>
          </w:p>
        </w:tc>
      </w:tr>
      <w:tr w:rsidR="006F6586" w:rsidRPr="0040364F" w:rsidTr="006F6586">
        <w:trPr>
          <w:trHeight w:val="315"/>
        </w:trPr>
        <w:tc>
          <w:tcPr>
            <w:tcW w:w="1356" w:type="dxa"/>
            <w:vAlign w:val="center"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q</w:t>
            </w:r>
            <w:r w:rsidR="00B734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value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a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p-value</w:t>
            </w:r>
          </w:p>
        </w:tc>
      </w:tr>
      <w:tr w:rsidR="006F6586" w:rsidRPr="0040364F" w:rsidTr="006F6586">
        <w:trPr>
          <w:trHeight w:val="300"/>
        </w:trPr>
        <w:tc>
          <w:tcPr>
            <w:tcW w:w="1356" w:type="dxa"/>
            <w:vMerge w:val="restart"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44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Upto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junior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vs.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4.253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0.015</w:t>
            </w:r>
          </w:p>
        </w:tc>
      </w:tr>
      <w:tr w:rsidR="006F6586" w:rsidRPr="0040364F" w:rsidTr="006F6586">
        <w:trPr>
          <w:trHeight w:val="300"/>
        </w:trPr>
        <w:tc>
          <w:tcPr>
            <w:tcW w:w="1356" w:type="dxa"/>
            <w:vMerge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Upto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junior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vs.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secondary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5.549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6F6586" w:rsidRPr="0040364F" w:rsidTr="006F6586">
        <w:trPr>
          <w:trHeight w:val="315"/>
        </w:trPr>
        <w:tc>
          <w:tcPr>
            <w:tcW w:w="1356" w:type="dxa"/>
            <w:vMerge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Upto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junior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school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vs.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graduate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higher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5.626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</w:tr>
      <w:tr w:rsidR="006F6586" w:rsidRPr="0040364F" w:rsidTr="006F6586">
        <w:trPr>
          <w:trHeight w:val="315"/>
        </w:trPr>
        <w:tc>
          <w:tcPr>
            <w:tcW w:w="1356" w:type="dxa"/>
            <w:vMerge w:val="restart"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4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Government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vs.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unemployed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4.138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0.042</w:t>
            </w:r>
          </w:p>
        </w:tc>
      </w:tr>
      <w:tr w:rsidR="006F6586" w:rsidRPr="0040364F" w:rsidTr="006F6586">
        <w:trPr>
          <w:trHeight w:val="300"/>
        </w:trPr>
        <w:tc>
          <w:tcPr>
            <w:tcW w:w="1356" w:type="dxa"/>
            <w:vMerge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Homemaker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vs.</w:t>
            </w:r>
            <w:r w:rsidR="00B734A8"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unemployed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4.166</w:t>
            </w:r>
          </w:p>
        </w:tc>
        <w:tc>
          <w:tcPr>
            <w:tcW w:w="1671" w:type="dxa"/>
            <w:shd w:val="clear" w:color="auto" w:fill="auto"/>
            <w:noWrap/>
            <w:vAlign w:val="center"/>
            <w:hideMark/>
          </w:tcPr>
          <w:p w:rsidR="006F6586" w:rsidRPr="0040364F" w:rsidRDefault="006F6586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0.040</w:t>
            </w:r>
          </w:p>
        </w:tc>
      </w:tr>
    </w:tbl>
    <w:p w:rsidR="006F6586" w:rsidRPr="0040364F" w:rsidRDefault="006F6586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F6586" w:rsidRPr="0040364F" w:rsidRDefault="006F6586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HSD=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36C7" w:rsidRPr="0040364F">
        <w:rPr>
          <w:rFonts w:ascii="Times New Roman" w:hAnsi="Times New Roman" w:cs="Times New Roman"/>
          <w:sz w:val="24"/>
          <w:szCs w:val="24"/>
        </w:rPr>
        <w:t>Honest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Significance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Difference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6586" w:rsidRPr="0040364F" w:rsidRDefault="006F6586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Tukey’s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HSD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statistics</w:t>
      </w:r>
    </w:p>
    <w:p w:rsidR="006F6586" w:rsidRPr="0040364F" w:rsidRDefault="006F658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p-value&lt;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:rsidR="00904896" w:rsidRDefault="00904896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Pr="0040364F" w:rsidRDefault="00B72D87" w:rsidP="00E20DD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7397D" w:rsidRPr="0040364F" w:rsidRDefault="0027397D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3: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Hoc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Medication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Adherence</w:t>
      </w:r>
    </w:p>
    <w:tbl>
      <w:tblPr>
        <w:tblW w:w="10490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4"/>
        <w:gridCol w:w="1927"/>
        <w:gridCol w:w="1418"/>
        <w:gridCol w:w="1275"/>
        <w:gridCol w:w="1276"/>
        <w:gridCol w:w="1701"/>
        <w:gridCol w:w="1559"/>
      </w:tblGrid>
      <w:tr w:rsidR="0027397D" w:rsidRPr="0040364F" w:rsidTr="0027397D">
        <w:trPr>
          <w:trHeight w:val="315"/>
        </w:trPr>
        <w:tc>
          <w:tcPr>
            <w:tcW w:w="3261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Medication adherence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Adjusted standardized residual value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z- value</w:t>
            </w:r>
          </w:p>
        </w:tc>
        <w:tc>
          <w:tcPr>
            <w:tcW w:w="1701" w:type="dxa"/>
            <w:vMerge w:val="restart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Adjusted p-value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a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(Bonferroni Correction)</w:t>
            </w:r>
          </w:p>
        </w:tc>
      </w:tr>
      <w:tr w:rsidR="0027397D" w:rsidRPr="0040364F" w:rsidTr="0027397D">
        <w:trPr>
          <w:trHeight w:val="300"/>
        </w:trPr>
        <w:tc>
          <w:tcPr>
            <w:tcW w:w="3261" w:type="dxa"/>
            <w:gridSpan w:val="2"/>
            <w:vMerge/>
            <w:shd w:val="clear" w:color="auto" w:fill="auto"/>
            <w:noWrap/>
            <w:vAlign w:val="bottom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Low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Moderate</w:t>
            </w:r>
          </w:p>
        </w:tc>
        <w:tc>
          <w:tcPr>
            <w:tcW w:w="1276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27397D" w:rsidRPr="0040364F" w:rsidTr="0027397D">
        <w:trPr>
          <w:trHeight w:val="300"/>
        </w:trPr>
        <w:tc>
          <w:tcPr>
            <w:tcW w:w="1334" w:type="dxa"/>
            <w:shd w:val="clear" w:color="auto" w:fill="auto"/>
            <w:noWrap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Age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Upto 45 years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4.446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-4.446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</w:tr>
      <w:tr w:rsidR="0027397D" w:rsidRPr="0040364F" w:rsidTr="0027397D">
        <w:trPr>
          <w:trHeight w:val="300"/>
        </w:trPr>
        <w:tc>
          <w:tcPr>
            <w:tcW w:w="1334" w:type="dxa"/>
            <w:shd w:val="clear" w:color="auto" w:fill="auto"/>
            <w:noWrap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Graduate and higher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2.987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-2.987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-2.734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0.006</w:t>
            </w:r>
          </w:p>
        </w:tc>
      </w:tr>
      <w:tr w:rsidR="0027397D" w:rsidRPr="0040364F" w:rsidTr="00AE717F">
        <w:trPr>
          <w:trHeight w:val="300"/>
        </w:trPr>
        <w:tc>
          <w:tcPr>
            <w:tcW w:w="1334" w:type="dxa"/>
            <w:shd w:val="clear" w:color="auto" w:fill="auto"/>
            <w:noWrap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Unemployed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3.266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-3.266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-2.865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27397D" w:rsidRPr="0040364F" w:rsidTr="00AE717F">
        <w:trPr>
          <w:trHeight w:val="300"/>
        </w:trPr>
        <w:tc>
          <w:tcPr>
            <w:tcW w:w="1334" w:type="dxa"/>
            <w:vMerge w:val="restart"/>
            <w:shd w:val="clear" w:color="auto" w:fill="auto"/>
            <w:noWrap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Chronic disease</w:t>
            </w: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Hypertension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-4.444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4.444</w:t>
            </w:r>
          </w:p>
        </w:tc>
        <w:tc>
          <w:tcPr>
            <w:tcW w:w="1276" w:type="dxa"/>
            <w:vMerge w:val="restart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-2.865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559" w:type="dxa"/>
            <w:vMerge w:val="restart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0.004</w:t>
            </w:r>
          </w:p>
        </w:tc>
      </w:tr>
      <w:tr w:rsidR="0027397D" w:rsidRPr="0040364F" w:rsidTr="00AE717F">
        <w:trPr>
          <w:trHeight w:val="300"/>
        </w:trPr>
        <w:tc>
          <w:tcPr>
            <w:tcW w:w="1334" w:type="dxa"/>
            <w:vMerge/>
            <w:shd w:val="clear" w:color="auto" w:fill="auto"/>
            <w:noWrap/>
            <w:vAlign w:val="bottom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COPD/Asthma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6.844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-6.844</w:t>
            </w:r>
          </w:p>
        </w:tc>
        <w:tc>
          <w:tcPr>
            <w:tcW w:w="1276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559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7397D" w:rsidRPr="0040364F" w:rsidTr="00AE717F">
        <w:trPr>
          <w:trHeight w:val="300"/>
        </w:trPr>
        <w:tc>
          <w:tcPr>
            <w:tcW w:w="1334" w:type="dxa"/>
            <w:vMerge/>
            <w:shd w:val="clear" w:color="auto" w:fill="auto"/>
            <w:noWrap/>
            <w:vAlign w:val="bottom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7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Other NCDs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4.401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-4.401</w:t>
            </w:r>
          </w:p>
        </w:tc>
        <w:tc>
          <w:tcPr>
            <w:tcW w:w="1276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</w:t>
            </w:r>
          </w:p>
        </w:tc>
        <w:tc>
          <w:tcPr>
            <w:tcW w:w="1559" w:type="dxa"/>
            <w:vMerge/>
            <w:vAlign w:val="center"/>
            <w:hideMark/>
          </w:tcPr>
          <w:p w:rsidR="0027397D" w:rsidRPr="0040364F" w:rsidRDefault="0027397D" w:rsidP="00E20DD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27397D" w:rsidRPr="0040364F" w:rsidRDefault="0027397D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E717F" w:rsidRPr="0040364F" w:rsidRDefault="00AE717F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COPD= Chronic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Obstructive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Pulmonary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</w:t>
      </w:r>
    </w:p>
    <w:p w:rsidR="00AE717F" w:rsidRPr="0040364F" w:rsidRDefault="00AE717F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NCD= Non-communicable Disease</w:t>
      </w:r>
    </w:p>
    <w:p w:rsidR="00AE717F" w:rsidRPr="0040364F" w:rsidRDefault="00AE717F" w:rsidP="00E20D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p-value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adjusted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comparisons</w:t>
      </w:r>
    </w:p>
    <w:p w:rsidR="00AE717F" w:rsidRPr="0040364F" w:rsidRDefault="00AE717F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Pr="0040364F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Pr="0040364F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Pr="0040364F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4: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Comparison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IPAQ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Scores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Based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Demographic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Variables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(N=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348)</w:t>
      </w:r>
    </w:p>
    <w:tbl>
      <w:tblPr>
        <w:tblStyle w:val="TableGrid"/>
        <w:tblW w:w="10348" w:type="dxa"/>
        <w:tblInd w:w="-459" w:type="dxa"/>
        <w:tblBorders>
          <w:left w:val="none" w:sz="0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1"/>
        <w:gridCol w:w="992"/>
        <w:gridCol w:w="993"/>
        <w:gridCol w:w="1134"/>
        <w:gridCol w:w="1134"/>
        <w:gridCol w:w="992"/>
        <w:gridCol w:w="992"/>
      </w:tblGrid>
      <w:tr w:rsidR="003176B4" w:rsidRPr="0040364F" w:rsidTr="00CD3C8A">
        <w:trPr>
          <w:trHeight w:val="378"/>
        </w:trPr>
        <w:tc>
          <w:tcPr>
            <w:tcW w:w="4111" w:type="dxa"/>
            <w:gridSpan w:val="2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 w:val="restart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993" w:type="dxa"/>
            <w:vMerge w:val="restart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4252" w:type="dxa"/>
            <w:gridSpan w:val="4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IPAQ</w:t>
            </w:r>
          </w:p>
        </w:tc>
      </w:tr>
      <w:tr w:rsidR="003176B4" w:rsidRPr="0040364F" w:rsidTr="00CD3C8A">
        <w:trPr>
          <w:trHeight w:val="300"/>
        </w:trPr>
        <w:tc>
          <w:tcPr>
            <w:tcW w:w="4111" w:type="dxa"/>
            <w:gridSpan w:val="2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993" w:type="dxa"/>
            <w:vMerge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Median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IQR</w:t>
            </w:r>
          </w:p>
        </w:tc>
        <w:tc>
          <w:tcPr>
            <w:tcW w:w="992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U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a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/H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eastAsia="en-IN"/>
              </w:rPr>
              <w:t>b</w:t>
            </w:r>
          </w:p>
        </w:tc>
        <w:tc>
          <w:tcPr>
            <w:tcW w:w="992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p-</w:t>
            </w:r>
            <w:r w:rsidR="00CD3C8A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Upto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45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years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26.44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495.00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517.50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2.218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0.528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46-55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years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26.44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537.50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494.25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56-65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years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23.56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544.25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450.75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Above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65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years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23.56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516.00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479.63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Male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50.29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530.25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10518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Female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49.71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363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Marital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Married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322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92.53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521.75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480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3798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0.215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Unmarried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7.47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619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554.13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Type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of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area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Rural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40.23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14499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0.473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Urban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208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59.77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536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508.5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Upto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junior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high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14.94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431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523.88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22.304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High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school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23.56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477.5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Higher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secondary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23.85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363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Graduate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and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higher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37.64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678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532.5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Business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15.80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599.75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27.053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Government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12.07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517.88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Private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job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10.06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626.5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344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Retired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18.68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594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252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Homemaker/Housewife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31.90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371.25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Unemployed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11.49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693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862.5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Type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of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family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Nuclear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15.52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307.13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7932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0.496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Joint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294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84.48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537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510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Prophylactic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medicine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Homoeopathic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medicine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44.54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527.5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338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14242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0.221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I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did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not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took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any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medicine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55.46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537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517.5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 w:val="restart"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lastRenderedPageBreak/>
              <w:t>Chronic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disease</w:t>
            </w: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Anxiety/Depression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4.02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550.25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456.63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15.331</w:t>
            </w:r>
          </w:p>
        </w:tc>
        <w:tc>
          <w:tcPr>
            <w:tcW w:w="992" w:type="dxa"/>
            <w:vMerge w:val="restart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0.009</w:t>
            </w: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Diabetes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Mellitus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10.34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717.75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1046.25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Hypertension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55.75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366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COPD/Asthma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5.46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360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693.75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Multi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morbidity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14.37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675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514.88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176B4" w:rsidRPr="0040364F" w:rsidTr="00CD3C8A">
        <w:trPr>
          <w:trHeight w:val="300"/>
        </w:trPr>
        <w:tc>
          <w:tcPr>
            <w:tcW w:w="1560" w:type="dxa"/>
            <w:vMerge/>
            <w:noWrap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1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Other</w:t>
            </w:r>
            <w:r w:rsidR="00CD3C8A"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NCDs</w:t>
            </w:r>
          </w:p>
        </w:tc>
        <w:tc>
          <w:tcPr>
            <w:tcW w:w="992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993" w:type="dxa"/>
            <w:noWrap/>
            <w:vAlign w:val="center"/>
            <w:hideMark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10.06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462</w:t>
            </w:r>
          </w:p>
        </w:tc>
        <w:tc>
          <w:tcPr>
            <w:tcW w:w="1134" w:type="dxa"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516.5</w:t>
            </w: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92" w:type="dxa"/>
            <w:vMerge/>
            <w:vAlign w:val="center"/>
          </w:tcPr>
          <w:p w:rsidR="003176B4" w:rsidRPr="0040364F" w:rsidRDefault="003176B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176B4" w:rsidRPr="0040364F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IPAQ=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 xml:space="preserve"> Questionnaire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(Short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Form)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N= Number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%= Percentage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IQR=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Inter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Quartile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Range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COPD= Chronic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Obstructive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Pulmonary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Disease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NCD= Non-communicable Disease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Mann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Whitney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Kruskal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Wallis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3176B4" w:rsidRPr="0040364F" w:rsidRDefault="003176B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p-value&lt;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:rsidR="003176B4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Pr="0040364F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90C34" w:rsidRPr="0040364F" w:rsidRDefault="00D90C34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D3C8A" w:rsidRPr="0040364F" w:rsidRDefault="00CD3C8A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5: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Post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Hoc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Analysis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IPAQ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Score</w:t>
      </w:r>
    </w:p>
    <w:tbl>
      <w:tblPr>
        <w:tblStyle w:val="TableGrid"/>
        <w:tblW w:w="10394" w:type="dxa"/>
        <w:tblInd w:w="-459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4536"/>
        <w:gridCol w:w="2314"/>
        <w:gridCol w:w="2126"/>
      </w:tblGrid>
      <w:tr w:rsidR="00CD3C8A" w:rsidRPr="0040364F" w:rsidTr="00986AA8">
        <w:trPr>
          <w:trHeight w:val="315"/>
        </w:trPr>
        <w:tc>
          <w:tcPr>
            <w:tcW w:w="5954" w:type="dxa"/>
            <w:gridSpan w:val="2"/>
            <w:vMerge w:val="restart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Demographic</w:t>
            </w:r>
            <w:r w:rsidR="00986AA8"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4440" w:type="dxa"/>
            <w:gridSpan w:val="2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DUNN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</w:tr>
      <w:tr w:rsidR="00CD3C8A" w:rsidRPr="0040364F" w:rsidTr="00986AA8">
        <w:trPr>
          <w:trHeight w:val="806"/>
        </w:trPr>
        <w:tc>
          <w:tcPr>
            <w:tcW w:w="5954" w:type="dxa"/>
            <w:gridSpan w:val="2"/>
            <w:vMerge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314" w:type="dxa"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Unadjusted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p-value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the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paired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comparison</w:t>
            </w:r>
          </w:p>
        </w:tc>
        <w:tc>
          <w:tcPr>
            <w:tcW w:w="2126" w:type="dxa"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Benjaminyi-Hochberg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FDR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adjusted</w:t>
            </w:r>
            <w:r w:rsidR="00986AA8"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IN"/>
              </w:rPr>
              <w:t>p-value</w:t>
            </w:r>
          </w:p>
        </w:tc>
      </w:tr>
      <w:tr w:rsidR="00CD3C8A" w:rsidRPr="0040364F" w:rsidTr="00986AA8">
        <w:trPr>
          <w:trHeight w:val="300"/>
        </w:trPr>
        <w:tc>
          <w:tcPr>
            <w:tcW w:w="1418" w:type="dxa"/>
            <w:vMerge w:val="restart"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Education</w:t>
            </w:r>
          </w:p>
        </w:tc>
        <w:tc>
          <w:tcPr>
            <w:tcW w:w="453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Upto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junior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school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graduate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and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higher</w:t>
            </w:r>
          </w:p>
        </w:tc>
        <w:tc>
          <w:tcPr>
            <w:tcW w:w="2314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0.001</w:t>
            </w:r>
          </w:p>
        </w:tc>
        <w:tc>
          <w:tcPr>
            <w:tcW w:w="212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0.003</w:t>
            </w:r>
          </w:p>
        </w:tc>
      </w:tr>
      <w:tr w:rsidR="00CD3C8A" w:rsidRPr="0040364F" w:rsidTr="00986AA8">
        <w:trPr>
          <w:trHeight w:val="315"/>
        </w:trPr>
        <w:tc>
          <w:tcPr>
            <w:tcW w:w="1418" w:type="dxa"/>
            <w:vMerge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3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school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graduate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and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higher</w:t>
            </w:r>
          </w:p>
        </w:tc>
        <w:tc>
          <w:tcPr>
            <w:tcW w:w="2314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0.023</w:t>
            </w:r>
          </w:p>
        </w:tc>
        <w:tc>
          <w:tcPr>
            <w:tcW w:w="212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0.046</w:t>
            </w:r>
          </w:p>
        </w:tc>
      </w:tr>
      <w:tr w:rsidR="00CD3C8A" w:rsidRPr="0040364F" w:rsidTr="00986AA8">
        <w:trPr>
          <w:trHeight w:val="300"/>
        </w:trPr>
        <w:tc>
          <w:tcPr>
            <w:tcW w:w="1418" w:type="dxa"/>
            <w:vMerge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3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Higher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secondary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graduate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and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higher</w:t>
            </w:r>
          </w:p>
        </w:tc>
        <w:tc>
          <w:tcPr>
            <w:tcW w:w="2314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212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0.002</w:t>
            </w:r>
          </w:p>
        </w:tc>
      </w:tr>
      <w:tr w:rsidR="00CD3C8A" w:rsidRPr="0040364F" w:rsidTr="00986AA8">
        <w:trPr>
          <w:trHeight w:val="300"/>
        </w:trPr>
        <w:tc>
          <w:tcPr>
            <w:tcW w:w="1418" w:type="dxa"/>
            <w:vMerge w:val="restart"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Cs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453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Business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homemaker</w:t>
            </w:r>
          </w:p>
        </w:tc>
        <w:tc>
          <w:tcPr>
            <w:tcW w:w="2314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0.001</w:t>
            </w:r>
          </w:p>
        </w:tc>
        <w:tc>
          <w:tcPr>
            <w:tcW w:w="212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0.007</w:t>
            </w:r>
          </w:p>
        </w:tc>
      </w:tr>
      <w:tr w:rsidR="00CD3C8A" w:rsidRPr="0040364F" w:rsidTr="00986AA8">
        <w:trPr>
          <w:trHeight w:val="300"/>
        </w:trPr>
        <w:tc>
          <w:tcPr>
            <w:tcW w:w="1418" w:type="dxa"/>
            <w:vMerge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3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Government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job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homemaker</w:t>
            </w:r>
          </w:p>
        </w:tc>
        <w:tc>
          <w:tcPr>
            <w:tcW w:w="2314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0.002</w:t>
            </w:r>
          </w:p>
        </w:tc>
        <w:tc>
          <w:tcPr>
            <w:tcW w:w="212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0.013</w:t>
            </w:r>
          </w:p>
        </w:tc>
      </w:tr>
      <w:tr w:rsidR="00CD3C8A" w:rsidRPr="0040364F" w:rsidTr="00986AA8">
        <w:trPr>
          <w:trHeight w:val="315"/>
        </w:trPr>
        <w:tc>
          <w:tcPr>
            <w:tcW w:w="1418" w:type="dxa"/>
            <w:vMerge/>
            <w:noWrap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53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Homemaker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vs</w:t>
            </w:r>
            <w:r w:rsidR="00986AA8"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unemployed</w:t>
            </w:r>
          </w:p>
        </w:tc>
        <w:tc>
          <w:tcPr>
            <w:tcW w:w="2314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0.002</w:t>
            </w:r>
          </w:p>
        </w:tc>
        <w:tc>
          <w:tcPr>
            <w:tcW w:w="2126" w:type="dxa"/>
            <w:noWrap/>
            <w:vAlign w:val="center"/>
            <w:hideMark/>
          </w:tcPr>
          <w:p w:rsidR="00CD3C8A" w:rsidRPr="0040364F" w:rsidRDefault="00CD3C8A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0.013</w:t>
            </w:r>
          </w:p>
        </w:tc>
      </w:tr>
    </w:tbl>
    <w:p w:rsidR="00CD3C8A" w:rsidRPr="0040364F" w:rsidRDefault="00CD3C8A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D3C8A" w:rsidRPr="0040364F" w:rsidRDefault="00CD3C8A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IPAQ=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International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Physical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Activity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 xml:space="preserve"> Questionnaire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(Short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Form)</w:t>
      </w:r>
    </w:p>
    <w:p w:rsidR="00CD3C8A" w:rsidRPr="0040364F" w:rsidRDefault="00CD3C8A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Cs/>
          <w:sz w:val="24"/>
          <w:szCs w:val="24"/>
        </w:rPr>
        <w:t>FDR=</w:t>
      </w:r>
      <w:r w:rsidR="004036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False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Discovery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Cs/>
          <w:sz w:val="24"/>
          <w:szCs w:val="24"/>
          <w:lang w:val="en-US"/>
        </w:rPr>
        <w:t>Rate</w:t>
      </w:r>
      <w:r w:rsidR="0040364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CD3C8A" w:rsidRPr="0040364F" w:rsidRDefault="00CD3C8A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p-value&lt;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:rsidR="003176B4" w:rsidRPr="0040364F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72D87" w:rsidRPr="0040364F" w:rsidRDefault="00B72D87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90C34" w:rsidRPr="0040364F" w:rsidRDefault="00D90C34" w:rsidP="00E20D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Table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6: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Comparison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Sleep,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Tobacco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Consumption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Alcohol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Intake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Before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During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4036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b/>
          <w:sz w:val="24"/>
          <w:szCs w:val="24"/>
          <w:lang w:val="en-US"/>
        </w:rPr>
        <w:t>Lockdown</w:t>
      </w:r>
    </w:p>
    <w:tbl>
      <w:tblPr>
        <w:tblStyle w:val="TableGrid"/>
        <w:tblW w:w="11199" w:type="dxa"/>
        <w:tblInd w:w="-88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09"/>
        <w:gridCol w:w="851"/>
        <w:gridCol w:w="708"/>
        <w:gridCol w:w="851"/>
        <w:gridCol w:w="709"/>
        <w:gridCol w:w="708"/>
        <w:gridCol w:w="709"/>
        <w:gridCol w:w="851"/>
        <w:gridCol w:w="708"/>
        <w:gridCol w:w="709"/>
        <w:gridCol w:w="709"/>
        <w:gridCol w:w="850"/>
      </w:tblGrid>
      <w:tr w:rsidR="00D90C34" w:rsidRPr="0040364F" w:rsidTr="00666A8B">
        <w:trPr>
          <w:trHeight w:val="441"/>
        </w:trPr>
        <w:tc>
          <w:tcPr>
            <w:tcW w:w="2127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19" w:type="dxa"/>
            <w:gridSpan w:val="4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Sleep</w:t>
            </w:r>
          </w:p>
        </w:tc>
        <w:tc>
          <w:tcPr>
            <w:tcW w:w="2977" w:type="dxa"/>
            <w:gridSpan w:val="4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Tobacco consumption</w:t>
            </w:r>
          </w:p>
        </w:tc>
        <w:tc>
          <w:tcPr>
            <w:tcW w:w="2976" w:type="dxa"/>
            <w:gridSpan w:val="4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Alcohol consumption</w:t>
            </w:r>
          </w:p>
        </w:tc>
      </w:tr>
      <w:tr w:rsidR="00D90C34" w:rsidRPr="0040364F" w:rsidTr="00666A8B">
        <w:trPr>
          <w:trHeight w:val="419"/>
        </w:trPr>
        <w:tc>
          <w:tcPr>
            <w:tcW w:w="2127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%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%</w:t>
            </w:r>
          </w:p>
        </w:tc>
      </w:tr>
      <w:tr w:rsidR="00D90C34" w:rsidRPr="0040364F" w:rsidTr="00666A8B">
        <w:trPr>
          <w:trHeight w:val="566"/>
        </w:trPr>
        <w:tc>
          <w:tcPr>
            <w:tcW w:w="2127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 xml:space="preserve">Increased during COVID-19 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2.91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1.45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0.24</w:t>
            </w:r>
          </w:p>
        </w:tc>
      </w:tr>
      <w:tr w:rsidR="00D90C34" w:rsidRPr="0040364F" w:rsidTr="00666A8B">
        <w:trPr>
          <w:trHeight w:val="450"/>
        </w:trPr>
        <w:tc>
          <w:tcPr>
            <w:tcW w:w="2127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Same as before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352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85.23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358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86.68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375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90.80</w:t>
            </w:r>
          </w:p>
        </w:tc>
      </w:tr>
      <w:tr w:rsidR="00D90C34" w:rsidRPr="0040364F" w:rsidTr="00666A8B">
        <w:trPr>
          <w:trHeight w:val="709"/>
        </w:trPr>
        <w:tc>
          <w:tcPr>
            <w:tcW w:w="2127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Decreased during COVID-19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11.86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560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11.86</w:t>
            </w:r>
          </w:p>
        </w:tc>
        <w:tc>
          <w:tcPr>
            <w:tcW w:w="1417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8.96</w:t>
            </w:r>
          </w:p>
        </w:tc>
      </w:tr>
      <w:tr w:rsidR="00D90C34" w:rsidRPr="0040364F" w:rsidTr="00666A8B">
        <w:trPr>
          <w:trHeight w:val="675"/>
        </w:trPr>
        <w:tc>
          <w:tcPr>
            <w:tcW w:w="2127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851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SD</w:t>
            </w:r>
          </w:p>
        </w:tc>
        <w:tc>
          <w:tcPr>
            <w:tcW w:w="708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T</w:t>
            </w: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eastAsia="en-IN"/>
              </w:rPr>
              <w:t>a</w:t>
            </w:r>
          </w:p>
        </w:tc>
        <w:tc>
          <w:tcPr>
            <w:tcW w:w="851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p-value</w:t>
            </w: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708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SD</w:t>
            </w: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z</w:t>
            </w: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  <w:lang w:eastAsia="en-IN"/>
              </w:rPr>
              <w:t>b</w:t>
            </w:r>
          </w:p>
        </w:tc>
        <w:tc>
          <w:tcPr>
            <w:tcW w:w="851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p-value</w:t>
            </w:r>
          </w:p>
        </w:tc>
        <w:tc>
          <w:tcPr>
            <w:tcW w:w="708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Mean</w:t>
            </w: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SD</w:t>
            </w: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z</w:t>
            </w:r>
          </w:p>
        </w:tc>
        <w:tc>
          <w:tcPr>
            <w:tcW w:w="850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b/>
                <w:sz w:val="24"/>
                <w:szCs w:val="24"/>
                <w:lang w:eastAsia="en-IN"/>
              </w:rPr>
              <w:t>p-value</w:t>
            </w:r>
          </w:p>
        </w:tc>
      </w:tr>
      <w:tr w:rsidR="00D90C34" w:rsidRPr="0040364F" w:rsidTr="00666A8B">
        <w:trPr>
          <w:trHeight w:val="709"/>
        </w:trPr>
        <w:tc>
          <w:tcPr>
            <w:tcW w:w="2127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Before COVID-19 pandemic</w:t>
            </w: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6.697</w:t>
            </w:r>
          </w:p>
        </w:tc>
        <w:tc>
          <w:tcPr>
            <w:tcW w:w="851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1.028</w:t>
            </w:r>
          </w:p>
        </w:tc>
        <w:tc>
          <w:tcPr>
            <w:tcW w:w="708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4.134</w:t>
            </w:r>
          </w:p>
        </w:tc>
        <w:tc>
          <w:tcPr>
            <w:tcW w:w="851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709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770</w:t>
            </w:r>
          </w:p>
        </w:tc>
        <w:tc>
          <w:tcPr>
            <w:tcW w:w="708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119.352</w:t>
            </w:r>
          </w:p>
        </w:tc>
        <w:tc>
          <w:tcPr>
            <w:tcW w:w="709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5.090</w:t>
            </w:r>
          </w:p>
        </w:tc>
        <w:tc>
          <w:tcPr>
            <w:tcW w:w="851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  <w:tc>
          <w:tcPr>
            <w:tcW w:w="708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370.5</w:t>
            </w:r>
          </w:p>
        </w:tc>
        <w:tc>
          <w:tcPr>
            <w:tcW w:w="709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68.955</w:t>
            </w:r>
          </w:p>
        </w:tc>
        <w:tc>
          <w:tcPr>
            <w:tcW w:w="709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5.119</w:t>
            </w:r>
          </w:p>
        </w:tc>
        <w:tc>
          <w:tcPr>
            <w:tcW w:w="850" w:type="dxa"/>
            <w:vMerge w:val="restart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0.000</w:t>
            </w:r>
          </w:p>
        </w:tc>
      </w:tr>
      <w:tr w:rsidR="00D90C34" w:rsidRPr="0040364F" w:rsidTr="00666A8B">
        <w:trPr>
          <w:trHeight w:val="709"/>
        </w:trPr>
        <w:tc>
          <w:tcPr>
            <w:tcW w:w="2127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During COVID-19 pandemic</w:t>
            </w:r>
          </w:p>
        </w:tc>
        <w:tc>
          <w:tcPr>
            <w:tcW w:w="709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6.563</w:t>
            </w:r>
          </w:p>
        </w:tc>
        <w:tc>
          <w:tcPr>
            <w:tcW w:w="851" w:type="dxa"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40364F">
              <w:rPr>
                <w:rFonts w:ascii="Times New Roman" w:hAnsi="Times New Roman" w:cs="Times New Roman"/>
                <w:sz w:val="24"/>
                <w:szCs w:val="24"/>
                <w:lang w:eastAsia="en-IN"/>
              </w:rPr>
              <w:t>1.321</w:t>
            </w:r>
          </w:p>
        </w:tc>
        <w:tc>
          <w:tcPr>
            <w:tcW w:w="708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8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1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8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50" w:type="dxa"/>
            <w:vMerge/>
            <w:vAlign w:val="center"/>
          </w:tcPr>
          <w:p w:rsidR="00D90C34" w:rsidRPr="0040364F" w:rsidRDefault="00D90C34" w:rsidP="00E20D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90C34" w:rsidRPr="0040364F" w:rsidRDefault="00D90C3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N=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Number</w:t>
      </w: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%=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Percentage</w:t>
      </w: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364F">
        <w:rPr>
          <w:rFonts w:ascii="Times New Roman" w:hAnsi="Times New Roman" w:cs="Times New Roman"/>
          <w:sz w:val="24"/>
          <w:szCs w:val="24"/>
        </w:rPr>
        <w:t>COVID-19=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Coronavirus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Disease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2019</w:t>
      </w: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0364F">
        <w:rPr>
          <w:rFonts w:ascii="Times New Roman" w:hAnsi="Times New Roman" w:cs="Times New Roman"/>
          <w:sz w:val="24"/>
          <w:szCs w:val="24"/>
        </w:rPr>
        <w:t>SD=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Standard</w:t>
      </w:r>
      <w:r w:rsidR="0040364F">
        <w:rPr>
          <w:rFonts w:ascii="Times New Roman" w:hAnsi="Times New Roman" w:cs="Times New Roman"/>
          <w:sz w:val="24"/>
          <w:szCs w:val="24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</w:rPr>
        <w:t>Deviation</w:t>
      </w: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a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Paired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b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Wilcoxon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Signed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Rank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value</w:t>
      </w:r>
    </w:p>
    <w:p w:rsidR="00D90C34" w:rsidRPr="0040364F" w:rsidRDefault="00D90C34" w:rsidP="00E20D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0364F">
        <w:rPr>
          <w:rFonts w:ascii="Times New Roman" w:hAnsi="Times New Roman" w:cs="Times New Roman"/>
          <w:sz w:val="24"/>
          <w:szCs w:val="24"/>
          <w:lang w:val="en-US"/>
        </w:rPr>
        <w:t>p-value&lt;</w:t>
      </w:r>
      <w:r w:rsidR="004036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0364F">
        <w:rPr>
          <w:rFonts w:ascii="Times New Roman" w:hAnsi="Times New Roman" w:cs="Times New Roman"/>
          <w:sz w:val="24"/>
          <w:szCs w:val="24"/>
          <w:lang w:val="en-US"/>
        </w:rPr>
        <w:t>0.05</w:t>
      </w:r>
    </w:p>
    <w:p w:rsidR="00D90C34" w:rsidRPr="0040364F" w:rsidRDefault="00D90C3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Pr="0040364F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3176B4" w:rsidRPr="0040364F" w:rsidRDefault="003176B4" w:rsidP="00E20D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76B4" w:rsidRPr="0040364F" w:rsidSect="00087C82">
      <w:footerReference w:type="default" r:id="rId24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AA4" w:rsidRDefault="003D3AA4" w:rsidP="000D7C43">
      <w:pPr>
        <w:spacing w:after="0" w:line="240" w:lineRule="auto"/>
      </w:pPr>
      <w:r>
        <w:separator/>
      </w:r>
    </w:p>
  </w:endnote>
  <w:endnote w:type="continuationSeparator" w:id="0">
    <w:p w:rsidR="003D3AA4" w:rsidRDefault="003D3AA4" w:rsidP="000D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137512"/>
      <w:docPartObj>
        <w:docPartGallery w:val="Page Numbers (Bottom of Page)"/>
        <w:docPartUnique/>
      </w:docPartObj>
    </w:sdtPr>
    <w:sdtEndPr/>
    <w:sdtContent>
      <w:p w:rsidR="00D61373" w:rsidRDefault="003D3A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38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1373" w:rsidRDefault="00D61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AA4" w:rsidRDefault="003D3AA4" w:rsidP="000D7C43">
      <w:pPr>
        <w:spacing w:after="0" w:line="240" w:lineRule="auto"/>
      </w:pPr>
      <w:r>
        <w:separator/>
      </w:r>
    </w:p>
  </w:footnote>
  <w:footnote w:type="continuationSeparator" w:id="0">
    <w:p w:rsidR="003D3AA4" w:rsidRDefault="003D3AA4" w:rsidP="000D7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4A4"/>
    <w:multiLevelType w:val="hybridMultilevel"/>
    <w:tmpl w:val="97B6B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13F03"/>
    <w:multiLevelType w:val="hybridMultilevel"/>
    <w:tmpl w:val="2F50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212F4C"/>
    <w:multiLevelType w:val="hybridMultilevel"/>
    <w:tmpl w:val="D3AE4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327A"/>
    <w:rsid w:val="00001444"/>
    <w:rsid w:val="00002D5F"/>
    <w:rsid w:val="000107CE"/>
    <w:rsid w:val="000158AE"/>
    <w:rsid w:val="00024227"/>
    <w:rsid w:val="000272D2"/>
    <w:rsid w:val="00035DFD"/>
    <w:rsid w:val="00042CB7"/>
    <w:rsid w:val="00053A24"/>
    <w:rsid w:val="00054E71"/>
    <w:rsid w:val="000657F0"/>
    <w:rsid w:val="00086A2D"/>
    <w:rsid w:val="00087C82"/>
    <w:rsid w:val="00096EA9"/>
    <w:rsid w:val="000A066F"/>
    <w:rsid w:val="000A19B5"/>
    <w:rsid w:val="000A4E50"/>
    <w:rsid w:val="000A66A7"/>
    <w:rsid w:val="000B7613"/>
    <w:rsid w:val="000B79DC"/>
    <w:rsid w:val="000C26AB"/>
    <w:rsid w:val="000C5067"/>
    <w:rsid w:val="000C5A82"/>
    <w:rsid w:val="000D4B08"/>
    <w:rsid w:val="000D7C43"/>
    <w:rsid w:val="000E03B3"/>
    <w:rsid w:val="000E2A1A"/>
    <w:rsid w:val="000E4BBB"/>
    <w:rsid w:val="000F2196"/>
    <w:rsid w:val="0010570F"/>
    <w:rsid w:val="00113BFE"/>
    <w:rsid w:val="001153F7"/>
    <w:rsid w:val="00116211"/>
    <w:rsid w:val="0011678E"/>
    <w:rsid w:val="00125E29"/>
    <w:rsid w:val="00141B17"/>
    <w:rsid w:val="00143A4A"/>
    <w:rsid w:val="0014677B"/>
    <w:rsid w:val="00154224"/>
    <w:rsid w:val="00164E23"/>
    <w:rsid w:val="0016712D"/>
    <w:rsid w:val="001767D1"/>
    <w:rsid w:val="00177BCB"/>
    <w:rsid w:val="00187909"/>
    <w:rsid w:val="001949C5"/>
    <w:rsid w:val="001960B0"/>
    <w:rsid w:val="00197201"/>
    <w:rsid w:val="001B5055"/>
    <w:rsid w:val="001C082A"/>
    <w:rsid w:val="001D3586"/>
    <w:rsid w:val="001D4DA4"/>
    <w:rsid w:val="001E097E"/>
    <w:rsid w:val="001E36F4"/>
    <w:rsid w:val="001E54FE"/>
    <w:rsid w:val="001F1DC4"/>
    <w:rsid w:val="001F384D"/>
    <w:rsid w:val="001F4039"/>
    <w:rsid w:val="001F4628"/>
    <w:rsid w:val="001F5EED"/>
    <w:rsid w:val="00204206"/>
    <w:rsid w:val="00214897"/>
    <w:rsid w:val="00214F50"/>
    <w:rsid w:val="0021751E"/>
    <w:rsid w:val="00247F5C"/>
    <w:rsid w:val="002574FF"/>
    <w:rsid w:val="002659D0"/>
    <w:rsid w:val="00272FD3"/>
    <w:rsid w:val="0027397D"/>
    <w:rsid w:val="00280885"/>
    <w:rsid w:val="002907E1"/>
    <w:rsid w:val="002935A0"/>
    <w:rsid w:val="00293EB6"/>
    <w:rsid w:val="002942A1"/>
    <w:rsid w:val="002A04D4"/>
    <w:rsid w:val="002B0032"/>
    <w:rsid w:val="002B4E46"/>
    <w:rsid w:val="002C1696"/>
    <w:rsid w:val="002C1A58"/>
    <w:rsid w:val="002C2806"/>
    <w:rsid w:val="002C614F"/>
    <w:rsid w:val="002C7EDA"/>
    <w:rsid w:val="002D1FDB"/>
    <w:rsid w:val="002D7286"/>
    <w:rsid w:val="002E7F47"/>
    <w:rsid w:val="002F20F8"/>
    <w:rsid w:val="002F413B"/>
    <w:rsid w:val="00300A75"/>
    <w:rsid w:val="00316E38"/>
    <w:rsid w:val="003176B4"/>
    <w:rsid w:val="003212B4"/>
    <w:rsid w:val="00321E44"/>
    <w:rsid w:val="00322CA8"/>
    <w:rsid w:val="00322FDA"/>
    <w:rsid w:val="0033027F"/>
    <w:rsid w:val="00342856"/>
    <w:rsid w:val="003450B4"/>
    <w:rsid w:val="00345D47"/>
    <w:rsid w:val="00352429"/>
    <w:rsid w:val="00355859"/>
    <w:rsid w:val="00363C87"/>
    <w:rsid w:val="00367DD7"/>
    <w:rsid w:val="00372EA1"/>
    <w:rsid w:val="00376F08"/>
    <w:rsid w:val="003A1336"/>
    <w:rsid w:val="003A4078"/>
    <w:rsid w:val="003A4807"/>
    <w:rsid w:val="003A67F2"/>
    <w:rsid w:val="003B1740"/>
    <w:rsid w:val="003B2496"/>
    <w:rsid w:val="003B2AEC"/>
    <w:rsid w:val="003B3E04"/>
    <w:rsid w:val="003D0372"/>
    <w:rsid w:val="003D0F22"/>
    <w:rsid w:val="003D26D1"/>
    <w:rsid w:val="003D3AA4"/>
    <w:rsid w:val="003D584F"/>
    <w:rsid w:val="003E0D1F"/>
    <w:rsid w:val="003E2B38"/>
    <w:rsid w:val="00400C81"/>
    <w:rsid w:val="0040364F"/>
    <w:rsid w:val="00437E89"/>
    <w:rsid w:val="0044214D"/>
    <w:rsid w:val="004438D3"/>
    <w:rsid w:val="004551C6"/>
    <w:rsid w:val="00461F2B"/>
    <w:rsid w:val="004630EE"/>
    <w:rsid w:val="00464BA9"/>
    <w:rsid w:val="004717C5"/>
    <w:rsid w:val="004829BD"/>
    <w:rsid w:val="00486F67"/>
    <w:rsid w:val="004B2144"/>
    <w:rsid w:val="004B525A"/>
    <w:rsid w:val="004B6295"/>
    <w:rsid w:val="004B68A3"/>
    <w:rsid w:val="004D5143"/>
    <w:rsid w:val="004D7446"/>
    <w:rsid w:val="004E052A"/>
    <w:rsid w:val="004E0EA2"/>
    <w:rsid w:val="004F1A83"/>
    <w:rsid w:val="00500B11"/>
    <w:rsid w:val="00515E56"/>
    <w:rsid w:val="00521FCB"/>
    <w:rsid w:val="005232A6"/>
    <w:rsid w:val="00524336"/>
    <w:rsid w:val="00535147"/>
    <w:rsid w:val="00541C9E"/>
    <w:rsid w:val="00546D0F"/>
    <w:rsid w:val="00550D38"/>
    <w:rsid w:val="0057362D"/>
    <w:rsid w:val="005843EC"/>
    <w:rsid w:val="00584C8D"/>
    <w:rsid w:val="005861AE"/>
    <w:rsid w:val="00590A7B"/>
    <w:rsid w:val="005924A6"/>
    <w:rsid w:val="005A0677"/>
    <w:rsid w:val="005A1672"/>
    <w:rsid w:val="005A6CE7"/>
    <w:rsid w:val="005B4E6F"/>
    <w:rsid w:val="005B6DB3"/>
    <w:rsid w:val="005C2E93"/>
    <w:rsid w:val="005C3352"/>
    <w:rsid w:val="005C34E9"/>
    <w:rsid w:val="005C696C"/>
    <w:rsid w:val="005C6EFF"/>
    <w:rsid w:val="005C7D1C"/>
    <w:rsid w:val="005D4275"/>
    <w:rsid w:val="005D45A3"/>
    <w:rsid w:val="005D730B"/>
    <w:rsid w:val="005E3BA3"/>
    <w:rsid w:val="005E4190"/>
    <w:rsid w:val="005E4ADC"/>
    <w:rsid w:val="005E66E6"/>
    <w:rsid w:val="005E7D60"/>
    <w:rsid w:val="005F23CE"/>
    <w:rsid w:val="006239E7"/>
    <w:rsid w:val="0063019F"/>
    <w:rsid w:val="006442DD"/>
    <w:rsid w:val="00646AD8"/>
    <w:rsid w:val="0065467C"/>
    <w:rsid w:val="00663FDF"/>
    <w:rsid w:val="00666A8B"/>
    <w:rsid w:val="006723A3"/>
    <w:rsid w:val="006A2F37"/>
    <w:rsid w:val="006A3E7D"/>
    <w:rsid w:val="006A3FD0"/>
    <w:rsid w:val="006A64A7"/>
    <w:rsid w:val="006B488B"/>
    <w:rsid w:val="006C3DA4"/>
    <w:rsid w:val="006C6218"/>
    <w:rsid w:val="006E05E4"/>
    <w:rsid w:val="006E10DB"/>
    <w:rsid w:val="006E4FEE"/>
    <w:rsid w:val="006F0B78"/>
    <w:rsid w:val="006F19D2"/>
    <w:rsid w:val="006F33E1"/>
    <w:rsid w:val="006F3602"/>
    <w:rsid w:val="006F6586"/>
    <w:rsid w:val="006F771A"/>
    <w:rsid w:val="00700EB7"/>
    <w:rsid w:val="00707A4F"/>
    <w:rsid w:val="00707F9D"/>
    <w:rsid w:val="0071540B"/>
    <w:rsid w:val="00717103"/>
    <w:rsid w:val="00726C0A"/>
    <w:rsid w:val="0075087F"/>
    <w:rsid w:val="007545F8"/>
    <w:rsid w:val="0075754A"/>
    <w:rsid w:val="007612DF"/>
    <w:rsid w:val="0076315E"/>
    <w:rsid w:val="0076340C"/>
    <w:rsid w:val="007717E9"/>
    <w:rsid w:val="00782AD5"/>
    <w:rsid w:val="0079197A"/>
    <w:rsid w:val="00791D0A"/>
    <w:rsid w:val="00794ED7"/>
    <w:rsid w:val="007A780A"/>
    <w:rsid w:val="007C6406"/>
    <w:rsid w:val="007C7389"/>
    <w:rsid w:val="007D0BE3"/>
    <w:rsid w:val="007D3696"/>
    <w:rsid w:val="007D4457"/>
    <w:rsid w:val="007E027D"/>
    <w:rsid w:val="007E1B6C"/>
    <w:rsid w:val="007E327A"/>
    <w:rsid w:val="007E7223"/>
    <w:rsid w:val="007E74F3"/>
    <w:rsid w:val="007F26F6"/>
    <w:rsid w:val="007F3434"/>
    <w:rsid w:val="007F69CE"/>
    <w:rsid w:val="008012C6"/>
    <w:rsid w:val="00812442"/>
    <w:rsid w:val="008204F6"/>
    <w:rsid w:val="008210BA"/>
    <w:rsid w:val="00825565"/>
    <w:rsid w:val="008257EA"/>
    <w:rsid w:val="00832B0B"/>
    <w:rsid w:val="00836234"/>
    <w:rsid w:val="00836A79"/>
    <w:rsid w:val="00856830"/>
    <w:rsid w:val="00857179"/>
    <w:rsid w:val="00870D62"/>
    <w:rsid w:val="00871C89"/>
    <w:rsid w:val="00871EF6"/>
    <w:rsid w:val="00875DDA"/>
    <w:rsid w:val="00881F0E"/>
    <w:rsid w:val="0089350A"/>
    <w:rsid w:val="008A72B9"/>
    <w:rsid w:val="008B0BF3"/>
    <w:rsid w:val="008B3972"/>
    <w:rsid w:val="008B52F6"/>
    <w:rsid w:val="008C07CE"/>
    <w:rsid w:val="008C18EE"/>
    <w:rsid w:val="008C1BBA"/>
    <w:rsid w:val="008F0867"/>
    <w:rsid w:val="00904896"/>
    <w:rsid w:val="0091078C"/>
    <w:rsid w:val="00911F46"/>
    <w:rsid w:val="00925319"/>
    <w:rsid w:val="00935524"/>
    <w:rsid w:val="0093657F"/>
    <w:rsid w:val="0093720E"/>
    <w:rsid w:val="009406F7"/>
    <w:rsid w:val="009409B4"/>
    <w:rsid w:val="00941E50"/>
    <w:rsid w:val="009460AF"/>
    <w:rsid w:val="00946C21"/>
    <w:rsid w:val="00956189"/>
    <w:rsid w:val="00971D8E"/>
    <w:rsid w:val="00977813"/>
    <w:rsid w:val="00982918"/>
    <w:rsid w:val="00986AA8"/>
    <w:rsid w:val="00990013"/>
    <w:rsid w:val="009909E5"/>
    <w:rsid w:val="0099692F"/>
    <w:rsid w:val="009A3225"/>
    <w:rsid w:val="009A3328"/>
    <w:rsid w:val="009B55E9"/>
    <w:rsid w:val="009D4458"/>
    <w:rsid w:val="009E01AF"/>
    <w:rsid w:val="009E5743"/>
    <w:rsid w:val="009F59F5"/>
    <w:rsid w:val="00A06883"/>
    <w:rsid w:val="00A20D15"/>
    <w:rsid w:val="00A36127"/>
    <w:rsid w:val="00A403B1"/>
    <w:rsid w:val="00A51EBA"/>
    <w:rsid w:val="00A54E1A"/>
    <w:rsid w:val="00A66E03"/>
    <w:rsid w:val="00A67507"/>
    <w:rsid w:val="00A7314C"/>
    <w:rsid w:val="00AA063C"/>
    <w:rsid w:val="00AA4215"/>
    <w:rsid w:val="00AB1B37"/>
    <w:rsid w:val="00AC105E"/>
    <w:rsid w:val="00AC4395"/>
    <w:rsid w:val="00AD343D"/>
    <w:rsid w:val="00AE160A"/>
    <w:rsid w:val="00AE255C"/>
    <w:rsid w:val="00AE6C0A"/>
    <w:rsid w:val="00AE717F"/>
    <w:rsid w:val="00AE71EF"/>
    <w:rsid w:val="00AE7556"/>
    <w:rsid w:val="00AF6D44"/>
    <w:rsid w:val="00AF7BD9"/>
    <w:rsid w:val="00B11DCA"/>
    <w:rsid w:val="00B1263B"/>
    <w:rsid w:val="00B12765"/>
    <w:rsid w:val="00B14508"/>
    <w:rsid w:val="00B15D92"/>
    <w:rsid w:val="00B262BE"/>
    <w:rsid w:val="00B274DF"/>
    <w:rsid w:val="00B32587"/>
    <w:rsid w:val="00B43C5F"/>
    <w:rsid w:val="00B67556"/>
    <w:rsid w:val="00B70302"/>
    <w:rsid w:val="00B72D87"/>
    <w:rsid w:val="00B734A8"/>
    <w:rsid w:val="00B9625B"/>
    <w:rsid w:val="00BB47E8"/>
    <w:rsid w:val="00BC2AD9"/>
    <w:rsid w:val="00BC2BA1"/>
    <w:rsid w:val="00BC51F3"/>
    <w:rsid w:val="00BD3021"/>
    <w:rsid w:val="00BD49EE"/>
    <w:rsid w:val="00BD67A2"/>
    <w:rsid w:val="00BE3532"/>
    <w:rsid w:val="00BE730D"/>
    <w:rsid w:val="00BE7EA0"/>
    <w:rsid w:val="00BF71E6"/>
    <w:rsid w:val="00C00A93"/>
    <w:rsid w:val="00C0217B"/>
    <w:rsid w:val="00C02FEA"/>
    <w:rsid w:val="00C168D7"/>
    <w:rsid w:val="00C1783C"/>
    <w:rsid w:val="00C227B5"/>
    <w:rsid w:val="00C259B1"/>
    <w:rsid w:val="00C26761"/>
    <w:rsid w:val="00C31816"/>
    <w:rsid w:val="00C42FBF"/>
    <w:rsid w:val="00C4578D"/>
    <w:rsid w:val="00C55577"/>
    <w:rsid w:val="00C71EB9"/>
    <w:rsid w:val="00C81AF3"/>
    <w:rsid w:val="00C81C58"/>
    <w:rsid w:val="00C84628"/>
    <w:rsid w:val="00C901C3"/>
    <w:rsid w:val="00C91DCB"/>
    <w:rsid w:val="00CA4819"/>
    <w:rsid w:val="00CA640A"/>
    <w:rsid w:val="00CC0A94"/>
    <w:rsid w:val="00CC5631"/>
    <w:rsid w:val="00CC5BB0"/>
    <w:rsid w:val="00CD3C8A"/>
    <w:rsid w:val="00CE26EE"/>
    <w:rsid w:val="00CF0E2B"/>
    <w:rsid w:val="00CF396B"/>
    <w:rsid w:val="00CF5C4C"/>
    <w:rsid w:val="00CF7153"/>
    <w:rsid w:val="00D04E51"/>
    <w:rsid w:val="00D1156E"/>
    <w:rsid w:val="00D14D55"/>
    <w:rsid w:val="00D164BD"/>
    <w:rsid w:val="00D164BE"/>
    <w:rsid w:val="00D2423F"/>
    <w:rsid w:val="00D26C8F"/>
    <w:rsid w:val="00D3496C"/>
    <w:rsid w:val="00D436C7"/>
    <w:rsid w:val="00D47548"/>
    <w:rsid w:val="00D5417C"/>
    <w:rsid w:val="00D548A7"/>
    <w:rsid w:val="00D574B2"/>
    <w:rsid w:val="00D61373"/>
    <w:rsid w:val="00D90C34"/>
    <w:rsid w:val="00D9289F"/>
    <w:rsid w:val="00D96C9D"/>
    <w:rsid w:val="00DA06DD"/>
    <w:rsid w:val="00DA4316"/>
    <w:rsid w:val="00DB0EEF"/>
    <w:rsid w:val="00DB286B"/>
    <w:rsid w:val="00DB3252"/>
    <w:rsid w:val="00DC4035"/>
    <w:rsid w:val="00DC5F7F"/>
    <w:rsid w:val="00DD5463"/>
    <w:rsid w:val="00DF3C91"/>
    <w:rsid w:val="00E00936"/>
    <w:rsid w:val="00E0683A"/>
    <w:rsid w:val="00E13D09"/>
    <w:rsid w:val="00E20DDD"/>
    <w:rsid w:val="00E30C78"/>
    <w:rsid w:val="00E31574"/>
    <w:rsid w:val="00E3251E"/>
    <w:rsid w:val="00E329EB"/>
    <w:rsid w:val="00E36F3F"/>
    <w:rsid w:val="00E444B0"/>
    <w:rsid w:val="00E54A99"/>
    <w:rsid w:val="00E57544"/>
    <w:rsid w:val="00E60603"/>
    <w:rsid w:val="00E63C5F"/>
    <w:rsid w:val="00E7472D"/>
    <w:rsid w:val="00E9073C"/>
    <w:rsid w:val="00E9356F"/>
    <w:rsid w:val="00EA1765"/>
    <w:rsid w:val="00EA3293"/>
    <w:rsid w:val="00EB0E61"/>
    <w:rsid w:val="00EB3996"/>
    <w:rsid w:val="00EB4F50"/>
    <w:rsid w:val="00EC2BD7"/>
    <w:rsid w:val="00EC46EA"/>
    <w:rsid w:val="00EC6500"/>
    <w:rsid w:val="00EC7553"/>
    <w:rsid w:val="00ED4962"/>
    <w:rsid w:val="00EF127A"/>
    <w:rsid w:val="00EF1FAF"/>
    <w:rsid w:val="00F02E10"/>
    <w:rsid w:val="00F03A2D"/>
    <w:rsid w:val="00F03EA4"/>
    <w:rsid w:val="00F04C84"/>
    <w:rsid w:val="00F10EDE"/>
    <w:rsid w:val="00F119FC"/>
    <w:rsid w:val="00F44851"/>
    <w:rsid w:val="00F50A37"/>
    <w:rsid w:val="00F51E81"/>
    <w:rsid w:val="00F52B61"/>
    <w:rsid w:val="00F67CC8"/>
    <w:rsid w:val="00F73EF4"/>
    <w:rsid w:val="00F76FBE"/>
    <w:rsid w:val="00F96510"/>
    <w:rsid w:val="00FA459B"/>
    <w:rsid w:val="00FB3D7E"/>
    <w:rsid w:val="00FB58B0"/>
    <w:rsid w:val="00FB7CF2"/>
    <w:rsid w:val="00FC6472"/>
    <w:rsid w:val="00FD0F88"/>
    <w:rsid w:val="00FD7F4C"/>
    <w:rsid w:val="00FF0F1F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3014A-717A-42B7-838F-6CBD372D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27A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7E327A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E32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7A"/>
    <w:pPr>
      <w:spacing w:after="0" w:line="240" w:lineRule="auto"/>
    </w:pPr>
    <w:rPr>
      <w:rFonts w:ascii="Tahom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7A"/>
    <w:rPr>
      <w:rFonts w:ascii="Tahoma" w:hAnsi="Tahoma" w:cs="Tahoma"/>
      <w:sz w:val="16"/>
      <w:szCs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3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27A"/>
    <w:pPr>
      <w:spacing w:line="240" w:lineRule="auto"/>
    </w:pPr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27A"/>
    <w:rPr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3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327A"/>
    <w:rPr>
      <w:b/>
      <w:bCs/>
      <w:sz w:val="20"/>
      <w:szCs w:val="20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A403B1"/>
    <w:pPr>
      <w:tabs>
        <w:tab w:val="left" w:pos="504"/>
      </w:tabs>
      <w:spacing w:after="240" w:line="240" w:lineRule="auto"/>
      <w:ind w:left="504" w:hanging="504"/>
    </w:pPr>
  </w:style>
  <w:style w:type="paragraph" w:styleId="Header">
    <w:name w:val="header"/>
    <w:basedOn w:val="Normal"/>
    <w:link w:val="HeaderChar"/>
    <w:uiPriority w:val="99"/>
    <w:semiHidden/>
    <w:unhideWhenUsed/>
    <w:rsid w:val="000D7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7C43"/>
  </w:style>
  <w:style w:type="paragraph" w:styleId="Footer">
    <w:name w:val="footer"/>
    <w:basedOn w:val="Normal"/>
    <w:link w:val="FooterChar"/>
    <w:uiPriority w:val="99"/>
    <w:unhideWhenUsed/>
    <w:rsid w:val="000D7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tdr911@gmail.com" TargetMode="External"/><Relationship Id="rId13" Type="http://schemas.openxmlformats.org/officeDocument/2006/relationships/hyperlink" Target="https://conflictandhealth.biomedcentral.com/articles/10.1186/s13031-017-0119-8" TargetMode="External"/><Relationship Id="rId18" Type="http://schemas.openxmlformats.org/officeDocument/2006/relationships/hyperlink" Target="https://www.mohfw.gov.in/pdf/FAQ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journals.sagepub.com/doi/10.1177/1010539513475651" TargetMode="External"/><Relationship Id="rId7" Type="http://schemas.openxmlformats.org/officeDocument/2006/relationships/hyperlink" Target="mailto:drrenu3011@gmail.com" TargetMode="External"/><Relationship Id="rId12" Type="http://schemas.openxmlformats.org/officeDocument/2006/relationships/hyperlink" Target="https://www.nhp.gov.in/healthlyliving/ncd2019" TargetMode="External"/><Relationship Id="rId17" Type="http://schemas.openxmlformats.org/officeDocument/2006/relationships/hyperlink" Target="http://www.OpenEpi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fi.org/wp-content/uploads/2018/05/2017-India-State-Level-Disease-Burden-Initiative-Full-Report.pdf" TargetMode="External"/><Relationship Id="rId20" Type="http://schemas.openxmlformats.org/officeDocument/2006/relationships/hyperlink" Target="https://www.who.int/chp/knowledge/publications/adherence_full_repor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lancet.com/journals/langlo/article/PIIS2214-109X(20)30264-3/fulltext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hindustantimes.com/india-news/manipur-extends-covid-19-lockdown-till-august-31/story-wfH9jCld96zgRqlVpWdVGI.html" TargetMode="External"/><Relationship Id="rId23" Type="http://schemas.openxmlformats.org/officeDocument/2006/relationships/hyperlink" Target="https://www.mdpi.com/1660-4601/17/11/4065" TargetMode="External"/><Relationship Id="rId10" Type="http://schemas.openxmlformats.org/officeDocument/2006/relationships/hyperlink" Target="https://www.euro.who.int/en/health-topics/health-emergencies/coronavirus-covid-19/novel-coronavirus-2019-ncov" TargetMode="External"/><Relationship Id="rId19" Type="http://schemas.openxmlformats.org/officeDocument/2006/relationships/hyperlink" Target="https://apps.who.int/iris/handle/10665/2058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atsa.com/" TargetMode="External"/><Relationship Id="rId14" Type="http://schemas.openxmlformats.org/officeDocument/2006/relationships/hyperlink" Target="https://www.bmj.com/content/368/bmj.m1117" TargetMode="External"/><Relationship Id="rId22" Type="http://schemas.openxmlformats.org/officeDocument/2006/relationships/hyperlink" Target="https://www.thelancet.com/journals/lanpub/article/PIIS2468-2667(19)30231-2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5934</Words>
  <Characters>33825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MD</cp:lastModifiedBy>
  <cp:revision>2</cp:revision>
  <dcterms:created xsi:type="dcterms:W3CDTF">2021-01-30T16:42:00Z</dcterms:created>
  <dcterms:modified xsi:type="dcterms:W3CDTF">2021-01-30T16:42:00Z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zotero-version="5.0.95"&gt;&lt;session id="aLn07pzM"/&gt;&lt;style id="http://www.zotero.org/styles/vancouver-superscript" locale="en-US" hasBibliography="1" bibliographyStyleHasBeenSet="1"/&gt;&lt;prefs&gt;&lt;pref name="fieldType" value="Field"/&gt;&lt;/prefs&gt;</vt:lpwstr>
  </property>
  <property fmtid="{D5CDD505-2E9C-101B-9397-08002B2CF9AE}" pid="3" name="ZOTERO_PREF_2">
    <vt:lpwstr>&lt;/data&gt;</vt:lpwstr>
  </property>
</Properties>
</file>