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9C36B" w14:textId="77777777" w:rsidR="00826546" w:rsidRDefault="00826546" w:rsidP="00FB0189">
      <w:bookmarkStart w:id="0" w:name="_GoBack"/>
      <w:bookmarkEnd w:id="0"/>
    </w:p>
    <w:p w14:paraId="19AD0645" w14:textId="77777777" w:rsidR="00826546" w:rsidRDefault="00826546" w:rsidP="00FB0189"/>
    <w:p w14:paraId="3F215436" w14:textId="77777777" w:rsidR="00826546" w:rsidRDefault="00826546" w:rsidP="00FB0189"/>
    <w:p w14:paraId="640E0DED" w14:textId="77777777" w:rsidR="00826546" w:rsidRDefault="00826546" w:rsidP="00FB0189"/>
    <w:p w14:paraId="4E73615B" w14:textId="77777777" w:rsidR="00826546" w:rsidRDefault="00826546" w:rsidP="00FB0189"/>
    <w:p w14:paraId="42629DBF" w14:textId="7542A28C" w:rsidR="00532808" w:rsidRDefault="00B677C4" w:rsidP="00826546">
      <w:pPr>
        <w:jc w:val="center"/>
        <w:rPr>
          <w:sz w:val="28"/>
          <w:szCs w:val="28"/>
        </w:rPr>
      </w:pPr>
      <w:r w:rsidRPr="00826546">
        <w:rPr>
          <w:sz w:val="28"/>
          <w:szCs w:val="28"/>
        </w:rPr>
        <w:t xml:space="preserve">Trials for Second Generation COVID-19 Vaccines: </w:t>
      </w:r>
      <w:r w:rsidR="00651C9E" w:rsidRPr="00826546">
        <w:rPr>
          <w:sz w:val="28"/>
          <w:szCs w:val="28"/>
        </w:rPr>
        <w:t>Revisiting the Debate over Placebo Use in Developing Countries</w:t>
      </w:r>
    </w:p>
    <w:p w14:paraId="1862C481" w14:textId="20195538" w:rsidR="00826546" w:rsidRDefault="00826546" w:rsidP="00826546">
      <w:pPr>
        <w:jc w:val="center"/>
        <w:rPr>
          <w:sz w:val="28"/>
          <w:szCs w:val="28"/>
        </w:rPr>
      </w:pPr>
    </w:p>
    <w:p w14:paraId="06E6FC58" w14:textId="666B7BE1" w:rsidR="00826546" w:rsidRDefault="00826546" w:rsidP="00826546">
      <w:pPr>
        <w:jc w:val="center"/>
        <w:rPr>
          <w:sz w:val="28"/>
          <w:szCs w:val="28"/>
        </w:rPr>
      </w:pPr>
    </w:p>
    <w:p w14:paraId="447C649E" w14:textId="77777777" w:rsidR="00826546" w:rsidRPr="00826546" w:rsidRDefault="00826546" w:rsidP="00826546">
      <w:pPr>
        <w:jc w:val="center"/>
        <w:rPr>
          <w:sz w:val="28"/>
          <w:szCs w:val="28"/>
        </w:rPr>
      </w:pPr>
    </w:p>
    <w:p w14:paraId="7795A7A7" w14:textId="77777777" w:rsidR="00826546" w:rsidRPr="00826546" w:rsidRDefault="00651C9E" w:rsidP="00826546">
      <w:pPr>
        <w:jc w:val="center"/>
        <w:rPr>
          <w:sz w:val="28"/>
          <w:szCs w:val="28"/>
        </w:rPr>
      </w:pPr>
      <w:r w:rsidRPr="00826546">
        <w:rPr>
          <w:sz w:val="28"/>
          <w:szCs w:val="28"/>
        </w:rPr>
        <w:t>Peter Lurie, MD, MPH</w:t>
      </w:r>
    </w:p>
    <w:p w14:paraId="2CDACCDB" w14:textId="6ADE920B" w:rsidR="00651C9E" w:rsidRPr="00826546" w:rsidRDefault="00651C9E" w:rsidP="00826546">
      <w:pPr>
        <w:jc w:val="center"/>
        <w:rPr>
          <w:sz w:val="28"/>
          <w:szCs w:val="28"/>
        </w:rPr>
      </w:pPr>
      <w:r w:rsidRPr="00826546">
        <w:rPr>
          <w:sz w:val="28"/>
          <w:szCs w:val="28"/>
        </w:rPr>
        <w:t>Center for Science in the Public Interest</w:t>
      </w:r>
    </w:p>
    <w:p w14:paraId="69D904B8" w14:textId="459703D3" w:rsidR="00BC2206" w:rsidRDefault="00BC2206" w:rsidP="00FB0189"/>
    <w:p w14:paraId="6D542D45" w14:textId="77777777" w:rsidR="00826546" w:rsidRDefault="00826546" w:rsidP="00BC2206">
      <w:pPr>
        <w:spacing w:line="240" w:lineRule="auto"/>
        <w:rPr>
          <w:rFonts w:eastAsiaTheme="minorEastAsia"/>
          <w:noProof/>
        </w:rPr>
      </w:pPr>
      <w:bookmarkStart w:id="1" w:name="_MailAutoSig"/>
    </w:p>
    <w:p w14:paraId="7656950F" w14:textId="77777777" w:rsidR="00826546" w:rsidRDefault="00826546" w:rsidP="00BC2206">
      <w:pPr>
        <w:spacing w:line="240" w:lineRule="auto"/>
        <w:rPr>
          <w:rFonts w:eastAsiaTheme="minorEastAsia"/>
          <w:noProof/>
        </w:rPr>
      </w:pPr>
    </w:p>
    <w:p w14:paraId="3139F8B1" w14:textId="77777777" w:rsidR="00826546" w:rsidRDefault="00826546" w:rsidP="00BC2206">
      <w:pPr>
        <w:spacing w:line="240" w:lineRule="auto"/>
        <w:rPr>
          <w:rFonts w:eastAsiaTheme="minorEastAsia"/>
          <w:noProof/>
        </w:rPr>
      </w:pPr>
    </w:p>
    <w:p w14:paraId="4BD14806" w14:textId="77777777" w:rsidR="00826546" w:rsidRDefault="00826546" w:rsidP="00BC2206">
      <w:pPr>
        <w:spacing w:line="240" w:lineRule="auto"/>
        <w:rPr>
          <w:rFonts w:eastAsiaTheme="minorEastAsia"/>
          <w:noProof/>
        </w:rPr>
      </w:pPr>
    </w:p>
    <w:p w14:paraId="3D55FED9" w14:textId="77777777" w:rsidR="00826546" w:rsidRDefault="00826546" w:rsidP="00BC2206">
      <w:pPr>
        <w:spacing w:line="240" w:lineRule="auto"/>
        <w:rPr>
          <w:rFonts w:eastAsiaTheme="minorEastAsia"/>
          <w:noProof/>
        </w:rPr>
      </w:pPr>
    </w:p>
    <w:p w14:paraId="5CD13577" w14:textId="77777777" w:rsidR="00826546" w:rsidRDefault="00826546" w:rsidP="00BC2206">
      <w:pPr>
        <w:spacing w:line="240" w:lineRule="auto"/>
        <w:rPr>
          <w:rFonts w:eastAsiaTheme="minorEastAsia"/>
          <w:noProof/>
        </w:rPr>
      </w:pPr>
    </w:p>
    <w:p w14:paraId="170BDDC4" w14:textId="323310F1" w:rsidR="00BC2206" w:rsidRDefault="00BC2206" w:rsidP="00BC2206">
      <w:pPr>
        <w:spacing w:line="240" w:lineRule="auto"/>
        <w:rPr>
          <w:rFonts w:eastAsiaTheme="minorEastAsia"/>
          <w:noProof/>
        </w:rPr>
      </w:pPr>
      <w:r>
        <w:rPr>
          <w:rFonts w:eastAsiaTheme="minorEastAsia"/>
          <w:noProof/>
        </w:rPr>
        <w:t>Peter Lurie, MD, MPH</w:t>
      </w:r>
    </w:p>
    <w:p w14:paraId="79DC229B" w14:textId="77777777" w:rsidR="00BC2206" w:rsidRDefault="00BC2206" w:rsidP="00BC2206">
      <w:pPr>
        <w:spacing w:line="240" w:lineRule="auto"/>
        <w:rPr>
          <w:rFonts w:eastAsiaTheme="minorEastAsia"/>
          <w:noProof/>
        </w:rPr>
      </w:pPr>
      <w:r>
        <w:rPr>
          <w:rFonts w:eastAsiaTheme="minorEastAsia"/>
          <w:noProof/>
        </w:rPr>
        <w:t>Center for Science in the Public Interest</w:t>
      </w:r>
    </w:p>
    <w:p w14:paraId="0D2896D6" w14:textId="77777777" w:rsidR="00BC2206" w:rsidRDefault="00BC2206" w:rsidP="00BC2206">
      <w:pPr>
        <w:spacing w:line="240" w:lineRule="auto"/>
        <w:rPr>
          <w:rFonts w:eastAsiaTheme="minorEastAsia"/>
          <w:noProof/>
        </w:rPr>
      </w:pPr>
      <w:r>
        <w:rPr>
          <w:rFonts w:eastAsiaTheme="minorEastAsia"/>
          <w:noProof/>
        </w:rPr>
        <w:t>1220 L Street, NW</w:t>
      </w:r>
    </w:p>
    <w:p w14:paraId="692F5366" w14:textId="77777777" w:rsidR="00BC2206" w:rsidRDefault="00BC2206" w:rsidP="00BC2206">
      <w:pPr>
        <w:spacing w:line="240" w:lineRule="auto"/>
        <w:rPr>
          <w:rFonts w:eastAsiaTheme="minorEastAsia"/>
          <w:noProof/>
        </w:rPr>
      </w:pPr>
      <w:r>
        <w:rPr>
          <w:rFonts w:eastAsiaTheme="minorEastAsia"/>
          <w:noProof/>
        </w:rPr>
        <w:t>Suite 300</w:t>
      </w:r>
    </w:p>
    <w:p w14:paraId="579F7115" w14:textId="0B513385" w:rsidR="00BC2206" w:rsidRDefault="00BC2206" w:rsidP="00BC2206">
      <w:pPr>
        <w:spacing w:line="240" w:lineRule="auto"/>
        <w:rPr>
          <w:rFonts w:eastAsiaTheme="minorEastAsia"/>
          <w:noProof/>
        </w:rPr>
      </w:pPr>
      <w:r>
        <w:rPr>
          <w:rFonts w:eastAsiaTheme="minorEastAsia"/>
          <w:noProof/>
        </w:rPr>
        <w:t>Washington, DC 20005</w:t>
      </w:r>
    </w:p>
    <w:p w14:paraId="4532292B" w14:textId="5BE4AB43" w:rsidR="00B07336" w:rsidRDefault="00B07336" w:rsidP="00BC2206">
      <w:pPr>
        <w:spacing w:line="240" w:lineRule="auto"/>
        <w:rPr>
          <w:rFonts w:eastAsiaTheme="minorEastAsia"/>
          <w:noProof/>
        </w:rPr>
      </w:pPr>
      <w:r>
        <w:rPr>
          <w:rFonts w:eastAsiaTheme="minorEastAsia"/>
          <w:noProof/>
        </w:rPr>
        <w:t>United States of America</w:t>
      </w:r>
    </w:p>
    <w:p w14:paraId="1AC2043A" w14:textId="3EA97AA7" w:rsidR="00BC2206" w:rsidRDefault="00BC2206" w:rsidP="00BC2206">
      <w:pPr>
        <w:spacing w:line="240" w:lineRule="auto"/>
        <w:rPr>
          <w:rFonts w:eastAsiaTheme="minorEastAsia"/>
          <w:noProof/>
        </w:rPr>
      </w:pPr>
      <w:r>
        <w:rPr>
          <w:rFonts w:eastAsiaTheme="minorEastAsia"/>
          <w:noProof/>
        </w:rPr>
        <w:t xml:space="preserve">Phone: (202) </w:t>
      </w:r>
      <w:r w:rsidR="00826546">
        <w:rPr>
          <w:rFonts w:eastAsiaTheme="minorEastAsia"/>
          <w:noProof/>
        </w:rPr>
        <w:t>440-2135</w:t>
      </w:r>
    </w:p>
    <w:p w14:paraId="2028F77E" w14:textId="77777777" w:rsidR="00BC2206" w:rsidRDefault="00BC2206" w:rsidP="00BC2206">
      <w:pPr>
        <w:spacing w:line="240" w:lineRule="auto"/>
        <w:rPr>
          <w:rFonts w:eastAsiaTheme="minorEastAsia"/>
          <w:noProof/>
        </w:rPr>
      </w:pPr>
      <w:r>
        <w:rPr>
          <w:rFonts w:eastAsiaTheme="minorEastAsia"/>
          <w:noProof/>
        </w:rPr>
        <w:t>Fax: (202) 265-4954</w:t>
      </w:r>
    </w:p>
    <w:p w14:paraId="4D7A8E97" w14:textId="732CE13B" w:rsidR="00BC2206" w:rsidRDefault="00BC2206" w:rsidP="00826546">
      <w:pPr>
        <w:spacing w:line="240" w:lineRule="auto"/>
      </w:pPr>
      <w:r>
        <w:rPr>
          <w:rFonts w:eastAsiaTheme="minorEastAsia"/>
          <w:noProof/>
        </w:rPr>
        <w:t xml:space="preserve">Email: </w:t>
      </w:r>
      <w:hyperlink r:id="rId8" w:history="1">
        <w:r>
          <w:rPr>
            <w:rStyle w:val="Hyperlink"/>
            <w:rFonts w:eastAsiaTheme="minorEastAsia"/>
            <w:noProof/>
            <w:color w:val="0563C1"/>
          </w:rPr>
          <w:t>plurie@cspinet.org</w:t>
        </w:r>
      </w:hyperlink>
      <w:bookmarkEnd w:id="1"/>
    </w:p>
    <w:p w14:paraId="32CC46D9" w14:textId="6758A8AA" w:rsidR="00BC2206" w:rsidRDefault="00BC2206">
      <w:r>
        <w:br w:type="page"/>
      </w:r>
    </w:p>
    <w:p w14:paraId="4F4B6A0F" w14:textId="77777777" w:rsidR="00651C9E" w:rsidRDefault="00651C9E" w:rsidP="00FB0189"/>
    <w:p w14:paraId="2C17A18C" w14:textId="008EC78D" w:rsidR="00C71000" w:rsidRDefault="00C71000" w:rsidP="00234BF7">
      <w:pPr>
        <w:autoSpaceDE w:val="0"/>
        <w:autoSpaceDN w:val="0"/>
        <w:adjustRightInd w:val="0"/>
        <w:spacing w:after="240" w:line="480" w:lineRule="auto"/>
        <w:rPr>
          <w:rFonts w:cstheme="minorHAnsi"/>
        </w:rPr>
      </w:pPr>
      <w:r>
        <w:rPr>
          <w:rFonts w:cstheme="minorHAnsi"/>
        </w:rPr>
        <w:t>We have arrived at a critical moment in the evolution of the COVID-19 pandemic</w:t>
      </w:r>
      <w:bookmarkStart w:id="2" w:name="_Hlk64497625"/>
      <w:r>
        <w:rPr>
          <w:rFonts w:cstheme="minorHAnsi"/>
        </w:rPr>
        <w:t>: ten vaccines have been authorized in at least one country</w:t>
      </w:r>
      <w:bookmarkEnd w:id="2"/>
      <w:r>
        <w:rPr>
          <w:rFonts w:cstheme="minorHAnsi"/>
        </w:rPr>
        <w:t>, typically on the basis of randomized, placebo-controlled trials.</w:t>
      </w:r>
      <w:r>
        <w:rPr>
          <w:rStyle w:val="EndnoteReference"/>
          <w:rFonts w:cstheme="minorHAnsi"/>
        </w:rPr>
        <w:endnoteReference w:id="1"/>
      </w:r>
      <w:r>
        <w:rPr>
          <w:rFonts w:cstheme="minorHAnsi"/>
        </w:rPr>
        <w:t xml:space="preserve"> Although these products have not received full regulatory approval, the high degrees of efficacy demonstrated </w:t>
      </w:r>
      <w:r w:rsidRPr="0012506C">
        <w:rPr>
          <w:color w:val="000000" w:themeColor="text1"/>
          <w:shd w:val="clear" w:color="auto" w:fill="FFFFFF"/>
        </w:rPr>
        <w:t>—</w:t>
      </w:r>
      <w:r>
        <w:rPr>
          <w:rFonts w:cstheme="minorHAnsi"/>
        </w:rPr>
        <w:t xml:space="preserve"> as high as 95% for some vaccines</w:t>
      </w:r>
      <w:r>
        <w:rPr>
          <w:rStyle w:val="EndnoteReference"/>
        </w:rPr>
        <w:endnoteReference w:id="2"/>
      </w:r>
      <w:r>
        <w:rPr>
          <w:vertAlign w:val="superscript"/>
        </w:rPr>
        <w:t>,</w:t>
      </w:r>
      <w:r>
        <w:rPr>
          <w:rStyle w:val="EndnoteReference"/>
        </w:rPr>
        <w:endnoteReference w:id="3"/>
      </w:r>
      <w:r>
        <w:rPr>
          <w:rFonts w:cstheme="minorHAnsi"/>
        </w:rPr>
        <w:t xml:space="preserve"> </w:t>
      </w:r>
      <w:r w:rsidRPr="0012506C">
        <w:rPr>
          <w:color w:val="000000" w:themeColor="text1"/>
          <w:shd w:val="clear" w:color="auto" w:fill="FFFFFF"/>
        </w:rPr>
        <w:t>—</w:t>
      </w:r>
      <w:r>
        <w:rPr>
          <w:rFonts w:cstheme="minorHAnsi"/>
        </w:rPr>
        <w:t xml:space="preserve"> and their general safety suggest that such approval is likely. We are </w:t>
      </w:r>
      <w:r w:rsidR="006730A5">
        <w:rPr>
          <w:rFonts w:cstheme="minorHAnsi"/>
        </w:rPr>
        <w:t xml:space="preserve">therefore </w:t>
      </w:r>
      <w:r>
        <w:rPr>
          <w:rFonts w:cstheme="minorHAnsi"/>
        </w:rPr>
        <w:t xml:space="preserve">no longer in a period where the use of a placebo </w:t>
      </w:r>
      <w:r w:rsidR="00826546">
        <w:rPr>
          <w:rFonts w:cstheme="minorHAnsi"/>
        </w:rPr>
        <w:t xml:space="preserve">in future vaccine trials </w:t>
      </w:r>
      <w:r>
        <w:rPr>
          <w:rFonts w:cstheme="minorHAnsi"/>
        </w:rPr>
        <w:t>can be justified simply on the grounds that no effective product exists.</w:t>
      </w:r>
    </w:p>
    <w:p w14:paraId="4517366A" w14:textId="008A09F9" w:rsidR="00C71000" w:rsidRDefault="00C71000" w:rsidP="00234BF7">
      <w:pPr>
        <w:autoSpaceDE w:val="0"/>
        <w:autoSpaceDN w:val="0"/>
        <w:adjustRightInd w:val="0"/>
        <w:spacing w:after="240" w:line="480" w:lineRule="auto"/>
        <w:rPr>
          <w:rFonts w:cstheme="minorHAnsi"/>
        </w:rPr>
      </w:pPr>
      <w:r>
        <w:rPr>
          <w:rFonts w:cstheme="minorHAnsi"/>
        </w:rPr>
        <w:t xml:space="preserve">Against </w:t>
      </w:r>
      <w:r w:rsidRPr="003516BE">
        <w:rPr>
          <w:rFonts w:cstheme="minorHAnsi"/>
        </w:rPr>
        <w:t>this backdrop, a World Health Organization</w:t>
      </w:r>
      <w:r>
        <w:rPr>
          <w:rFonts w:cstheme="minorHAnsi"/>
        </w:rPr>
        <w:t xml:space="preserve"> (WHO) </w:t>
      </w:r>
      <w:r w:rsidRPr="003516BE">
        <w:rPr>
          <w:rFonts w:cstheme="minorHAnsi"/>
        </w:rPr>
        <w:t>Ad Hoc Expert Group recently considered the use of placebos in the evaluation of COVID-19 vaccines, concluding that “Countries with limited or no access to a known effective vaccine could thus ethically permit placebo-controlled trials of vaccines of potential relevance to them even if effective vaccines were already being marketed elsewhere.</w:t>
      </w:r>
      <w:r>
        <w:rPr>
          <w:rFonts w:cstheme="minorHAnsi"/>
        </w:rPr>
        <w:t>”</w:t>
      </w:r>
      <w:r>
        <w:rPr>
          <w:rStyle w:val="EndnoteReference"/>
          <w:rFonts w:cstheme="minorHAnsi"/>
        </w:rPr>
        <w:endnoteReference w:id="4"/>
      </w:r>
      <w:r>
        <w:rPr>
          <w:rFonts w:cstheme="minorHAnsi"/>
        </w:rPr>
        <w:t xml:space="preserve"> No ethical justification was provided.</w:t>
      </w:r>
      <w:r w:rsidR="00FB0189">
        <w:rPr>
          <w:rFonts w:cstheme="minorHAnsi"/>
        </w:rPr>
        <w:t xml:space="preserve"> </w:t>
      </w:r>
    </w:p>
    <w:p w14:paraId="2F257741" w14:textId="32D858BA" w:rsidR="00532808" w:rsidRDefault="00532808" w:rsidP="00234BF7">
      <w:pPr>
        <w:spacing w:after="240" w:line="480" w:lineRule="auto"/>
      </w:pPr>
      <w:r>
        <w:t>To a large extent, the debate o</w:t>
      </w:r>
      <w:r w:rsidR="004D4329">
        <w:t>ver</w:t>
      </w:r>
      <w:r>
        <w:t xml:space="preserve"> the use of placebo controls in developing</w:t>
      </w:r>
      <w:r w:rsidR="0092566F">
        <w:t>-</w:t>
      </w:r>
      <w:r>
        <w:t xml:space="preserve">country clinical trials </w:t>
      </w:r>
      <w:r w:rsidR="006730A5">
        <w:t xml:space="preserve">after </w:t>
      </w:r>
      <w:r w:rsidR="00826546">
        <w:t xml:space="preserve">the </w:t>
      </w:r>
      <w:r w:rsidR="006730A5">
        <w:t xml:space="preserve">effectiveness of an intervention has already been demonstrated </w:t>
      </w:r>
      <w:r>
        <w:t>dates back to the controversy over their use in studies</w:t>
      </w:r>
      <w:r w:rsidR="001D09D3">
        <w:t xml:space="preserve"> </w:t>
      </w:r>
      <w:r w:rsidR="007C117D">
        <w:t>seeking to prevent</w:t>
      </w:r>
      <w:r>
        <w:t xml:space="preserve"> the transmission of the human immunodeficiency virus (HIV) from infected pregnant women to their offspring.</w:t>
      </w:r>
      <w:r w:rsidR="001C2ECC">
        <w:rPr>
          <w:rStyle w:val="EndnoteReference"/>
        </w:rPr>
        <w:endnoteReference w:id="5"/>
      </w:r>
      <w:r w:rsidR="00B34F49">
        <w:rPr>
          <w:vertAlign w:val="superscript"/>
        </w:rPr>
        <w:t>,</w:t>
      </w:r>
      <w:r w:rsidR="00B34F49">
        <w:rPr>
          <w:rStyle w:val="EndnoteReference"/>
        </w:rPr>
        <w:endnoteReference w:id="6"/>
      </w:r>
      <w:r>
        <w:t xml:space="preserve"> </w:t>
      </w:r>
      <w:r w:rsidR="007C117D">
        <w:t xml:space="preserve">In 1994, </w:t>
      </w:r>
      <w:r w:rsidR="001C2ECC">
        <w:t>three</w:t>
      </w:r>
      <w:r>
        <w:t xml:space="preserve"> years </w:t>
      </w:r>
      <w:r w:rsidR="007C117D">
        <w:t>before the controversy broke</w:t>
      </w:r>
      <w:r>
        <w:t>, a placebo-controlled trial</w:t>
      </w:r>
      <w:r w:rsidR="00AF7A3B">
        <w:t xml:space="preserve"> of the drug </w:t>
      </w:r>
      <w:r w:rsidR="00DD662F">
        <w:t>zidovudine</w:t>
      </w:r>
      <w:r>
        <w:t xml:space="preserve"> in the United States</w:t>
      </w:r>
      <w:r w:rsidR="007C117D">
        <w:t xml:space="preserve"> and France</w:t>
      </w:r>
      <w:r>
        <w:t xml:space="preserve"> demonstrated </w:t>
      </w:r>
      <w:r w:rsidR="004D4329">
        <w:t>that</w:t>
      </w:r>
      <w:r>
        <w:t xml:space="preserve"> an approximately </w:t>
      </w:r>
      <w:r w:rsidR="0005171B">
        <w:t>US</w:t>
      </w:r>
      <w:r>
        <w:t xml:space="preserve">$1,000 regimen </w:t>
      </w:r>
      <w:r w:rsidR="004D4329">
        <w:t>could reduce</w:t>
      </w:r>
      <w:r>
        <w:t xml:space="preserve"> </w:t>
      </w:r>
      <w:r w:rsidR="006730A5">
        <w:t xml:space="preserve">HIV </w:t>
      </w:r>
      <w:r>
        <w:t xml:space="preserve">transmission by about two-thirds. </w:t>
      </w:r>
      <w:r w:rsidR="004D4329">
        <w:t xml:space="preserve">In the </w:t>
      </w:r>
      <w:r>
        <w:t xml:space="preserve">15 </w:t>
      </w:r>
      <w:r w:rsidR="004D4329">
        <w:t xml:space="preserve">studies that formed the focus of the </w:t>
      </w:r>
      <w:r w:rsidR="00826546">
        <w:t xml:space="preserve">subsequent </w:t>
      </w:r>
      <w:r w:rsidR="004D4329">
        <w:t xml:space="preserve">controversy, researchers </w:t>
      </w:r>
      <w:r>
        <w:t xml:space="preserve">sought to </w:t>
      </w:r>
      <w:r w:rsidR="0062774A">
        <w:t xml:space="preserve">evaluate </w:t>
      </w:r>
      <w:r w:rsidR="007C117D">
        <w:t xml:space="preserve">the efficacy of </w:t>
      </w:r>
      <w:r>
        <w:t xml:space="preserve">a more limited regimen of </w:t>
      </w:r>
      <w:r w:rsidR="00DD662F">
        <w:t>zidovudine</w:t>
      </w:r>
      <w:r>
        <w:t>, a different antiviral, or non-anti</w:t>
      </w:r>
      <w:r w:rsidR="004D4329">
        <w:t>microbial</w:t>
      </w:r>
      <w:r>
        <w:t xml:space="preserve"> regimens in reducing </w:t>
      </w:r>
      <w:r w:rsidR="00826546">
        <w:t xml:space="preserve">HIV </w:t>
      </w:r>
      <w:r>
        <w:t>transmission, using placebos or other regimens not known to be effective as comparator</w:t>
      </w:r>
      <w:r w:rsidR="0012506C">
        <w:t xml:space="preserve"> arm</w:t>
      </w:r>
      <w:r>
        <w:t xml:space="preserve">s. </w:t>
      </w:r>
    </w:p>
    <w:p w14:paraId="49E623F6" w14:textId="12FC72C0" w:rsidR="004D4329" w:rsidRDefault="0012506C" w:rsidP="00234BF7">
      <w:pPr>
        <w:spacing w:after="240" w:line="480" w:lineRule="auto"/>
      </w:pPr>
      <w:r>
        <w:t xml:space="preserve">Even as the </w:t>
      </w:r>
      <w:r w:rsidR="009E2312">
        <w:t xml:space="preserve">zidovudine </w:t>
      </w:r>
      <w:r>
        <w:t>trials controversy was subsiding</w:t>
      </w:r>
      <w:r w:rsidR="004D4329">
        <w:t xml:space="preserve">, another trial that </w:t>
      </w:r>
      <w:r w:rsidR="00C71000">
        <w:t xml:space="preserve">is also </w:t>
      </w:r>
      <w:r w:rsidR="004D4329">
        <w:t>apposite to the consideration of the use of placebos in COVID-19 vaccine trials</w:t>
      </w:r>
      <w:r w:rsidR="0034624A">
        <w:t xml:space="preserve"> was being proposed</w:t>
      </w:r>
      <w:r w:rsidR="004D4329">
        <w:t xml:space="preserve">. </w:t>
      </w:r>
      <w:r w:rsidR="00996FF0">
        <w:t xml:space="preserve">The drug in </w:t>
      </w:r>
      <w:r w:rsidR="00996FF0">
        <w:lastRenderedPageBreak/>
        <w:t xml:space="preserve">question was Surfaxin, a </w:t>
      </w:r>
      <w:r w:rsidR="00AF7A3B">
        <w:t xml:space="preserve">synthetic </w:t>
      </w:r>
      <w:r w:rsidR="00996FF0">
        <w:t>surfactant produced by Discovery Laboratories</w:t>
      </w:r>
      <w:r w:rsidR="00826546">
        <w:t>, a U.S. pharmaceutical concern</w:t>
      </w:r>
      <w:r w:rsidR="00AF7A3B">
        <w:t>. Surfactants are drugs administered to infants with neonatal Respiratory Distress Syndrome, a substantial cause of neonatal mortality</w:t>
      </w:r>
      <w:r w:rsidR="0005171B">
        <w:t xml:space="preserve"> worldwide</w:t>
      </w:r>
      <w:r w:rsidR="00AF7A3B">
        <w:t>. At the time of the proposed trial</w:t>
      </w:r>
      <w:r w:rsidR="00C71000">
        <w:t xml:space="preserve"> in 2000</w:t>
      </w:r>
      <w:r w:rsidR="00AF7A3B">
        <w:t xml:space="preserve">, dozens of randomized, controlled trials, including many with placebos, had led to </w:t>
      </w:r>
      <w:r w:rsidR="008C2B9F">
        <w:t>U.S. Food and Drug Administration (</w:t>
      </w:r>
      <w:r w:rsidR="00AF7A3B">
        <w:t>FDA</w:t>
      </w:r>
      <w:r w:rsidR="008C2B9F">
        <w:t>)</w:t>
      </w:r>
      <w:r w:rsidR="00AF7A3B">
        <w:t xml:space="preserve"> approval of four surfactants. Surfactant</w:t>
      </w:r>
      <w:r w:rsidR="0090594F">
        <w:t>s were</w:t>
      </w:r>
      <w:r w:rsidR="00AF7A3B">
        <w:t xml:space="preserve"> described in the New England Journal of Medicine almost a decade prior to the proposed research as “without doubt the most thoroughly studied new therapy in neonatal care”</w:t>
      </w:r>
      <w:r w:rsidR="0062774A">
        <w:rPr>
          <w:rStyle w:val="EndnoteReference"/>
        </w:rPr>
        <w:endnoteReference w:id="7"/>
      </w:r>
      <w:r w:rsidR="00AF7A3B">
        <w:t xml:space="preserve"> and a Cochrane meta-analysis of synthetic surfactants</w:t>
      </w:r>
      <w:r w:rsidR="00D32BE8">
        <w:t xml:space="preserve"> in 2000</w:t>
      </w:r>
      <w:r w:rsidR="00AF7A3B">
        <w:t xml:space="preserve"> pegged the efficacy in reducing 28-day mortality at 34% compared to placebo and concluded that “further placebo controlled trials of synthetic surfactant are no longer warranted.”</w:t>
      </w:r>
      <w:r w:rsidR="0062774A">
        <w:rPr>
          <w:rStyle w:val="EndnoteReference"/>
        </w:rPr>
        <w:endnoteReference w:id="8"/>
      </w:r>
      <w:r w:rsidR="00AF7A3B">
        <w:t xml:space="preserve"> Yet Discovery </w:t>
      </w:r>
      <w:r w:rsidR="0005171B">
        <w:t xml:space="preserve">Laboratories </w:t>
      </w:r>
      <w:r w:rsidR="00AF7A3B">
        <w:t>proposed conducting just such a trial in Bolivia and other countries to be named at a future date.</w:t>
      </w:r>
    </w:p>
    <w:p w14:paraId="71FF6EF5" w14:textId="03A431D2" w:rsidR="00AF7A3B" w:rsidRPr="00544954" w:rsidRDefault="00AF7A3B" w:rsidP="00234BF7">
      <w:pPr>
        <w:spacing w:after="240" w:line="480" w:lineRule="auto"/>
        <w:rPr>
          <w:rFonts w:cstheme="minorHAnsi"/>
          <w:color w:val="000000" w:themeColor="text1"/>
          <w:shd w:val="clear" w:color="auto" w:fill="FFFFFF"/>
        </w:rPr>
      </w:pPr>
      <w:r>
        <w:t>Some observers</w:t>
      </w:r>
      <w:r w:rsidR="002E298E">
        <w:t xml:space="preserve"> (not this author)</w:t>
      </w:r>
      <w:r>
        <w:t xml:space="preserve"> </w:t>
      </w:r>
      <w:r w:rsidRPr="00DC75C4">
        <w:t>saw an ethical distinction between these two situations. It was c</w:t>
      </w:r>
      <w:r w:rsidR="00DC75C4" w:rsidRPr="00DC75C4">
        <w:t xml:space="preserve">lear to many that the researchers in the </w:t>
      </w:r>
      <w:r w:rsidR="009E2312">
        <w:t>zidovudine</w:t>
      </w:r>
      <w:r w:rsidR="00DC75C4" w:rsidRPr="00DC75C4">
        <w:t xml:space="preserve"> studies, who were primarily </w:t>
      </w:r>
      <w:r w:rsidR="0012506C">
        <w:t>sup</w:t>
      </w:r>
      <w:r w:rsidR="00DC75C4" w:rsidRPr="00DC75C4">
        <w:t>ported by developed</w:t>
      </w:r>
      <w:r w:rsidR="0092566F">
        <w:t>-</w:t>
      </w:r>
      <w:r w:rsidR="00DC75C4" w:rsidRPr="00DC75C4">
        <w:t>world research agencies and multilateral entities, were engaged in a good-faith effort to identify affordable therapies tailored to developing</w:t>
      </w:r>
      <w:r w:rsidR="00364DF9">
        <w:t>-</w:t>
      </w:r>
      <w:r w:rsidR="00DC75C4" w:rsidRPr="00DC75C4">
        <w:t xml:space="preserve">world conditions. But the Surfaxin situation was more suspect </w:t>
      </w:r>
      <w:r w:rsidR="002E298E">
        <w:t xml:space="preserve">to some </w:t>
      </w:r>
      <w:r w:rsidR="00DC75C4" w:rsidRPr="00DC75C4">
        <w:t>because the company’s profit motive was readily discernible</w:t>
      </w:r>
      <w:r w:rsidR="000B3AE9">
        <w:t xml:space="preserve">, as would be the case for the companies </w:t>
      </w:r>
      <w:r w:rsidR="0005171B">
        <w:t>producing</w:t>
      </w:r>
      <w:r w:rsidR="000B3AE9">
        <w:t xml:space="preserve"> COVID-19 vaccines</w:t>
      </w:r>
      <w:r w:rsidR="00DC75C4" w:rsidRPr="00DC75C4">
        <w:t>. As the U</w:t>
      </w:r>
      <w:r w:rsidR="0092566F">
        <w:t>.</w:t>
      </w:r>
      <w:r w:rsidR="00DC75C4" w:rsidRPr="00DC75C4">
        <w:t>S</w:t>
      </w:r>
      <w:r w:rsidR="0092566F">
        <w:t>.</w:t>
      </w:r>
      <w:r w:rsidR="00DC75C4" w:rsidRPr="00DC75C4">
        <w:t xml:space="preserve"> National Bioethics Advisory Commission declared,</w:t>
      </w:r>
      <w:r w:rsidR="00F31313">
        <w:t xml:space="preserve"> referring to </w:t>
      </w:r>
      <w:r w:rsidR="00F31313" w:rsidRPr="0012506C">
        <w:rPr>
          <w:color w:val="000000" w:themeColor="text1"/>
        </w:rPr>
        <w:t>Surfaxin,</w:t>
      </w:r>
      <w:r w:rsidR="00DC75C4" w:rsidRPr="0012506C">
        <w:rPr>
          <w:color w:val="000000" w:themeColor="text1"/>
        </w:rPr>
        <w:t xml:space="preserve"> “</w:t>
      </w:r>
      <w:r w:rsidR="00DC75C4" w:rsidRPr="0012506C">
        <w:rPr>
          <w:color w:val="000000" w:themeColor="text1"/>
          <w:shd w:val="clear" w:color="auto" w:fill="FFFFFF"/>
        </w:rPr>
        <w:t xml:space="preserve">In studies of this kind — involving a disease that is life-threatening and one for which an established, </w:t>
      </w:r>
      <w:r w:rsidR="00DC75C4" w:rsidRPr="00544954">
        <w:rPr>
          <w:rFonts w:cstheme="minorHAnsi"/>
          <w:color w:val="000000" w:themeColor="text1"/>
          <w:shd w:val="clear" w:color="auto" w:fill="FFFFFF"/>
        </w:rPr>
        <w:t>effective treatment is available — a placebo control is not permissible.”</w:t>
      </w:r>
      <w:r w:rsidR="0062774A">
        <w:rPr>
          <w:rStyle w:val="EndnoteReference"/>
          <w:rFonts w:cstheme="minorHAnsi"/>
          <w:color w:val="000000" w:themeColor="text1"/>
          <w:shd w:val="clear" w:color="auto" w:fill="FFFFFF"/>
        </w:rPr>
        <w:endnoteReference w:id="9"/>
      </w:r>
    </w:p>
    <w:p w14:paraId="29DF0EA0" w14:textId="0309F5B6" w:rsidR="0012506C" w:rsidRDefault="0012506C" w:rsidP="00234BF7">
      <w:pPr>
        <w:pStyle w:val="NormalWeb"/>
        <w:shd w:val="clear" w:color="auto" w:fill="FFFFFF"/>
        <w:spacing w:before="0" w:beforeAutospacing="0" w:after="240" w:afterAutospacing="0" w:line="480" w:lineRule="auto"/>
        <w:rPr>
          <w:rFonts w:asciiTheme="minorHAnsi" w:hAnsiTheme="minorHAnsi" w:cstheme="minorHAnsi"/>
          <w:sz w:val="22"/>
          <w:szCs w:val="22"/>
        </w:rPr>
      </w:pPr>
      <w:r w:rsidRPr="00544954">
        <w:rPr>
          <w:rFonts w:asciiTheme="minorHAnsi" w:hAnsiTheme="minorHAnsi" w:cstheme="minorHAnsi"/>
          <w:color w:val="000000"/>
          <w:sz w:val="22"/>
          <w:szCs w:val="22"/>
        </w:rPr>
        <w:t xml:space="preserve">The controversy over </w:t>
      </w:r>
      <w:r w:rsidRPr="009E2312">
        <w:rPr>
          <w:rFonts w:asciiTheme="minorHAnsi" w:hAnsiTheme="minorHAnsi" w:cstheme="minorHAnsi"/>
          <w:color w:val="000000"/>
          <w:sz w:val="22"/>
          <w:szCs w:val="22"/>
        </w:rPr>
        <w:t xml:space="preserve">the </w:t>
      </w:r>
      <w:r w:rsidR="009E2312" w:rsidRPr="009E2312">
        <w:rPr>
          <w:rFonts w:asciiTheme="minorHAnsi" w:hAnsiTheme="minorHAnsi" w:cstheme="minorHAnsi"/>
          <w:sz w:val="22"/>
          <w:szCs w:val="22"/>
        </w:rPr>
        <w:t>zidovudine</w:t>
      </w:r>
      <w:r w:rsidR="0034624A" w:rsidRPr="009E2312">
        <w:rPr>
          <w:rFonts w:asciiTheme="minorHAnsi" w:hAnsiTheme="minorHAnsi" w:cstheme="minorHAnsi"/>
          <w:color w:val="000000"/>
          <w:sz w:val="22"/>
          <w:szCs w:val="22"/>
        </w:rPr>
        <w:t xml:space="preserve"> trials</w:t>
      </w:r>
      <w:r w:rsidR="0034624A" w:rsidRPr="00544954">
        <w:rPr>
          <w:rFonts w:asciiTheme="minorHAnsi" w:hAnsiTheme="minorHAnsi" w:cstheme="minorHAnsi"/>
          <w:color w:val="000000"/>
          <w:sz w:val="22"/>
          <w:szCs w:val="22"/>
        </w:rPr>
        <w:t xml:space="preserve"> led to reconsideration of the World Medical Association’s Declaration of Helsinki, which in its current iteration avers that placebos may be used after the identification of a proven intervention when “</w:t>
      </w:r>
      <w:r w:rsidRPr="00544954">
        <w:rPr>
          <w:rFonts w:asciiTheme="minorHAnsi" w:hAnsiTheme="minorHAnsi" w:cstheme="minorHAnsi"/>
          <w:color w:val="000000"/>
          <w:sz w:val="22"/>
          <w:szCs w:val="22"/>
        </w:rPr>
        <w:t xml:space="preserve">for compelling and scientifically sound methodological reasons the use of any intervention less effective than the best proven one, the use of placebo, or no </w:t>
      </w:r>
      <w:r w:rsidRPr="00544954">
        <w:rPr>
          <w:rFonts w:asciiTheme="minorHAnsi" w:hAnsiTheme="minorHAnsi" w:cstheme="minorHAnsi"/>
          <w:color w:val="000000"/>
          <w:sz w:val="22"/>
          <w:szCs w:val="22"/>
        </w:rPr>
        <w:lastRenderedPageBreak/>
        <w:t>intervention is necessary to determine the efficacy or safety of an intervention</w:t>
      </w:r>
      <w:r w:rsidR="0034624A" w:rsidRPr="00544954">
        <w:rPr>
          <w:rFonts w:asciiTheme="minorHAnsi" w:hAnsiTheme="minorHAnsi" w:cstheme="minorHAnsi"/>
          <w:color w:val="000000"/>
          <w:sz w:val="22"/>
          <w:szCs w:val="22"/>
        </w:rPr>
        <w:t>” and that patients</w:t>
      </w:r>
      <w:r w:rsidR="000B3AE9">
        <w:rPr>
          <w:rFonts w:asciiTheme="minorHAnsi" w:hAnsiTheme="minorHAnsi" w:cstheme="minorHAnsi"/>
          <w:color w:val="000000"/>
          <w:sz w:val="22"/>
          <w:szCs w:val="22"/>
        </w:rPr>
        <w:t xml:space="preserve"> in such trials</w:t>
      </w:r>
      <w:r w:rsidR="0034624A" w:rsidRPr="00544954">
        <w:rPr>
          <w:rFonts w:asciiTheme="minorHAnsi" w:hAnsiTheme="minorHAnsi" w:cstheme="minorHAnsi"/>
          <w:color w:val="000000"/>
          <w:sz w:val="22"/>
          <w:szCs w:val="22"/>
        </w:rPr>
        <w:t xml:space="preserve"> “</w:t>
      </w:r>
      <w:r w:rsidRPr="00544954">
        <w:rPr>
          <w:rFonts w:asciiTheme="minorHAnsi" w:hAnsiTheme="minorHAnsi" w:cstheme="minorHAnsi"/>
          <w:color w:val="000000"/>
          <w:sz w:val="22"/>
          <w:szCs w:val="22"/>
        </w:rPr>
        <w:t>will not be subject to additional risks of serious or irreversible harm as a result of not receiving the best proven intervention.</w:t>
      </w:r>
      <w:r w:rsidR="0034624A" w:rsidRPr="00544954">
        <w:rPr>
          <w:rFonts w:asciiTheme="minorHAnsi" w:hAnsiTheme="minorHAnsi" w:cstheme="minorHAnsi"/>
          <w:color w:val="000000"/>
          <w:sz w:val="22"/>
          <w:szCs w:val="22"/>
        </w:rPr>
        <w:t>”</w:t>
      </w:r>
      <w:r w:rsidR="00544954" w:rsidRPr="00544954">
        <w:rPr>
          <w:rStyle w:val="EndnoteReference"/>
          <w:rFonts w:asciiTheme="minorHAnsi" w:hAnsiTheme="minorHAnsi" w:cstheme="minorHAnsi"/>
          <w:color w:val="000000"/>
          <w:sz w:val="22"/>
          <w:szCs w:val="22"/>
        </w:rPr>
        <w:endnoteReference w:id="10"/>
      </w:r>
      <w:r w:rsidR="0034624A" w:rsidRPr="00544954">
        <w:rPr>
          <w:rFonts w:asciiTheme="minorHAnsi" w:hAnsiTheme="minorHAnsi" w:cstheme="minorHAnsi"/>
          <w:color w:val="000000"/>
          <w:sz w:val="22"/>
          <w:szCs w:val="22"/>
        </w:rPr>
        <w:t xml:space="preserve"> The </w:t>
      </w:r>
      <w:r w:rsidR="0034624A" w:rsidRPr="00544954">
        <w:rPr>
          <w:rFonts w:asciiTheme="minorHAnsi" w:hAnsiTheme="minorHAnsi" w:cstheme="minorHAnsi"/>
          <w:sz w:val="22"/>
          <w:szCs w:val="22"/>
        </w:rPr>
        <w:t>International Ethical Guidelines for Health-related Research Involving Humans</w:t>
      </w:r>
      <w:r w:rsidR="00544954" w:rsidRPr="00544954">
        <w:rPr>
          <w:rFonts w:asciiTheme="minorHAnsi" w:hAnsiTheme="minorHAnsi" w:cstheme="minorHAnsi"/>
          <w:sz w:val="22"/>
          <w:szCs w:val="22"/>
        </w:rPr>
        <w:t>,</w:t>
      </w:r>
      <w:r w:rsidR="0034624A" w:rsidRPr="00544954">
        <w:rPr>
          <w:rFonts w:asciiTheme="minorHAnsi" w:hAnsiTheme="minorHAnsi" w:cstheme="minorHAnsi"/>
          <w:sz w:val="22"/>
          <w:szCs w:val="22"/>
        </w:rPr>
        <w:t xml:space="preserve"> prepared by the Council for International Organizations of Medical Sciences (CIOMS)</w:t>
      </w:r>
      <w:r w:rsidR="00544954" w:rsidRPr="00544954">
        <w:rPr>
          <w:rFonts w:asciiTheme="minorHAnsi" w:hAnsiTheme="minorHAnsi" w:cstheme="minorHAnsi"/>
          <w:sz w:val="22"/>
          <w:szCs w:val="22"/>
        </w:rPr>
        <w:t>,</w:t>
      </w:r>
      <w:r w:rsidR="0034624A" w:rsidRPr="00544954">
        <w:rPr>
          <w:rFonts w:asciiTheme="minorHAnsi" w:hAnsiTheme="minorHAnsi" w:cstheme="minorHAnsi"/>
          <w:color w:val="000000"/>
          <w:sz w:val="22"/>
          <w:szCs w:val="22"/>
        </w:rPr>
        <w:t xml:space="preserve"> declares that “</w:t>
      </w:r>
      <w:r w:rsidR="0034624A" w:rsidRPr="00544954">
        <w:rPr>
          <w:rFonts w:asciiTheme="minorHAnsi" w:hAnsiTheme="minorHAnsi" w:cstheme="minorHAnsi"/>
          <w:sz w:val="22"/>
          <w:szCs w:val="22"/>
        </w:rPr>
        <w:t>As a general rule, the research ethics committee must ensure that research participants in the control group of a trial of a diagnostic, therapeutic, or preventive intervention receive an established effective intervention,”</w:t>
      </w:r>
      <w:r w:rsidR="0034624A" w:rsidRPr="00544954">
        <w:rPr>
          <w:rStyle w:val="EndnoteReference"/>
          <w:rFonts w:asciiTheme="minorHAnsi" w:hAnsiTheme="minorHAnsi" w:cstheme="minorHAnsi"/>
          <w:sz w:val="22"/>
          <w:szCs w:val="22"/>
        </w:rPr>
        <w:endnoteReference w:id="11"/>
      </w:r>
      <w:r w:rsidR="00D736FF">
        <w:rPr>
          <w:rFonts w:asciiTheme="minorHAnsi" w:hAnsiTheme="minorHAnsi" w:cstheme="minorHAnsi"/>
          <w:sz w:val="22"/>
          <w:szCs w:val="22"/>
        </w:rPr>
        <w:t xml:space="preserve"> but provides</w:t>
      </w:r>
      <w:r w:rsidR="0034624A" w:rsidRPr="00544954">
        <w:rPr>
          <w:rFonts w:asciiTheme="minorHAnsi" w:hAnsiTheme="minorHAnsi" w:cstheme="minorHAnsi"/>
          <w:sz w:val="22"/>
          <w:szCs w:val="22"/>
        </w:rPr>
        <w:t xml:space="preserve"> for exceptions generally similar to those in the Declaration of Helsinki.</w:t>
      </w:r>
    </w:p>
    <w:p w14:paraId="41B04D87" w14:textId="77777777" w:rsidR="00FB0189" w:rsidRDefault="00C7297B" w:rsidP="00234BF7">
      <w:pPr>
        <w:autoSpaceDE w:val="0"/>
        <w:autoSpaceDN w:val="0"/>
        <w:adjustRightInd w:val="0"/>
        <w:spacing w:after="240" w:line="480" w:lineRule="auto"/>
        <w:rPr>
          <w:rFonts w:cstheme="minorHAnsi"/>
        </w:rPr>
      </w:pPr>
      <w:r>
        <w:rPr>
          <w:rFonts w:cstheme="minorHAnsi"/>
        </w:rPr>
        <w:t>The question before us, then, is whether there</w:t>
      </w:r>
      <w:r w:rsidR="0065723B">
        <w:rPr>
          <w:rFonts w:cstheme="minorHAnsi"/>
        </w:rPr>
        <w:t xml:space="preserve"> are </w:t>
      </w:r>
      <w:r>
        <w:rPr>
          <w:rFonts w:cstheme="minorHAnsi"/>
        </w:rPr>
        <w:t xml:space="preserve">ethical </w:t>
      </w:r>
      <w:r w:rsidR="0065723B">
        <w:rPr>
          <w:rFonts w:cstheme="minorHAnsi"/>
        </w:rPr>
        <w:t xml:space="preserve">grounds </w:t>
      </w:r>
      <w:r>
        <w:rPr>
          <w:rFonts w:cstheme="minorHAnsi"/>
        </w:rPr>
        <w:t xml:space="preserve">to justify </w:t>
      </w:r>
      <w:r w:rsidR="0065723B">
        <w:rPr>
          <w:rFonts w:cstheme="minorHAnsi"/>
        </w:rPr>
        <w:t>the use of placebos</w:t>
      </w:r>
      <w:r>
        <w:rPr>
          <w:rFonts w:cstheme="minorHAnsi"/>
        </w:rPr>
        <w:t xml:space="preserve"> in developing countries</w:t>
      </w:r>
      <w:r w:rsidR="0065723B">
        <w:rPr>
          <w:rFonts w:cstheme="minorHAnsi"/>
        </w:rPr>
        <w:t xml:space="preserve">, even in the wake of proven effective </w:t>
      </w:r>
      <w:r w:rsidR="000C37A8">
        <w:rPr>
          <w:rFonts w:cstheme="minorHAnsi"/>
        </w:rPr>
        <w:t xml:space="preserve">COVID-19 </w:t>
      </w:r>
      <w:r w:rsidR="0065723B">
        <w:rPr>
          <w:rFonts w:cstheme="minorHAnsi"/>
        </w:rPr>
        <w:t>vaccines</w:t>
      </w:r>
      <w:r w:rsidR="009E2312">
        <w:rPr>
          <w:rFonts w:cstheme="minorHAnsi"/>
        </w:rPr>
        <w:t>.</w:t>
      </w:r>
      <w:r w:rsidR="00930CBA">
        <w:rPr>
          <w:rFonts w:cstheme="minorHAnsi"/>
        </w:rPr>
        <w:t xml:space="preserve"> Do the limited exceptions to the prohibition</w:t>
      </w:r>
      <w:r w:rsidR="0005171B">
        <w:rPr>
          <w:rFonts w:cstheme="minorHAnsi"/>
        </w:rPr>
        <w:t>s</w:t>
      </w:r>
      <w:r w:rsidR="00930CBA">
        <w:rPr>
          <w:rFonts w:cstheme="minorHAnsi"/>
        </w:rPr>
        <w:t xml:space="preserve"> on placebo use when an effective intervention has been identified pertain here?</w:t>
      </w:r>
      <w:r w:rsidR="0065723B">
        <w:rPr>
          <w:rFonts w:cstheme="minorHAnsi"/>
        </w:rPr>
        <w:t xml:space="preserve"> Stated differently, if you are someone who opposed the use of placebos in the </w:t>
      </w:r>
      <w:r w:rsidR="009E2312">
        <w:rPr>
          <w:rFonts w:cstheme="minorHAnsi"/>
        </w:rPr>
        <w:t>zidovudine</w:t>
      </w:r>
      <w:r w:rsidR="0065723B">
        <w:rPr>
          <w:rFonts w:cstheme="minorHAnsi"/>
        </w:rPr>
        <w:t xml:space="preserve"> or </w:t>
      </w:r>
      <w:r w:rsidR="0090594F">
        <w:rPr>
          <w:rFonts w:cstheme="minorHAnsi"/>
        </w:rPr>
        <w:t>Surfaxin</w:t>
      </w:r>
      <w:r w:rsidR="0065723B">
        <w:rPr>
          <w:rFonts w:cstheme="minorHAnsi"/>
        </w:rPr>
        <w:t xml:space="preserve"> trials (as </w:t>
      </w:r>
      <w:r w:rsidR="00B34F49">
        <w:rPr>
          <w:rFonts w:cstheme="minorHAnsi"/>
        </w:rPr>
        <w:t>this author</w:t>
      </w:r>
      <w:r w:rsidR="0065723B">
        <w:rPr>
          <w:rFonts w:cstheme="minorHAnsi"/>
        </w:rPr>
        <w:t xml:space="preserve"> was), can you distinguish the current COVID-19 vaccine situation sufficiently from those </w:t>
      </w:r>
      <w:r w:rsidR="000C37A8">
        <w:rPr>
          <w:rFonts w:cstheme="minorHAnsi"/>
        </w:rPr>
        <w:t xml:space="preserve">earlier </w:t>
      </w:r>
      <w:r w:rsidR="0065723B">
        <w:rPr>
          <w:rFonts w:cstheme="minorHAnsi"/>
        </w:rPr>
        <w:t xml:space="preserve">trials to justify placebo use </w:t>
      </w:r>
      <w:r w:rsidR="000C37A8">
        <w:rPr>
          <w:rFonts w:cstheme="minorHAnsi"/>
        </w:rPr>
        <w:t>today</w:t>
      </w:r>
      <w:r w:rsidR="0065723B">
        <w:rPr>
          <w:rFonts w:cstheme="minorHAnsi"/>
        </w:rPr>
        <w:t>?</w:t>
      </w:r>
    </w:p>
    <w:p w14:paraId="5F139058" w14:textId="52B69649" w:rsidR="0080524D" w:rsidRPr="00FB0189" w:rsidRDefault="00AF32A2" w:rsidP="00234BF7">
      <w:pPr>
        <w:autoSpaceDE w:val="0"/>
        <w:autoSpaceDN w:val="0"/>
        <w:adjustRightInd w:val="0"/>
        <w:spacing w:after="240" w:line="480" w:lineRule="auto"/>
        <w:rPr>
          <w:rFonts w:cstheme="minorHAnsi"/>
          <w:b/>
          <w:bCs/>
        </w:rPr>
      </w:pPr>
      <w:r w:rsidRPr="00FB0189">
        <w:rPr>
          <w:rFonts w:cstheme="minorHAnsi"/>
          <w:b/>
          <w:bCs/>
        </w:rPr>
        <w:t>Comparing the Risks</w:t>
      </w:r>
    </w:p>
    <w:p w14:paraId="56D17380" w14:textId="44FAD112" w:rsidR="00AF32A2" w:rsidRDefault="00AF32A2" w:rsidP="00234BF7">
      <w:pPr>
        <w:autoSpaceDE w:val="0"/>
        <w:autoSpaceDN w:val="0"/>
        <w:adjustRightInd w:val="0"/>
        <w:spacing w:after="240" w:line="480" w:lineRule="auto"/>
        <w:rPr>
          <w:rFonts w:cstheme="minorHAnsi"/>
        </w:rPr>
      </w:pPr>
      <w:r>
        <w:rPr>
          <w:rFonts w:cstheme="minorHAnsi"/>
        </w:rPr>
        <w:t>Any consideration of placebo</w:t>
      </w:r>
      <w:r w:rsidR="0005171B">
        <w:rPr>
          <w:rFonts w:cstheme="minorHAnsi"/>
        </w:rPr>
        <w:t>s</w:t>
      </w:r>
      <w:r w:rsidR="00930CBA">
        <w:rPr>
          <w:rFonts w:cstheme="minorHAnsi"/>
        </w:rPr>
        <w:t xml:space="preserve"> </w:t>
      </w:r>
      <w:r>
        <w:rPr>
          <w:rFonts w:cstheme="minorHAnsi"/>
        </w:rPr>
        <w:t xml:space="preserve">should include an attempt to estimate the magnitude of </w:t>
      </w:r>
      <w:r w:rsidR="006730A5">
        <w:rPr>
          <w:rFonts w:cstheme="minorHAnsi"/>
        </w:rPr>
        <w:t>the</w:t>
      </w:r>
      <w:r>
        <w:rPr>
          <w:rFonts w:cstheme="minorHAnsi"/>
        </w:rPr>
        <w:t xml:space="preserve"> risk associated with their use. </w:t>
      </w:r>
      <w:r w:rsidR="00675ED2">
        <w:rPr>
          <w:rFonts w:cstheme="minorHAnsi"/>
        </w:rPr>
        <w:t>Some risks may be so minimal that a placebo may be justified even when effective therapies</w:t>
      </w:r>
      <w:r w:rsidR="00930CBA" w:rsidRPr="00930CBA">
        <w:rPr>
          <w:rFonts w:cstheme="minorHAnsi"/>
        </w:rPr>
        <w:t xml:space="preserve"> </w:t>
      </w:r>
      <w:r w:rsidR="00930CBA">
        <w:rPr>
          <w:rFonts w:cstheme="minorHAnsi"/>
        </w:rPr>
        <w:t>are available</w:t>
      </w:r>
      <w:r w:rsidR="00675ED2">
        <w:rPr>
          <w:rFonts w:cstheme="minorHAnsi"/>
        </w:rPr>
        <w:t xml:space="preserve"> (e.g., antihistamines for seasonal allergy). But </w:t>
      </w:r>
      <w:r w:rsidR="00930CBA">
        <w:rPr>
          <w:rFonts w:cstheme="minorHAnsi"/>
        </w:rPr>
        <w:t>estimating this risk</w:t>
      </w:r>
      <w:r>
        <w:rPr>
          <w:rFonts w:cstheme="minorHAnsi"/>
        </w:rPr>
        <w:t xml:space="preserve"> is an inherently tricky undertaking </w:t>
      </w:r>
      <w:r w:rsidR="00675ED2">
        <w:rPr>
          <w:rFonts w:cstheme="minorHAnsi"/>
        </w:rPr>
        <w:t xml:space="preserve">in the setting of COVID-19, </w:t>
      </w:r>
      <w:r>
        <w:rPr>
          <w:rFonts w:cstheme="minorHAnsi"/>
        </w:rPr>
        <w:t>for the very nature of a pandemic includes zeniths and nadirs, as well as varia</w:t>
      </w:r>
      <w:r w:rsidR="00930CBA">
        <w:rPr>
          <w:rFonts w:cstheme="minorHAnsi"/>
        </w:rPr>
        <w:t>bility</w:t>
      </w:r>
      <w:r>
        <w:rPr>
          <w:rFonts w:cstheme="minorHAnsi"/>
        </w:rPr>
        <w:t xml:space="preserve"> in per capita burden between regions. But we can</w:t>
      </w:r>
      <w:r w:rsidR="0090594F" w:rsidRPr="0090594F">
        <w:rPr>
          <w:rFonts w:cstheme="minorHAnsi"/>
        </w:rPr>
        <w:t xml:space="preserve"> </w:t>
      </w:r>
      <w:r w:rsidR="0090594F">
        <w:rPr>
          <w:rFonts w:cstheme="minorHAnsi"/>
        </w:rPr>
        <w:t>estimate excess illness as a result of lack of vaccination</w:t>
      </w:r>
      <w:r>
        <w:rPr>
          <w:rFonts w:cstheme="minorHAnsi"/>
        </w:rPr>
        <w:t xml:space="preserve"> </w:t>
      </w:r>
      <w:r w:rsidR="0090594F">
        <w:rPr>
          <w:rFonts w:cstheme="minorHAnsi"/>
        </w:rPr>
        <w:t>using</w:t>
      </w:r>
      <w:r>
        <w:rPr>
          <w:rFonts w:cstheme="minorHAnsi"/>
        </w:rPr>
        <w:t xml:space="preserve"> </w:t>
      </w:r>
      <w:r w:rsidR="00930CBA">
        <w:rPr>
          <w:rFonts w:cstheme="minorHAnsi"/>
        </w:rPr>
        <w:t>data from the early vaccine trials</w:t>
      </w:r>
      <w:r w:rsidR="0090594F">
        <w:rPr>
          <w:rFonts w:cstheme="minorHAnsi"/>
        </w:rPr>
        <w:t xml:space="preserve">. Specifically, we can </w:t>
      </w:r>
      <w:r w:rsidR="00930CBA">
        <w:rPr>
          <w:rFonts w:cstheme="minorHAnsi"/>
        </w:rPr>
        <w:t xml:space="preserve">estimate </w:t>
      </w:r>
      <w:r w:rsidR="00715212">
        <w:rPr>
          <w:rFonts w:cstheme="minorHAnsi"/>
        </w:rPr>
        <w:t xml:space="preserve">the difference between the </w:t>
      </w:r>
      <w:r w:rsidR="00B677C4">
        <w:rPr>
          <w:rFonts w:cstheme="minorHAnsi"/>
        </w:rPr>
        <w:t>percentages</w:t>
      </w:r>
      <w:r w:rsidR="00930CBA">
        <w:rPr>
          <w:rFonts w:cstheme="minorHAnsi"/>
        </w:rPr>
        <w:t xml:space="preserve"> of subjects</w:t>
      </w:r>
      <w:r w:rsidR="00715212">
        <w:rPr>
          <w:rFonts w:cstheme="minorHAnsi"/>
        </w:rPr>
        <w:t xml:space="preserve"> experiencing an event (symptomatic COVID-19) in </w:t>
      </w:r>
      <w:r>
        <w:rPr>
          <w:rFonts w:cstheme="minorHAnsi"/>
        </w:rPr>
        <w:t>the placebo groups</w:t>
      </w:r>
      <w:r w:rsidR="00715212">
        <w:rPr>
          <w:rFonts w:cstheme="minorHAnsi"/>
        </w:rPr>
        <w:t xml:space="preserve"> and those</w:t>
      </w:r>
      <w:r w:rsidR="00930CBA">
        <w:rPr>
          <w:rFonts w:cstheme="minorHAnsi"/>
        </w:rPr>
        <w:t xml:space="preserve"> with the same experience</w:t>
      </w:r>
      <w:r w:rsidR="00715212">
        <w:rPr>
          <w:rFonts w:cstheme="minorHAnsi"/>
        </w:rPr>
        <w:t xml:space="preserve"> in the vaccinated groups. </w:t>
      </w:r>
      <w:r>
        <w:rPr>
          <w:rFonts w:cstheme="minorHAnsi"/>
        </w:rPr>
        <w:t xml:space="preserve"> </w:t>
      </w:r>
      <w:r w:rsidR="00715212">
        <w:rPr>
          <w:rFonts w:cstheme="minorHAnsi"/>
        </w:rPr>
        <w:t xml:space="preserve">For the </w:t>
      </w:r>
      <w:r w:rsidR="00715212">
        <w:rPr>
          <w:rFonts w:cstheme="minorHAnsi"/>
        </w:rPr>
        <w:lastRenderedPageBreak/>
        <w:t>Pfizer/BioNTech and Moderna vaccines</w:t>
      </w:r>
      <w:r w:rsidR="0090594F">
        <w:rPr>
          <w:rFonts w:cstheme="minorHAnsi"/>
        </w:rPr>
        <w:t>,</w:t>
      </w:r>
      <w:r w:rsidR="00715212">
        <w:rPr>
          <w:rFonts w:cstheme="minorHAnsi"/>
        </w:rPr>
        <w:t xml:space="preserve"> respectively, those differences were 0.84</w:t>
      </w:r>
      <w:r w:rsidR="00B677C4">
        <w:rPr>
          <w:rFonts w:cstheme="minorHAnsi"/>
        </w:rPr>
        <w:t>%</w:t>
      </w:r>
      <w:r w:rsidR="00CA49DF">
        <w:rPr>
          <w:rFonts w:cstheme="minorHAnsi"/>
          <w:vertAlign w:val="superscript"/>
        </w:rPr>
        <w:t>2</w:t>
      </w:r>
      <w:r w:rsidR="00715212">
        <w:rPr>
          <w:rFonts w:cstheme="minorHAnsi"/>
        </w:rPr>
        <w:t xml:space="preserve"> and 1</w:t>
      </w:r>
      <w:r w:rsidR="00B677C4">
        <w:rPr>
          <w:rFonts w:cstheme="minorHAnsi"/>
        </w:rPr>
        <w:t>.</w:t>
      </w:r>
      <w:r w:rsidR="00715212">
        <w:rPr>
          <w:rFonts w:cstheme="minorHAnsi"/>
        </w:rPr>
        <w:t>24</w:t>
      </w:r>
      <w:r w:rsidR="00B677C4">
        <w:rPr>
          <w:rFonts w:cstheme="minorHAnsi"/>
        </w:rPr>
        <w:t>%</w:t>
      </w:r>
      <w:r w:rsidR="00CA49DF">
        <w:rPr>
          <w:rFonts w:cstheme="minorHAnsi"/>
          <w:vertAlign w:val="superscript"/>
        </w:rPr>
        <w:t>3</w:t>
      </w:r>
      <w:r w:rsidR="00BD0E77">
        <w:rPr>
          <w:rFonts w:cstheme="minorHAnsi"/>
        </w:rPr>
        <w:t xml:space="preserve"> </w:t>
      </w:r>
      <w:r w:rsidR="00235E9A">
        <w:rPr>
          <w:rFonts w:cstheme="minorHAnsi"/>
        </w:rPr>
        <w:t>over</w:t>
      </w:r>
      <w:r w:rsidR="00BD0E77">
        <w:rPr>
          <w:rFonts w:cstheme="minorHAnsi"/>
        </w:rPr>
        <w:t xml:space="preserve"> the two</w:t>
      </w:r>
      <w:r w:rsidR="00235E9A">
        <w:rPr>
          <w:rFonts w:cstheme="minorHAnsi"/>
        </w:rPr>
        <w:t>-</w:t>
      </w:r>
      <w:r w:rsidR="00BD0E77">
        <w:rPr>
          <w:rFonts w:cstheme="minorHAnsi"/>
        </w:rPr>
        <w:t>month study durations</w:t>
      </w:r>
      <w:r w:rsidR="00715212">
        <w:rPr>
          <w:rFonts w:cstheme="minorHAnsi"/>
        </w:rPr>
        <w:t xml:space="preserve">, </w:t>
      </w:r>
      <w:r w:rsidR="0090594F">
        <w:rPr>
          <w:rFonts w:cstheme="minorHAnsi"/>
        </w:rPr>
        <w:t xml:space="preserve">implying </w:t>
      </w:r>
      <w:r w:rsidR="00715212">
        <w:rPr>
          <w:rFonts w:cstheme="minorHAnsi"/>
        </w:rPr>
        <w:t xml:space="preserve">that one in 119.0 </w:t>
      </w:r>
      <w:r w:rsidR="00B677C4">
        <w:rPr>
          <w:rFonts w:cstheme="minorHAnsi"/>
        </w:rPr>
        <w:t xml:space="preserve">([1/0.84]*100) </w:t>
      </w:r>
      <w:r w:rsidR="00715212">
        <w:rPr>
          <w:rFonts w:cstheme="minorHAnsi"/>
        </w:rPr>
        <w:t xml:space="preserve">and one in 80.8 </w:t>
      </w:r>
      <w:r w:rsidR="00B677C4">
        <w:rPr>
          <w:rFonts w:cstheme="minorHAnsi"/>
        </w:rPr>
        <w:t xml:space="preserve">([1/1.24]*100) </w:t>
      </w:r>
      <w:r w:rsidR="00715212">
        <w:rPr>
          <w:rFonts w:cstheme="minorHAnsi"/>
        </w:rPr>
        <w:t>subjects</w:t>
      </w:r>
      <w:r w:rsidR="00BD0E77">
        <w:rPr>
          <w:rFonts w:cstheme="minorHAnsi"/>
        </w:rPr>
        <w:t xml:space="preserve"> in </w:t>
      </w:r>
      <w:r w:rsidR="0090594F">
        <w:rPr>
          <w:rFonts w:cstheme="minorHAnsi"/>
        </w:rPr>
        <w:t xml:space="preserve">the </w:t>
      </w:r>
      <w:r w:rsidR="00BD0E77">
        <w:rPr>
          <w:rFonts w:cstheme="minorHAnsi"/>
        </w:rPr>
        <w:t>placebo groups contracted a</w:t>
      </w:r>
      <w:r w:rsidR="00235E9A">
        <w:rPr>
          <w:rFonts w:cstheme="minorHAnsi"/>
        </w:rPr>
        <w:t xml:space="preserve"> symptomatic</w:t>
      </w:r>
      <w:r w:rsidR="00BD0E77">
        <w:rPr>
          <w:rFonts w:cstheme="minorHAnsi"/>
        </w:rPr>
        <w:t xml:space="preserve"> infection with SARS-CoV-2 that would have been prevented had they been randomized instead to the vaccine under study.</w:t>
      </w:r>
      <w:r w:rsidR="00235E9A">
        <w:rPr>
          <w:rFonts w:cstheme="minorHAnsi"/>
        </w:rPr>
        <w:t xml:space="preserve"> If we assume for estimation purposes that 1% of such infections are fatal, we can </w:t>
      </w:r>
      <w:r w:rsidR="0090594F">
        <w:rPr>
          <w:rFonts w:cstheme="minorHAnsi"/>
        </w:rPr>
        <w:t>hypothesize</w:t>
      </w:r>
      <w:r w:rsidR="00235E9A">
        <w:rPr>
          <w:rFonts w:cstheme="minorHAnsi"/>
        </w:rPr>
        <w:t xml:space="preserve"> that about one in 10,000 </w:t>
      </w:r>
      <w:r w:rsidR="00AF192F">
        <w:rPr>
          <w:rFonts w:cstheme="minorHAnsi"/>
        </w:rPr>
        <w:t>placebo group recipients</w:t>
      </w:r>
      <w:r w:rsidR="00235E9A">
        <w:rPr>
          <w:rFonts w:cstheme="minorHAnsi"/>
        </w:rPr>
        <w:t xml:space="preserve"> might experience a vaccine-preventable fatality. In fact, among the 32,398 placebo patients in the two trials, there was a single fatality </w:t>
      </w:r>
      <w:r w:rsidR="007B5F1C">
        <w:rPr>
          <w:rFonts w:cstheme="minorHAnsi"/>
        </w:rPr>
        <w:t xml:space="preserve">judged to be </w:t>
      </w:r>
      <w:r w:rsidR="0090594F">
        <w:rPr>
          <w:rFonts w:cstheme="minorHAnsi"/>
        </w:rPr>
        <w:t>a result of</w:t>
      </w:r>
      <w:r w:rsidR="00235E9A">
        <w:rPr>
          <w:rFonts w:cstheme="minorHAnsi"/>
        </w:rPr>
        <w:t xml:space="preserve"> COVID-19.</w:t>
      </w:r>
    </w:p>
    <w:p w14:paraId="3978FD15" w14:textId="342A8B91" w:rsidR="00E11EA7" w:rsidRDefault="003A4336" w:rsidP="00234BF7">
      <w:pPr>
        <w:autoSpaceDE w:val="0"/>
        <w:autoSpaceDN w:val="0"/>
        <w:adjustRightInd w:val="0"/>
        <w:spacing w:after="240" w:line="480" w:lineRule="auto"/>
        <w:rPr>
          <w:rFonts w:cstheme="minorHAnsi"/>
        </w:rPr>
      </w:pPr>
      <w:r>
        <w:rPr>
          <w:rFonts w:cstheme="minorHAnsi"/>
        </w:rPr>
        <w:t xml:space="preserve">How do these risks compare with those in the </w:t>
      </w:r>
      <w:r w:rsidR="009E2312">
        <w:t>zidovudine</w:t>
      </w:r>
      <w:r>
        <w:rPr>
          <w:rFonts w:cstheme="minorHAnsi"/>
        </w:rPr>
        <w:t xml:space="preserve"> and </w:t>
      </w:r>
      <w:r w:rsidR="0090594F">
        <w:rPr>
          <w:rFonts w:cstheme="minorHAnsi"/>
        </w:rPr>
        <w:t>Surfaxin</w:t>
      </w:r>
      <w:r>
        <w:rPr>
          <w:rFonts w:cstheme="minorHAnsi"/>
        </w:rPr>
        <w:t xml:space="preserve"> trials? In the </w:t>
      </w:r>
      <w:r w:rsidR="007B5F1C">
        <w:rPr>
          <w:rFonts w:cstheme="minorHAnsi"/>
        </w:rPr>
        <w:t>original</w:t>
      </w:r>
      <w:r>
        <w:rPr>
          <w:rFonts w:cstheme="minorHAnsi"/>
        </w:rPr>
        <w:t xml:space="preserve"> </w:t>
      </w:r>
      <w:r w:rsidR="00675ED2">
        <w:rPr>
          <w:rFonts w:cstheme="minorHAnsi"/>
        </w:rPr>
        <w:t>zidovudine</w:t>
      </w:r>
      <w:r>
        <w:rPr>
          <w:rFonts w:cstheme="minorHAnsi"/>
        </w:rPr>
        <w:t xml:space="preserve"> study, the perinatal infection rates in the treated and placebo groups were 8.3% and 25.5%, respectively, meaning that a</w:t>
      </w:r>
      <w:r w:rsidR="0005171B">
        <w:rPr>
          <w:rFonts w:cstheme="minorHAnsi"/>
        </w:rPr>
        <w:t xml:space="preserve"> newborn</w:t>
      </w:r>
      <w:r>
        <w:rPr>
          <w:rFonts w:cstheme="minorHAnsi"/>
        </w:rPr>
        <w:t xml:space="preserve"> infant’s life was saved one in 5.8 times</w:t>
      </w:r>
      <w:r w:rsidR="00B677C4">
        <w:rPr>
          <w:rFonts w:cstheme="minorHAnsi"/>
        </w:rPr>
        <w:t xml:space="preserve"> ([1/(25.5-8.3)]*100)</w:t>
      </w:r>
      <w:r>
        <w:rPr>
          <w:rFonts w:cstheme="minorHAnsi"/>
        </w:rPr>
        <w:t xml:space="preserve"> the regimen was administered.</w:t>
      </w:r>
      <w:r>
        <w:rPr>
          <w:rStyle w:val="EndnoteReference"/>
          <w:rFonts w:cstheme="minorHAnsi"/>
        </w:rPr>
        <w:endnoteReference w:id="12"/>
      </w:r>
      <w:r w:rsidR="00DD662F">
        <w:rPr>
          <w:rFonts w:cstheme="minorHAnsi"/>
        </w:rPr>
        <w:t xml:space="preserve"> </w:t>
      </w:r>
      <w:r w:rsidR="0005171B">
        <w:rPr>
          <w:rFonts w:cstheme="minorHAnsi"/>
        </w:rPr>
        <w:t xml:space="preserve">This </w:t>
      </w:r>
      <w:r w:rsidR="0005171B">
        <w:t xml:space="preserve">efficacy and cost-effectiveness is far </w:t>
      </w:r>
      <w:r w:rsidR="0090594F">
        <w:t>greater than</w:t>
      </w:r>
      <w:r w:rsidR="0005171B">
        <w:t xml:space="preserve"> the vast majority of interventions in modern medicine. </w:t>
      </w:r>
      <w:r w:rsidR="00DD662F">
        <w:rPr>
          <w:rFonts w:cstheme="minorHAnsi"/>
        </w:rPr>
        <w:t xml:space="preserve">In the </w:t>
      </w:r>
      <w:r w:rsidR="00A826D1">
        <w:rPr>
          <w:rFonts w:cstheme="minorHAnsi"/>
        </w:rPr>
        <w:t>Surfaxin</w:t>
      </w:r>
      <w:r w:rsidR="00DD662F">
        <w:rPr>
          <w:rFonts w:cstheme="minorHAnsi"/>
        </w:rPr>
        <w:t xml:space="preserve"> trial, it was estimated that for every 19.1 </w:t>
      </w:r>
      <w:r w:rsidR="00602DDA">
        <w:rPr>
          <w:rFonts w:cstheme="minorHAnsi"/>
        </w:rPr>
        <w:t xml:space="preserve">times </w:t>
      </w:r>
      <w:r w:rsidR="00A826D1">
        <w:rPr>
          <w:rFonts w:cstheme="minorHAnsi"/>
        </w:rPr>
        <w:t xml:space="preserve">an effective </w:t>
      </w:r>
      <w:r w:rsidR="0090594F">
        <w:rPr>
          <w:rFonts w:cstheme="minorHAnsi"/>
        </w:rPr>
        <w:t xml:space="preserve">comparator surfactant </w:t>
      </w:r>
      <w:r w:rsidR="00602DDA">
        <w:rPr>
          <w:rFonts w:cstheme="minorHAnsi"/>
        </w:rPr>
        <w:t xml:space="preserve">was </w:t>
      </w:r>
      <w:r w:rsidR="0090594F">
        <w:rPr>
          <w:rFonts w:cstheme="minorHAnsi"/>
        </w:rPr>
        <w:t>wit</w:t>
      </w:r>
      <w:r w:rsidR="00B07336">
        <w:rPr>
          <w:rFonts w:cstheme="minorHAnsi"/>
        </w:rPr>
        <w:t>h</w:t>
      </w:r>
      <w:r w:rsidR="0090594F">
        <w:rPr>
          <w:rFonts w:cstheme="minorHAnsi"/>
        </w:rPr>
        <w:t xml:space="preserve">held </w:t>
      </w:r>
      <w:r w:rsidR="00602DDA">
        <w:rPr>
          <w:rFonts w:cstheme="minorHAnsi"/>
        </w:rPr>
        <w:t xml:space="preserve">and a </w:t>
      </w:r>
      <w:r w:rsidR="0090594F">
        <w:rPr>
          <w:rFonts w:cstheme="minorHAnsi"/>
        </w:rPr>
        <w:t>placebo</w:t>
      </w:r>
      <w:r w:rsidR="00602DDA">
        <w:rPr>
          <w:rFonts w:cstheme="minorHAnsi"/>
        </w:rPr>
        <w:t xml:space="preserve"> administered instead</w:t>
      </w:r>
      <w:r w:rsidR="00DD662F">
        <w:rPr>
          <w:rFonts w:cstheme="minorHAnsi"/>
        </w:rPr>
        <w:t xml:space="preserve">, the life of </w:t>
      </w:r>
      <w:r w:rsidR="007B5F1C">
        <w:rPr>
          <w:rFonts w:cstheme="minorHAnsi"/>
        </w:rPr>
        <w:t>one</w:t>
      </w:r>
      <w:r w:rsidR="00DD662F">
        <w:rPr>
          <w:rFonts w:cstheme="minorHAnsi"/>
        </w:rPr>
        <w:t xml:space="preserve"> neonate would be </w:t>
      </w:r>
      <w:r w:rsidR="00602DDA">
        <w:rPr>
          <w:rFonts w:cstheme="minorHAnsi"/>
        </w:rPr>
        <w:t>lost.</w:t>
      </w:r>
      <w:r w:rsidR="00DD662F">
        <w:rPr>
          <w:rStyle w:val="EndnoteReference"/>
          <w:rFonts w:cstheme="minorHAnsi"/>
        </w:rPr>
        <w:endnoteReference w:id="13"/>
      </w:r>
      <w:r w:rsidR="00DD662F">
        <w:rPr>
          <w:rFonts w:cstheme="minorHAnsi"/>
        </w:rPr>
        <w:t xml:space="preserve"> </w:t>
      </w:r>
      <w:r w:rsidR="008369A6">
        <w:rPr>
          <w:rFonts w:cstheme="minorHAnsi"/>
        </w:rPr>
        <w:t xml:space="preserve">Clearly, while risk to subjects in the COVID-19 vaccine trials exists, it is considerably smaller than in the earlier trials. </w:t>
      </w:r>
    </w:p>
    <w:p w14:paraId="1571EF99" w14:textId="4945C9D3" w:rsidR="008369A6" w:rsidRPr="00FB0189" w:rsidRDefault="008369A6" w:rsidP="00234BF7">
      <w:pPr>
        <w:pStyle w:val="NormalWeb"/>
        <w:shd w:val="clear" w:color="auto" w:fill="FFFFFF"/>
        <w:spacing w:before="0" w:beforeAutospacing="0" w:after="240" w:afterAutospacing="0" w:line="480" w:lineRule="auto"/>
        <w:rPr>
          <w:rFonts w:asciiTheme="minorHAnsi" w:hAnsiTheme="minorHAnsi" w:cstheme="minorHAnsi"/>
          <w:b/>
          <w:bCs/>
          <w:sz w:val="22"/>
          <w:szCs w:val="22"/>
        </w:rPr>
      </w:pPr>
      <w:r w:rsidRPr="00FB0189">
        <w:rPr>
          <w:rFonts w:asciiTheme="minorHAnsi" w:hAnsiTheme="minorHAnsi" w:cstheme="minorHAnsi"/>
          <w:b/>
          <w:bCs/>
          <w:sz w:val="22"/>
          <w:szCs w:val="22"/>
        </w:rPr>
        <w:t xml:space="preserve">Availability of Alternative </w:t>
      </w:r>
      <w:r w:rsidR="00667C57" w:rsidRPr="00FB0189">
        <w:rPr>
          <w:rFonts w:asciiTheme="minorHAnsi" w:hAnsiTheme="minorHAnsi" w:cstheme="minorHAnsi"/>
          <w:b/>
          <w:bCs/>
          <w:sz w:val="22"/>
          <w:szCs w:val="22"/>
        </w:rPr>
        <w:t>Study</w:t>
      </w:r>
      <w:r w:rsidRPr="00FB0189">
        <w:rPr>
          <w:rFonts w:asciiTheme="minorHAnsi" w:hAnsiTheme="minorHAnsi" w:cstheme="minorHAnsi"/>
          <w:b/>
          <w:bCs/>
          <w:sz w:val="22"/>
          <w:szCs w:val="22"/>
        </w:rPr>
        <w:t xml:space="preserve"> Designs</w:t>
      </w:r>
    </w:p>
    <w:p w14:paraId="2D932FC0" w14:textId="77777777" w:rsidR="00602DDA" w:rsidRDefault="001C2ECC" w:rsidP="00234BF7">
      <w:pPr>
        <w:autoSpaceDE w:val="0"/>
        <w:autoSpaceDN w:val="0"/>
        <w:adjustRightInd w:val="0"/>
        <w:spacing w:after="240" w:line="480" w:lineRule="auto"/>
        <w:rPr>
          <w:rFonts w:cstheme="minorHAnsi"/>
        </w:rPr>
      </w:pPr>
      <w:r>
        <w:rPr>
          <w:rFonts w:cstheme="minorHAnsi"/>
        </w:rPr>
        <w:t xml:space="preserve">In the ethical analysis of any clinical trial design, it is critical to consider alternative designs. Such designs must be able to answer </w:t>
      </w:r>
      <w:r w:rsidR="008C2B9F">
        <w:rPr>
          <w:rFonts w:cstheme="minorHAnsi"/>
        </w:rPr>
        <w:t>a public health-</w:t>
      </w:r>
      <w:r>
        <w:rPr>
          <w:rFonts w:cstheme="minorHAnsi"/>
        </w:rPr>
        <w:t xml:space="preserve">relevant research question and also be feasible in the context in which the trial is to be conducted. </w:t>
      </w:r>
      <w:r w:rsidR="00675ED2">
        <w:rPr>
          <w:rFonts w:cstheme="minorHAnsi"/>
        </w:rPr>
        <w:t xml:space="preserve">To the extent that these conditions are not met, the argument for a placebo-controlled trial is strengthened. </w:t>
      </w:r>
    </w:p>
    <w:p w14:paraId="6585B163" w14:textId="03198644" w:rsidR="00274268" w:rsidRDefault="001C2ECC" w:rsidP="00234BF7">
      <w:pPr>
        <w:autoSpaceDE w:val="0"/>
        <w:autoSpaceDN w:val="0"/>
        <w:adjustRightInd w:val="0"/>
        <w:spacing w:after="240" w:line="480" w:lineRule="auto"/>
      </w:pPr>
      <w:r>
        <w:rPr>
          <w:rFonts w:cstheme="minorHAnsi"/>
        </w:rPr>
        <w:t xml:space="preserve">In the </w:t>
      </w:r>
      <w:r w:rsidR="00364DF9">
        <w:rPr>
          <w:rFonts w:cstheme="minorHAnsi"/>
        </w:rPr>
        <w:t>zidovudine</w:t>
      </w:r>
      <w:r>
        <w:rPr>
          <w:rFonts w:cstheme="minorHAnsi"/>
        </w:rPr>
        <w:t xml:space="preserve"> trials, an alternative design was a non-inferiority trial in which, instead of seeking to demonstrate superiority to a placebo, the investigators </w:t>
      </w:r>
      <w:r w:rsidR="00A826D1">
        <w:rPr>
          <w:rFonts w:cstheme="minorHAnsi"/>
        </w:rPr>
        <w:t>attempt</w:t>
      </w:r>
      <w:r>
        <w:rPr>
          <w:rFonts w:cstheme="minorHAnsi"/>
        </w:rPr>
        <w:t xml:space="preserve"> to establish that a new candidate </w:t>
      </w:r>
      <w:r w:rsidR="00602DDA">
        <w:rPr>
          <w:rFonts w:cstheme="minorHAnsi"/>
        </w:rPr>
        <w:lastRenderedPageBreak/>
        <w:t>treatment</w:t>
      </w:r>
      <w:r>
        <w:rPr>
          <w:rFonts w:cstheme="minorHAnsi"/>
        </w:rPr>
        <w:t xml:space="preserve"> is no more than a preset</w:t>
      </w:r>
      <w:r w:rsidR="00364DF9">
        <w:rPr>
          <w:rFonts w:cstheme="minorHAnsi"/>
        </w:rPr>
        <w:t xml:space="preserve"> percentage (i.e., </w:t>
      </w:r>
      <w:r w:rsidR="009C5BE8">
        <w:rPr>
          <w:rFonts w:cstheme="minorHAnsi"/>
        </w:rPr>
        <w:t xml:space="preserve">“noninferiority </w:t>
      </w:r>
      <w:r>
        <w:rPr>
          <w:rFonts w:cstheme="minorHAnsi"/>
        </w:rPr>
        <w:t>margin</w:t>
      </w:r>
      <w:r w:rsidR="009C5BE8">
        <w:rPr>
          <w:rFonts w:cstheme="minorHAnsi"/>
        </w:rPr>
        <w:t>”</w:t>
      </w:r>
      <w:r w:rsidR="00364DF9">
        <w:rPr>
          <w:rFonts w:cstheme="minorHAnsi"/>
        </w:rPr>
        <w:t>)</w:t>
      </w:r>
      <w:r>
        <w:rPr>
          <w:rFonts w:cstheme="minorHAnsi"/>
        </w:rPr>
        <w:t xml:space="preserve"> inferior to the accepted therapy. In</w:t>
      </w:r>
      <w:r w:rsidR="005D74B0">
        <w:rPr>
          <w:rFonts w:cstheme="minorHAnsi"/>
        </w:rPr>
        <w:t xml:space="preserve">deed, in </w:t>
      </w:r>
      <w:r>
        <w:rPr>
          <w:rFonts w:cstheme="minorHAnsi"/>
        </w:rPr>
        <w:t xml:space="preserve">the </w:t>
      </w:r>
      <w:r w:rsidR="00364DF9">
        <w:t>zidovudine</w:t>
      </w:r>
      <w:r>
        <w:rPr>
          <w:rFonts w:cstheme="minorHAnsi"/>
        </w:rPr>
        <w:t xml:space="preserve"> trials</w:t>
      </w:r>
      <w:r>
        <w:t>, one National Institutes of Health-funded study in Thailand compared three simpler zidovudine regimens to the full regimen, without resorting to a placebo.</w:t>
      </w:r>
      <w:r w:rsidR="004F499F">
        <w:rPr>
          <w:rStyle w:val="EndnoteReference"/>
        </w:rPr>
        <w:endnoteReference w:id="14"/>
      </w:r>
      <w:r w:rsidR="00274268">
        <w:t xml:space="preserve"> Under realistic assumptions (including that</w:t>
      </w:r>
      <w:r w:rsidR="008C2B9F">
        <w:t>, to demonstrate non-inferiority,</w:t>
      </w:r>
      <w:r w:rsidR="00274268">
        <w:t xml:space="preserve"> the new therapy could permit perinatal transmission in no more than 6% more pregnancies than the standard regimen), a non-inferiority study would require 24% more patients than a placebo-controlled one, a modest difference and one likely to be insignificant in the context of the delivery of antiviral drugs in developing countries at the time.</w:t>
      </w:r>
      <w:r w:rsidR="00AE4FD5">
        <w:rPr>
          <w:vertAlign w:val="superscript"/>
        </w:rPr>
        <w:t>5</w:t>
      </w:r>
      <w:r w:rsidR="00A826D1">
        <w:t xml:space="preserve"> </w:t>
      </w:r>
    </w:p>
    <w:p w14:paraId="20632B56" w14:textId="260E854A" w:rsidR="00A826D1" w:rsidRPr="00AE4FD5" w:rsidRDefault="00A826D1" w:rsidP="00234BF7">
      <w:pPr>
        <w:autoSpaceDE w:val="0"/>
        <w:autoSpaceDN w:val="0"/>
        <w:adjustRightInd w:val="0"/>
        <w:spacing w:after="240" w:line="480" w:lineRule="auto"/>
        <w:rPr>
          <w:vertAlign w:val="superscript"/>
        </w:rPr>
      </w:pPr>
      <w:r>
        <w:t xml:space="preserve">The Surfaxin </w:t>
      </w:r>
      <w:r w:rsidR="00602DDA">
        <w:t>predicament suggested</w:t>
      </w:r>
      <w:r>
        <w:t xml:space="preserve"> two alternative designs</w:t>
      </w:r>
      <w:r w:rsidR="00733850">
        <w:t xml:space="preserve"> to a placebo-controlled trial</w:t>
      </w:r>
      <w:r>
        <w:t>. One option was a non-inferiority study against an approved surfactant; in fact, the sponsor</w:t>
      </w:r>
      <w:r w:rsidR="009C5BE8">
        <w:t xml:space="preserve"> planned to conduct </w:t>
      </w:r>
      <w:r>
        <w:t xml:space="preserve">just such a study in Europe. Alternatively, the company could have undertaken a superiority study which would have compared the efficacies of Surfaxin and an approved surfactant head-to-head to determine which was </w:t>
      </w:r>
      <w:r w:rsidR="00733850">
        <w:t>more effective</w:t>
      </w:r>
      <w:r>
        <w:t>. But the Food and Drug Administration explained that “</w:t>
      </w:r>
      <w:r w:rsidR="00733850">
        <w:t xml:space="preserve">a superiority trial </w:t>
      </w:r>
      <w:r w:rsidR="00364DF9">
        <w:t xml:space="preserve">[of Surfaxin] </w:t>
      </w:r>
      <w:r w:rsidR="00733850">
        <w:t>versus an approved therapy presents a clinical efficacy hurdle that the sponsor deems too high for this drug.”</w:t>
      </w:r>
      <w:r w:rsidR="00AE4FD5">
        <w:rPr>
          <w:vertAlign w:val="superscript"/>
        </w:rPr>
        <w:t>13</w:t>
      </w:r>
    </w:p>
    <w:p w14:paraId="191E7DB4" w14:textId="1D4A4621" w:rsidR="00733850" w:rsidRDefault="005D74B0" w:rsidP="00234BF7">
      <w:pPr>
        <w:autoSpaceDE w:val="0"/>
        <w:autoSpaceDN w:val="0"/>
        <w:adjustRightInd w:val="0"/>
        <w:spacing w:after="240" w:line="480" w:lineRule="auto"/>
      </w:pPr>
      <w:r>
        <w:t xml:space="preserve">For COVID-19 vaccine trials, there may, in theory at least, be still more alternatives. </w:t>
      </w:r>
      <w:r w:rsidR="00602DDA">
        <w:t xml:space="preserve">First, </w:t>
      </w:r>
      <w:r>
        <w:t>a new candidate vaccine could be compared to an authorized product to establish which is superior. This design</w:t>
      </w:r>
      <w:r w:rsidR="007E6BBE">
        <w:t>, while providing clinically useful information,</w:t>
      </w:r>
      <w:r>
        <w:t xml:space="preserve"> is impractical</w:t>
      </w:r>
      <w:r w:rsidR="009C5BE8">
        <w:t xml:space="preserve"> if the comparator is one of th</w:t>
      </w:r>
      <w:r w:rsidR="00602DDA">
        <w:t xml:space="preserve">e </w:t>
      </w:r>
      <w:r w:rsidR="009C5BE8">
        <w:t xml:space="preserve">vaccines currently authorized in the United States, as </w:t>
      </w:r>
      <w:r>
        <w:t xml:space="preserve">the high efficacy rates (about 95%) </w:t>
      </w:r>
      <w:r w:rsidR="009C5BE8">
        <w:t>lead to formidable</w:t>
      </w:r>
      <w:r w:rsidR="007E6BBE">
        <w:t xml:space="preserve"> sample sizes. </w:t>
      </w:r>
      <w:r w:rsidR="00602DDA">
        <w:t>And sample sizes surely matter in the context of an evolving pandemic taking more lives per unit time than perinatal HIV transmission in the 1990s, for example.</w:t>
      </w:r>
    </w:p>
    <w:p w14:paraId="0A8E9779" w14:textId="056AB165" w:rsidR="008918E0" w:rsidRDefault="008918E0" w:rsidP="00234BF7">
      <w:pPr>
        <w:autoSpaceDE w:val="0"/>
        <w:autoSpaceDN w:val="0"/>
        <w:adjustRightInd w:val="0"/>
        <w:spacing w:after="240" w:line="480" w:lineRule="auto"/>
      </w:pPr>
      <w:r>
        <w:t xml:space="preserve">A </w:t>
      </w:r>
      <w:r w:rsidR="00602DDA">
        <w:t>second</w:t>
      </w:r>
      <w:r>
        <w:t xml:space="preserve"> possibility is a non-inferiority trial, as discussed </w:t>
      </w:r>
      <w:r w:rsidR="009C5BE8">
        <w:t>above for</w:t>
      </w:r>
      <w:r>
        <w:t xml:space="preserve"> the </w:t>
      </w:r>
      <w:r w:rsidR="00364DF9">
        <w:t xml:space="preserve">zidovudine </w:t>
      </w:r>
      <w:r>
        <w:t>and Surfaxin trials. FDA</w:t>
      </w:r>
      <w:r w:rsidR="00C7559E">
        <w:rPr>
          <w:rStyle w:val="EndnoteReference"/>
        </w:rPr>
        <w:endnoteReference w:id="15"/>
      </w:r>
      <w:r>
        <w:t xml:space="preserve"> </w:t>
      </w:r>
      <w:r w:rsidR="00C7559E">
        <w:t xml:space="preserve">and </w:t>
      </w:r>
      <w:r w:rsidR="00364DF9">
        <w:t>WHO</w:t>
      </w:r>
      <w:r w:rsidR="00C7559E">
        <w:rPr>
          <w:rStyle w:val="EndnoteReference"/>
        </w:rPr>
        <w:endnoteReference w:id="16"/>
      </w:r>
      <w:r w:rsidR="00C7559E">
        <w:t xml:space="preserve"> </w:t>
      </w:r>
      <w:r>
        <w:t xml:space="preserve">guidance on criteria for </w:t>
      </w:r>
      <w:r w:rsidR="00C7559E">
        <w:t>success for</w:t>
      </w:r>
      <w:r>
        <w:t xml:space="preserve"> a COVID-19 vaccine require that the candidate</w:t>
      </w:r>
      <w:r w:rsidR="008C2B9F">
        <w:t xml:space="preserve"> </w:t>
      </w:r>
      <w:r w:rsidR="008C2B9F">
        <w:lastRenderedPageBreak/>
        <w:t>vaccine</w:t>
      </w:r>
      <w:r>
        <w:t xml:space="preserve"> demonstrate at least 50% efficacy with a lower bound of 30%</w:t>
      </w:r>
      <w:r w:rsidR="008C2B9F">
        <w:t xml:space="preserve"> efficacy</w:t>
      </w:r>
      <w:r>
        <w:t xml:space="preserve">. </w:t>
      </w:r>
      <w:r w:rsidR="00C7559E">
        <w:t xml:space="preserve">These guidances, issued in June and November 2020, respectively, further stipulated that </w:t>
      </w:r>
      <w:r w:rsidR="009C5BE8">
        <w:t>noninferiority margin</w:t>
      </w:r>
      <w:r w:rsidR="008C2B9F">
        <w:t>s</w:t>
      </w:r>
      <w:r w:rsidR="009C5BE8">
        <w:t xml:space="preserve"> be no more</w:t>
      </w:r>
      <w:r w:rsidR="00C7559E">
        <w:t xml:space="preserve"> than 10%. But </w:t>
      </w:r>
      <w:r>
        <w:t xml:space="preserve">few </w:t>
      </w:r>
      <w:r w:rsidR="00364DF9">
        <w:t>anticipated</w:t>
      </w:r>
      <w:r>
        <w:t xml:space="preserve"> the 95% efficacy demonstrated by the first two authorized U.S. vaccines.</w:t>
      </w:r>
      <w:r w:rsidR="00CA49DF">
        <w:rPr>
          <w:vertAlign w:val="superscript"/>
        </w:rPr>
        <w:t>2</w:t>
      </w:r>
      <w:r w:rsidR="00026F8D">
        <w:rPr>
          <w:vertAlign w:val="superscript"/>
        </w:rPr>
        <w:t>,</w:t>
      </w:r>
      <w:r w:rsidR="00CA49DF">
        <w:rPr>
          <w:vertAlign w:val="superscript"/>
        </w:rPr>
        <w:t>3</w:t>
      </w:r>
      <w:r>
        <w:t xml:space="preserve"> </w:t>
      </w:r>
      <w:r w:rsidR="00B75B6A">
        <w:t xml:space="preserve">All things being equal, these high efficacy rates tend to drive sample size requirements higher. However, a compelling case can be made that non-inferiority margins considerably wider than 10% </w:t>
      </w:r>
      <w:r w:rsidR="00026F8D">
        <w:t>w</w:t>
      </w:r>
      <w:r w:rsidR="00B75B6A">
        <w:t>ould be acceptable</w:t>
      </w:r>
      <w:r w:rsidR="00026F8D">
        <w:t xml:space="preserve">, particularly if the vaccine has desirable characteristics such as a better safety profile, a single-shot </w:t>
      </w:r>
      <w:r w:rsidR="0099500D">
        <w:t xml:space="preserve">dosing </w:t>
      </w:r>
      <w:r w:rsidR="00026F8D">
        <w:t>regimen</w:t>
      </w:r>
      <w:r w:rsidR="008C2B9F">
        <w:t>,</w:t>
      </w:r>
      <w:r w:rsidR="00026F8D">
        <w:t xml:space="preserve"> or less onerous storage requirements. Indeed, the Oxford/AstraZeneca vaccine, with an overall efficacy of 70.4% (95% CI: 54.8-80.6%)</w:t>
      </w:r>
      <w:r w:rsidR="001453D5">
        <w:rPr>
          <w:rStyle w:val="EndnoteReference"/>
        </w:rPr>
        <w:endnoteReference w:id="17"/>
      </w:r>
      <w:r w:rsidR="00026F8D">
        <w:t xml:space="preserve"> has been authorized in about two dozen countries</w:t>
      </w:r>
      <w:r w:rsidR="0099500D">
        <w:t xml:space="preserve"> for some of those reasons</w:t>
      </w:r>
      <w:r w:rsidR="00026F8D">
        <w:t>.</w:t>
      </w:r>
      <w:r w:rsidR="001453D5">
        <w:t xml:space="preserve"> If the Pfizer/BioNTech or Moderna vaccines were used as the active control, a non-inferiority margin as wide as 30% or more could be contemplated</w:t>
      </w:r>
      <w:r w:rsidR="0099500D">
        <w:t xml:space="preserve"> (the vaccine would still be 65% effective)</w:t>
      </w:r>
      <w:r w:rsidR="001453D5">
        <w:t xml:space="preserve">. </w:t>
      </w:r>
      <w:r w:rsidR="00A770C1">
        <w:t>One assessment of a range of scenarios found that a non-inferiority trial may require two to three times as many person-years of follow-up</w:t>
      </w:r>
      <w:r w:rsidR="00602DDA" w:rsidRPr="00602DDA">
        <w:t xml:space="preserve"> </w:t>
      </w:r>
      <w:r w:rsidR="00602DDA">
        <w:t>as a placebo-controlled trial</w:t>
      </w:r>
      <w:r w:rsidR="00A770C1">
        <w:t>, which could be achieved by a combination of larger sample sizes and longer follow-up.</w:t>
      </w:r>
      <w:r w:rsidR="00A770C1">
        <w:rPr>
          <w:rStyle w:val="EndnoteReference"/>
        </w:rPr>
        <w:endnoteReference w:id="18"/>
      </w:r>
      <w:r w:rsidR="00B75B6A">
        <w:t xml:space="preserve"> </w:t>
      </w:r>
      <w:r w:rsidR="00A770C1">
        <w:t>Such a trial “may enable reliable randomized evaluations of efficacy and safety of experimental COVID-19 vaccines,” the authors concluded.</w:t>
      </w:r>
    </w:p>
    <w:p w14:paraId="1ABC94C5" w14:textId="4DFDD111" w:rsidR="00FB0189" w:rsidRDefault="00FB0189" w:rsidP="00234BF7">
      <w:pPr>
        <w:autoSpaceDE w:val="0"/>
        <w:autoSpaceDN w:val="0"/>
        <w:adjustRightInd w:val="0"/>
        <w:spacing w:after="240" w:line="480" w:lineRule="auto"/>
      </w:pPr>
      <w:r>
        <w:t>A third option would be a challenge trial, in which an infectious dose of SARS-CoV-2 is administered intranasally. This design raises a slew of obvious ethical concerns of its own,</w:t>
      </w:r>
      <w:r>
        <w:rPr>
          <w:rStyle w:val="EndnoteReference"/>
        </w:rPr>
        <w:endnoteReference w:id="19"/>
      </w:r>
      <w:r>
        <w:t xml:space="preserve"> the consideration of which is beyond the scope of this article. The appeal of such a design is that the investigators do not have to wait for subjects to become infected in their daily lives (a rare event from an epidemiological perspective), greatly reducing sample size and, potentially, study duration. Assuming that a consistently infectious dose can be identified, such a trial could be conducted with or without a placebo control. A study to identify the infectious inoculum has recently been approved in Britain.</w:t>
      </w:r>
      <w:r>
        <w:rPr>
          <w:rStyle w:val="EndnoteReference"/>
        </w:rPr>
        <w:endnoteReference w:id="20"/>
      </w:r>
      <w:r>
        <w:t xml:space="preserve"> </w:t>
      </w:r>
    </w:p>
    <w:p w14:paraId="504C2B92" w14:textId="60FB10B3" w:rsidR="0099500D" w:rsidRDefault="0058576B" w:rsidP="00234BF7">
      <w:pPr>
        <w:autoSpaceDE w:val="0"/>
        <w:autoSpaceDN w:val="0"/>
        <w:adjustRightInd w:val="0"/>
        <w:spacing w:after="240" w:line="480" w:lineRule="auto"/>
      </w:pPr>
      <w:r>
        <w:lastRenderedPageBreak/>
        <w:t xml:space="preserve">The fourth option is theoretical at present but may loom large in the future. If researchers can identify “correlates of immunity” </w:t>
      </w:r>
      <w:r w:rsidR="00F64B89" w:rsidRPr="0012506C">
        <w:rPr>
          <w:color w:val="000000" w:themeColor="text1"/>
          <w:shd w:val="clear" w:color="auto" w:fill="FFFFFF"/>
        </w:rPr>
        <w:t>—</w:t>
      </w:r>
      <w:r>
        <w:t xml:space="preserve"> markers of a</w:t>
      </w:r>
      <w:r w:rsidR="002271A9">
        <w:t xml:space="preserve"> protective immune response such as neutralizing antibodies </w:t>
      </w:r>
      <w:r w:rsidR="00F64B89" w:rsidRPr="0012506C">
        <w:rPr>
          <w:color w:val="000000" w:themeColor="text1"/>
          <w:shd w:val="clear" w:color="auto" w:fill="FFFFFF"/>
        </w:rPr>
        <w:t>—</w:t>
      </w:r>
      <w:r w:rsidR="002271A9">
        <w:t xml:space="preserve"> these</w:t>
      </w:r>
      <w:r w:rsidR="0099500D">
        <w:t xml:space="preserve"> correlates</w:t>
      </w:r>
      <w:r w:rsidR="002271A9">
        <w:t>, rather than</w:t>
      </w:r>
      <w:r w:rsidR="008C2B9F">
        <w:t xml:space="preserve"> incident cases</w:t>
      </w:r>
      <w:r w:rsidR="0099500D">
        <w:t xml:space="preserve"> themselves</w:t>
      </w:r>
      <w:r w:rsidR="002271A9">
        <w:t>, could become the measures of vaccine effectiveness. Such trials would be markedly reduced in size and could even be conducted without a comparator in some instances.</w:t>
      </w:r>
      <w:r w:rsidR="00930A62">
        <w:t xml:space="preserve"> To date, no such correlates have been confirmed.</w:t>
      </w:r>
    </w:p>
    <w:p w14:paraId="21CDA05F" w14:textId="16803A60" w:rsidR="00930A62" w:rsidRDefault="00930A62" w:rsidP="00234BF7">
      <w:pPr>
        <w:autoSpaceDE w:val="0"/>
        <w:autoSpaceDN w:val="0"/>
        <w:adjustRightInd w:val="0"/>
        <w:spacing w:after="240" w:line="480" w:lineRule="auto"/>
      </w:pPr>
      <w:r>
        <w:t>It is noteworthy that in general there is no particular reason studies of these designs c</w:t>
      </w:r>
      <w:r w:rsidR="001A5B4C">
        <w:t>ould not</w:t>
      </w:r>
      <w:r>
        <w:t xml:space="preserve"> be conducted in developed countries.</w:t>
      </w:r>
    </w:p>
    <w:p w14:paraId="2DCC7914" w14:textId="153070CF" w:rsidR="00675ED2" w:rsidRPr="00FB0189" w:rsidRDefault="00C4627F" w:rsidP="00234BF7">
      <w:pPr>
        <w:autoSpaceDE w:val="0"/>
        <w:autoSpaceDN w:val="0"/>
        <w:adjustRightInd w:val="0"/>
        <w:spacing w:after="240" w:line="480" w:lineRule="auto"/>
        <w:rPr>
          <w:b/>
          <w:bCs/>
        </w:rPr>
      </w:pPr>
      <w:r w:rsidRPr="00FB0189">
        <w:rPr>
          <w:b/>
          <w:bCs/>
        </w:rPr>
        <w:t>Reconsidering</w:t>
      </w:r>
      <w:r w:rsidR="00B368B3" w:rsidRPr="00FB0189">
        <w:rPr>
          <w:b/>
          <w:bCs/>
        </w:rPr>
        <w:t xml:space="preserve"> Product </w:t>
      </w:r>
      <w:r w:rsidRPr="00FB0189">
        <w:rPr>
          <w:b/>
          <w:bCs/>
        </w:rPr>
        <w:t>Availability</w:t>
      </w:r>
    </w:p>
    <w:p w14:paraId="6BF8B1CA" w14:textId="39CA864B" w:rsidR="00C7297B" w:rsidRDefault="00C4627F" w:rsidP="00234BF7">
      <w:pPr>
        <w:autoSpaceDE w:val="0"/>
        <w:autoSpaceDN w:val="0"/>
        <w:adjustRightInd w:val="0"/>
        <w:spacing w:after="240" w:line="480" w:lineRule="auto"/>
        <w:rPr>
          <w:rFonts w:cstheme="minorHAnsi"/>
        </w:rPr>
      </w:pPr>
      <w:r>
        <w:t xml:space="preserve">The assessment of product availability in the context of the </w:t>
      </w:r>
      <w:r w:rsidR="00364DF9">
        <w:t>zidovudine</w:t>
      </w:r>
      <w:r>
        <w:t xml:space="preserve"> and Surfaxin trials was relatively straightforward. Most observers agreed that the lack of availability of the products was the result of a set of social and economic circumstances that long predated the trials. </w:t>
      </w:r>
      <w:r w:rsidR="000111DB">
        <w:t>It was over t</w:t>
      </w:r>
      <w:r>
        <w:t>he</w:t>
      </w:r>
      <w:r w:rsidR="00C4767E">
        <w:t xml:space="preserve"> ethical</w:t>
      </w:r>
      <w:r>
        <w:t xml:space="preserve"> implications of </w:t>
      </w:r>
      <w:r w:rsidR="00C4767E">
        <w:t>these circumstances</w:t>
      </w:r>
      <w:r>
        <w:t xml:space="preserve"> </w:t>
      </w:r>
      <w:r w:rsidR="000111DB">
        <w:t>that people parted ways</w:t>
      </w:r>
      <w:r>
        <w:t xml:space="preserve">. </w:t>
      </w:r>
      <w:r w:rsidR="00C7297B">
        <w:t>T</w:t>
      </w:r>
      <w:r w:rsidR="00C7297B">
        <w:rPr>
          <w:rFonts w:cstheme="minorHAnsi"/>
        </w:rPr>
        <w:t xml:space="preserve">he failure to administer zidovudine was often justified by reference to what was termed the “standard of care argument”: people in the countries where the trials were taking place, it was said, had no access to zidovudine in the general course of medical treatment and so withholding </w:t>
      </w:r>
      <w:r w:rsidR="00C4767E">
        <w:rPr>
          <w:rFonts w:cstheme="minorHAnsi"/>
        </w:rPr>
        <w:t>the drug</w:t>
      </w:r>
      <w:r w:rsidR="00C7297B">
        <w:rPr>
          <w:rFonts w:cstheme="minorHAnsi"/>
        </w:rPr>
        <w:t xml:space="preserve"> in clinical trials was justified. (It is worth noting that wealthy individuals in poorer countries undoubtedly did have access to the drug and that international activism in the years immediately following the trials led to a dramatic expansion in antiviral therapy in developing countries.) Tellingly, the WHO Ad Hoc Expert Group </w:t>
      </w:r>
      <w:r w:rsidR="00C4767E">
        <w:rPr>
          <w:rFonts w:cstheme="minorHAnsi"/>
        </w:rPr>
        <w:t xml:space="preserve">on COVID-19 vaccines </w:t>
      </w:r>
      <w:r w:rsidR="00C7297B">
        <w:rPr>
          <w:rFonts w:cstheme="minorHAnsi"/>
        </w:rPr>
        <w:t>also makes reference to the local standard of care. Others, including this author, argued that, notwithstanding any local conditions that may threaten safety or effectiveness, there can be only one standard of care: that proven to be safe and effective in appropriately conducted clinical studies. When a person fails to receive that intervention, it should not be sugarcoated with a term like “standard of care,” but should instead be recognized for what it is: substandard medical care, whatever the cause</w:t>
      </w:r>
      <w:r w:rsidR="00C97443">
        <w:rPr>
          <w:rFonts w:cstheme="minorHAnsi"/>
        </w:rPr>
        <w:t xml:space="preserve">, no </w:t>
      </w:r>
      <w:r w:rsidR="00C97443">
        <w:rPr>
          <w:rFonts w:cstheme="minorHAnsi"/>
        </w:rPr>
        <w:lastRenderedPageBreak/>
        <w:t>matter local clinicians’ good-faith efforts</w:t>
      </w:r>
      <w:r w:rsidR="00C7297B">
        <w:rPr>
          <w:rFonts w:cstheme="minorHAnsi"/>
        </w:rPr>
        <w:t>. Researchers with ready access to known effective medications had an obligation to provide them, we argued, particularly when lives were at risk</w:t>
      </w:r>
      <w:r w:rsidR="00B368B3">
        <w:rPr>
          <w:rFonts w:cstheme="minorHAnsi"/>
        </w:rPr>
        <w:t xml:space="preserve"> and alternative designs available</w:t>
      </w:r>
      <w:r w:rsidR="00C7297B">
        <w:rPr>
          <w:rFonts w:cstheme="minorHAnsi"/>
        </w:rPr>
        <w:t>.</w:t>
      </w:r>
    </w:p>
    <w:p w14:paraId="07425817" w14:textId="37FB4FC6" w:rsidR="00010F93" w:rsidRDefault="0071278D" w:rsidP="00234BF7">
      <w:pPr>
        <w:autoSpaceDE w:val="0"/>
        <w:autoSpaceDN w:val="0"/>
        <w:adjustRightInd w:val="0"/>
        <w:spacing w:after="240" w:line="480" w:lineRule="auto"/>
      </w:pPr>
      <w:r>
        <w:t xml:space="preserve">In retrospect, the </w:t>
      </w:r>
      <w:r w:rsidR="00364DF9">
        <w:t>zidovudine</w:t>
      </w:r>
      <w:r>
        <w:t xml:space="preserve"> and Surfaxin cases seem more straightforward. For</w:t>
      </w:r>
      <w:r w:rsidR="00283C2F">
        <w:t>,</w:t>
      </w:r>
      <w:r>
        <w:t xml:space="preserve"> with COVID-19 vaccines</w:t>
      </w:r>
      <w:r w:rsidR="002C238B">
        <w:t>,</w:t>
      </w:r>
      <w:r>
        <w:t xml:space="preserve"> the in</w:t>
      </w:r>
      <w:r w:rsidR="00283C2F">
        <w:t>evitable</w:t>
      </w:r>
      <w:r>
        <w:t xml:space="preserve"> shortages of vaccines associated with a newly authorized product for which demand is high are layered on top of longstanding disparities in which residents of developing world countries lack basic health care.</w:t>
      </w:r>
      <w:r w:rsidR="002C238B">
        <w:t xml:space="preserve"> Prioritizing </w:t>
      </w:r>
      <w:r w:rsidR="00283C2F">
        <w:t xml:space="preserve">scarce </w:t>
      </w:r>
      <w:r w:rsidR="002C238B">
        <w:t>vaccines for those in greatest need based on the assessments of public health officials is inherently ethical</w:t>
      </w:r>
      <w:r w:rsidR="00C97443">
        <w:t xml:space="preserve">. On a related topic, </w:t>
      </w:r>
      <w:r w:rsidR="00283C2F">
        <w:t>I</w:t>
      </w:r>
      <w:r w:rsidR="002C238B">
        <w:t xml:space="preserve"> have elsewhere argued that clinical researchers </w:t>
      </w:r>
      <w:r w:rsidR="00C4767E">
        <w:t xml:space="preserve">operating in a scenario where vaccine is initially in short supply, </w:t>
      </w:r>
      <w:r w:rsidR="002C238B">
        <w:t>may continue to follow subjects in blinded fashion even after any vaccine is authorized, as</w:t>
      </w:r>
      <w:r w:rsidR="00283C2F">
        <w:t xml:space="preserve"> long as the</w:t>
      </w:r>
      <w:r w:rsidR="002E298E">
        <w:t xml:space="preserve"> subjects</w:t>
      </w:r>
      <w:r w:rsidR="00283C2F">
        <w:t xml:space="preserve"> are not yet in a priority vaccination group.</w:t>
      </w:r>
      <w:r w:rsidR="002C238B">
        <w:rPr>
          <w:rStyle w:val="EndnoteReference"/>
        </w:rPr>
        <w:endnoteReference w:id="21"/>
      </w:r>
      <w:r w:rsidR="00283C2F">
        <w:t xml:space="preserve"> </w:t>
      </w:r>
      <w:r w:rsidR="002E298E">
        <w:t xml:space="preserve">(I suggested a blinded crossover design in which the placebo patients receive the vaccine and vice versa, but the blind is maintained.) </w:t>
      </w:r>
      <w:r w:rsidR="00283C2F">
        <w:t xml:space="preserve">But if the lack of availability of a vaccine is grounded more in the underlying economic predicament of developing countries than in scarcity based on the inability of manufacturers to satisfy demand for technical reasons, that is not ground for withholding a known-effective intervention. </w:t>
      </w:r>
      <w:r w:rsidR="00010F93">
        <w:t>Of course, d</w:t>
      </w:r>
      <w:r w:rsidR="00010F93">
        <w:rPr>
          <w:color w:val="000000" w:themeColor="text1"/>
          <w:shd w:val="clear" w:color="auto" w:fill="FFFFFF"/>
        </w:rPr>
        <w:t>isentangling technical from economic causes of shortages will be a challenge.</w:t>
      </w:r>
    </w:p>
    <w:p w14:paraId="1F428996" w14:textId="405448E4" w:rsidR="00283C2F" w:rsidRPr="00057BDD" w:rsidRDefault="001D55EA" w:rsidP="00234BF7">
      <w:pPr>
        <w:autoSpaceDE w:val="0"/>
        <w:autoSpaceDN w:val="0"/>
        <w:adjustRightInd w:val="0"/>
        <w:spacing w:after="240" w:line="480" w:lineRule="auto"/>
        <w:rPr>
          <w:rFonts w:cstheme="minorHAnsi"/>
          <w:color w:val="000000" w:themeColor="text1"/>
        </w:rPr>
      </w:pPr>
      <w:r>
        <w:t>L</w:t>
      </w:r>
      <w:r w:rsidR="00283C2F">
        <w:rPr>
          <w:rFonts w:cstheme="minorHAnsi"/>
        </w:rPr>
        <w:t xml:space="preserve">ongstanding global inequities are </w:t>
      </w:r>
      <w:r>
        <w:rPr>
          <w:rFonts w:cstheme="minorHAnsi"/>
        </w:rPr>
        <w:t xml:space="preserve">already </w:t>
      </w:r>
      <w:r w:rsidR="00283C2F">
        <w:rPr>
          <w:rFonts w:cstheme="minorHAnsi"/>
        </w:rPr>
        <w:t xml:space="preserve">reflected in premarket purchase commitments between </w:t>
      </w:r>
      <w:r w:rsidR="00C4767E">
        <w:rPr>
          <w:rFonts w:cstheme="minorHAnsi"/>
        </w:rPr>
        <w:t xml:space="preserve">mostly </w:t>
      </w:r>
      <w:r w:rsidR="00283C2F">
        <w:rPr>
          <w:rFonts w:cstheme="minorHAnsi"/>
        </w:rPr>
        <w:t xml:space="preserve">developed countries and leading vaccine </w:t>
      </w:r>
      <w:r w:rsidR="00283C2F" w:rsidRPr="00057BDD">
        <w:rPr>
          <w:rFonts w:cstheme="minorHAnsi"/>
          <w:color w:val="000000" w:themeColor="text1"/>
        </w:rPr>
        <w:t xml:space="preserve">makers. By mid-November 2020, </w:t>
      </w:r>
      <w:r w:rsidR="002E298E">
        <w:rPr>
          <w:rFonts w:cstheme="minorHAnsi"/>
          <w:color w:val="000000" w:themeColor="text1"/>
        </w:rPr>
        <w:t xml:space="preserve">wealthy </w:t>
      </w:r>
      <w:r w:rsidR="00283C2F" w:rsidRPr="00057BDD">
        <w:rPr>
          <w:rFonts w:cstheme="minorHAnsi"/>
          <w:color w:val="000000" w:themeColor="text1"/>
        </w:rPr>
        <w:t>c</w:t>
      </w:r>
      <w:r w:rsidR="00283C2F" w:rsidRPr="00057BDD">
        <w:rPr>
          <w:color w:val="000000" w:themeColor="text1"/>
          <w:shd w:val="clear" w:color="auto" w:fill="FFFFFF"/>
        </w:rPr>
        <w:t>ountries comprising 14</w:t>
      </w:r>
      <w:r w:rsidR="00B677C4">
        <w:rPr>
          <w:color w:val="000000" w:themeColor="text1"/>
          <w:shd w:val="clear" w:color="auto" w:fill="FFFFFF"/>
        </w:rPr>
        <w:t>%</w:t>
      </w:r>
      <w:r w:rsidR="00283C2F" w:rsidRPr="00057BDD">
        <w:rPr>
          <w:color w:val="000000" w:themeColor="text1"/>
          <w:shd w:val="clear" w:color="auto" w:fill="FFFFFF"/>
        </w:rPr>
        <w:t xml:space="preserve"> of the global population had </w:t>
      </w:r>
      <w:r w:rsidR="00283C2F">
        <w:rPr>
          <w:color w:val="000000" w:themeColor="text1"/>
          <w:shd w:val="clear" w:color="auto" w:fill="FFFFFF"/>
        </w:rPr>
        <w:t xml:space="preserve">already </w:t>
      </w:r>
      <w:r w:rsidR="00283C2F" w:rsidRPr="00057BDD">
        <w:rPr>
          <w:color w:val="000000" w:themeColor="text1"/>
          <w:shd w:val="clear" w:color="auto" w:fill="FFFFFF"/>
        </w:rPr>
        <w:t>reserved 51</w:t>
      </w:r>
      <w:r w:rsidR="00B677C4">
        <w:rPr>
          <w:color w:val="000000" w:themeColor="text1"/>
          <w:shd w:val="clear" w:color="auto" w:fill="FFFFFF"/>
        </w:rPr>
        <w:t>%</w:t>
      </w:r>
      <w:r w:rsidR="00283C2F" w:rsidRPr="00057BDD">
        <w:rPr>
          <w:color w:val="000000" w:themeColor="text1"/>
          <w:shd w:val="clear" w:color="auto" w:fill="FFFFFF"/>
        </w:rPr>
        <w:t xml:space="preserve"> of the vaccine doses,</w:t>
      </w:r>
      <w:r w:rsidR="00283C2F">
        <w:rPr>
          <w:rStyle w:val="EndnoteReference"/>
          <w:color w:val="000000" w:themeColor="text1"/>
          <w:shd w:val="clear" w:color="auto" w:fill="FFFFFF"/>
        </w:rPr>
        <w:endnoteReference w:id="22"/>
      </w:r>
      <w:r w:rsidR="00283C2F" w:rsidRPr="00057BDD">
        <w:rPr>
          <w:color w:val="000000" w:themeColor="text1"/>
          <w:shd w:val="clear" w:color="auto" w:fill="FFFFFF"/>
        </w:rPr>
        <w:t xml:space="preserve"> leaving little opportunity for lower- and middle-income countries to gain access to these</w:t>
      </w:r>
      <w:r w:rsidR="00C4767E">
        <w:rPr>
          <w:color w:val="000000" w:themeColor="text1"/>
          <w:shd w:val="clear" w:color="auto" w:fill="FFFFFF"/>
        </w:rPr>
        <w:t xml:space="preserve"> potentially</w:t>
      </w:r>
      <w:r w:rsidR="00283C2F" w:rsidRPr="00057BDD">
        <w:rPr>
          <w:color w:val="000000" w:themeColor="text1"/>
          <w:shd w:val="clear" w:color="auto" w:fill="FFFFFF"/>
        </w:rPr>
        <w:t xml:space="preserve"> life-saving products.</w:t>
      </w:r>
      <w:r w:rsidR="00283C2F">
        <w:rPr>
          <w:color w:val="000000" w:themeColor="text1"/>
          <w:shd w:val="clear" w:color="auto" w:fill="FFFFFF"/>
        </w:rPr>
        <w:t xml:space="preserve"> </w:t>
      </w:r>
      <w:r w:rsidR="00010F93">
        <w:rPr>
          <w:color w:val="000000" w:themeColor="text1"/>
          <w:shd w:val="clear" w:color="auto" w:fill="FFFFFF"/>
        </w:rPr>
        <w:t xml:space="preserve">Consequently, </w:t>
      </w:r>
      <w:r w:rsidR="00667C57">
        <w:rPr>
          <w:color w:val="000000" w:themeColor="text1"/>
          <w:shd w:val="clear" w:color="auto" w:fill="FFFFFF"/>
        </w:rPr>
        <w:t xml:space="preserve">even when developing countries </w:t>
      </w:r>
      <w:r w:rsidR="00097A85">
        <w:rPr>
          <w:color w:val="000000" w:themeColor="text1"/>
          <w:shd w:val="clear" w:color="auto" w:fill="FFFFFF"/>
        </w:rPr>
        <w:t xml:space="preserve">finally </w:t>
      </w:r>
      <w:r w:rsidR="00667C57">
        <w:rPr>
          <w:color w:val="000000" w:themeColor="text1"/>
          <w:shd w:val="clear" w:color="auto" w:fill="FFFFFF"/>
        </w:rPr>
        <w:t>begin to obtain vaccine, they will be forced</w:t>
      </w:r>
      <w:r w:rsidR="00010F93">
        <w:rPr>
          <w:color w:val="000000" w:themeColor="text1"/>
          <w:shd w:val="clear" w:color="auto" w:fill="FFFFFF"/>
        </w:rPr>
        <w:t xml:space="preserve"> to designate</w:t>
      </w:r>
      <w:r w:rsidR="00667C57">
        <w:rPr>
          <w:color w:val="000000" w:themeColor="text1"/>
          <w:shd w:val="clear" w:color="auto" w:fill="FFFFFF"/>
        </w:rPr>
        <w:t xml:space="preserve"> scarce supplies to high-priority populations, a prioritization driven largely by the initial lack of vaccine availability, itself a product of economic forces. </w:t>
      </w:r>
      <w:r w:rsidR="00010F93">
        <w:rPr>
          <w:color w:val="000000" w:themeColor="text1"/>
          <w:shd w:val="clear" w:color="auto" w:fill="FFFFFF"/>
        </w:rPr>
        <w:t>B</w:t>
      </w:r>
      <w:r w:rsidR="00667C57">
        <w:rPr>
          <w:color w:val="000000" w:themeColor="text1"/>
          <w:shd w:val="clear" w:color="auto" w:fill="FFFFFF"/>
        </w:rPr>
        <w:t xml:space="preserve">ut </w:t>
      </w:r>
      <w:r w:rsidR="00010F93">
        <w:rPr>
          <w:color w:val="000000" w:themeColor="text1"/>
          <w:shd w:val="clear" w:color="auto" w:fill="FFFFFF"/>
        </w:rPr>
        <w:t>recruiting developing</w:t>
      </w:r>
      <w:r w:rsidR="002E7AA5">
        <w:rPr>
          <w:color w:val="000000" w:themeColor="text1"/>
          <w:shd w:val="clear" w:color="auto" w:fill="FFFFFF"/>
        </w:rPr>
        <w:t>-</w:t>
      </w:r>
      <w:r w:rsidR="00010F93">
        <w:rPr>
          <w:color w:val="000000" w:themeColor="text1"/>
          <w:shd w:val="clear" w:color="auto" w:fill="FFFFFF"/>
        </w:rPr>
        <w:t xml:space="preserve">country </w:t>
      </w:r>
      <w:r w:rsidR="00010F93">
        <w:rPr>
          <w:color w:val="000000" w:themeColor="text1"/>
          <w:shd w:val="clear" w:color="auto" w:fill="FFFFFF"/>
        </w:rPr>
        <w:lastRenderedPageBreak/>
        <w:t xml:space="preserve">subjects who are not yet prioritized for vaccination due to shortages created by economic conditions bears strong resemblance to the </w:t>
      </w:r>
      <w:r w:rsidR="00364DF9">
        <w:t>zidovudine</w:t>
      </w:r>
      <w:r w:rsidR="00364DF9">
        <w:rPr>
          <w:color w:val="000000" w:themeColor="text1"/>
          <w:shd w:val="clear" w:color="auto" w:fill="FFFFFF"/>
        </w:rPr>
        <w:t xml:space="preserve"> </w:t>
      </w:r>
      <w:r w:rsidR="00010F93">
        <w:rPr>
          <w:color w:val="000000" w:themeColor="text1"/>
          <w:shd w:val="clear" w:color="auto" w:fill="FFFFFF"/>
        </w:rPr>
        <w:t>and Surfaxin situations</w:t>
      </w:r>
      <w:r>
        <w:rPr>
          <w:color w:val="000000" w:themeColor="text1"/>
          <w:shd w:val="clear" w:color="auto" w:fill="FFFFFF"/>
        </w:rPr>
        <w:t xml:space="preserve">. As the U.S. experience demonstrates, withholding effective therapy in clinical studies has the potential to affect vaccine uptake for </w:t>
      </w:r>
      <w:r w:rsidR="00C4767E">
        <w:rPr>
          <w:color w:val="000000" w:themeColor="text1"/>
          <w:shd w:val="clear" w:color="auto" w:fill="FFFFFF"/>
        </w:rPr>
        <w:t>decade</w:t>
      </w:r>
      <w:r>
        <w:rPr>
          <w:color w:val="000000" w:themeColor="text1"/>
          <w:shd w:val="clear" w:color="auto" w:fill="FFFFFF"/>
        </w:rPr>
        <w:t>s to come.</w:t>
      </w:r>
      <w:r>
        <w:rPr>
          <w:rStyle w:val="EndnoteReference"/>
          <w:color w:val="000000" w:themeColor="text1"/>
          <w:shd w:val="clear" w:color="auto" w:fill="FFFFFF"/>
        </w:rPr>
        <w:endnoteReference w:id="23"/>
      </w:r>
      <w:r>
        <w:rPr>
          <w:color w:val="000000" w:themeColor="text1"/>
          <w:shd w:val="clear" w:color="auto" w:fill="FFFFFF"/>
        </w:rPr>
        <w:t xml:space="preserve"> </w:t>
      </w:r>
      <w:r w:rsidR="00283C2F" w:rsidRPr="00057BDD">
        <w:rPr>
          <w:color w:val="000000" w:themeColor="text1"/>
          <w:shd w:val="clear" w:color="auto" w:fill="FFFFFF"/>
        </w:rPr>
        <w:t> </w:t>
      </w:r>
    </w:p>
    <w:p w14:paraId="7F1E79F7" w14:textId="184DB23C" w:rsidR="00544954" w:rsidRPr="00FB0189" w:rsidRDefault="00930A62" w:rsidP="00234BF7">
      <w:pPr>
        <w:autoSpaceDE w:val="0"/>
        <w:autoSpaceDN w:val="0"/>
        <w:adjustRightInd w:val="0"/>
        <w:spacing w:after="240" w:line="480" w:lineRule="auto"/>
        <w:rPr>
          <w:rFonts w:cstheme="minorHAnsi"/>
          <w:b/>
          <w:bCs/>
        </w:rPr>
      </w:pPr>
      <w:r w:rsidRPr="00FB0189">
        <w:rPr>
          <w:b/>
          <w:bCs/>
        </w:rPr>
        <w:t xml:space="preserve">The </w:t>
      </w:r>
      <w:r w:rsidR="00205FC5" w:rsidRPr="00FB0189">
        <w:rPr>
          <w:b/>
          <w:bCs/>
        </w:rPr>
        <w:t>Impact</w:t>
      </w:r>
      <w:r w:rsidRPr="00FB0189">
        <w:rPr>
          <w:b/>
          <w:bCs/>
        </w:rPr>
        <w:t xml:space="preserve"> of </w:t>
      </w:r>
      <w:r w:rsidR="00544954" w:rsidRPr="00FB0189">
        <w:rPr>
          <w:rFonts w:cstheme="minorHAnsi"/>
          <w:b/>
          <w:bCs/>
        </w:rPr>
        <w:t>COVID-19 Variants</w:t>
      </w:r>
    </w:p>
    <w:p w14:paraId="074A08C3" w14:textId="15967821" w:rsidR="00930A62" w:rsidRDefault="00185BDF" w:rsidP="00234BF7">
      <w:pPr>
        <w:pStyle w:val="NormalWeb"/>
        <w:shd w:val="clear" w:color="auto" w:fill="FFFFFF"/>
        <w:spacing w:before="0" w:beforeAutospacing="0" w:after="240" w:afterAutospacing="0" w:line="480" w:lineRule="auto"/>
        <w:rPr>
          <w:rFonts w:asciiTheme="minorHAnsi" w:hAnsiTheme="minorHAnsi" w:cstheme="minorHAnsi"/>
          <w:sz w:val="22"/>
          <w:szCs w:val="22"/>
        </w:rPr>
      </w:pPr>
      <w:r>
        <w:rPr>
          <w:rFonts w:asciiTheme="minorHAnsi" w:hAnsiTheme="minorHAnsi" w:cstheme="minorHAnsi"/>
          <w:sz w:val="22"/>
          <w:szCs w:val="22"/>
        </w:rPr>
        <w:t>The first assess</w:t>
      </w:r>
      <w:r w:rsidR="001A5B4C">
        <w:rPr>
          <w:rFonts w:asciiTheme="minorHAnsi" w:hAnsiTheme="minorHAnsi" w:cstheme="minorHAnsi"/>
          <w:sz w:val="22"/>
          <w:szCs w:val="22"/>
        </w:rPr>
        <w:t>ments of</w:t>
      </w:r>
      <w:r>
        <w:rPr>
          <w:rFonts w:asciiTheme="minorHAnsi" w:hAnsiTheme="minorHAnsi" w:cstheme="minorHAnsi"/>
          <w:sz w:val="22"/>
          <w:szCs w:val="22"/>
        </w:rPr>
        <w:t xml:space="preserve"> the effectiveness of candidate vaccines started enrolling in </w:t>
      </w:r>
      <w:r w:rsidR="00205FC5">
        <w:rPr>
          <w:rFonts w:asciiTheme="minorHAnsi" w:hAnsiTheme="minorHAnsi" w:cstheme="minorHAnsi"/>
          <w:sz w:val="22"/>
          <w:szCs w:val="22"/>
        </w:rPr>
        <w:t xml:space="preserve">the Northern Hemisphere summer of </w:t>
      </w:r>
      <w:r>
        <w:rPr>
          <w:rFonts w:asciiTheme="minorHAnsi" w:hAnsiTheme="minorHAnsi" w:cstheme="minorHAnsi"/>
          <w:sz w:val="22"/>
          <w:szCs w:val="22"/>
        </w:rPr>
        <w:t>2020</w:t>
      </w:r>
      <w:r w:rsidR="001A5B4C">
        <w:rPr>
          <w:rFonts w:asciiTheme="minorHAnsi" w:hAnsiTheme="minorHAnsi" w:cstheme="minorHAnsi"/>
          <w:sz w:val="22"/>
          <w:szCs w:val="22"/>
        </w:rPr>
        <w:t xml:space="preserve"> and continued over the next several months</w:t>
      </w:r>
      <w:r>
        <w:rPr>
          <w:rFonts w:asciiTheme="minorHAnsi" w:hAnsiTheme="minorHAnsi" w:cstheme="minorHAnsi"/>
          <w:sz w:val="22"/>
          <w:szCs w:val="22"/>
        </w:rPr>
        <w:t>, a period that predated the recognition of variant forms of SARS-CoV-2</w:t>
      </w:r>
      <w:r w:rsidR="00D2180A">
        <w:rPr>
          <w:rFonts w:asciiTheme="minorHAnsi" w:hAnsiTheme="minorHAnsi" w:cstheme="minorHAnsi"/>
          <w:sz w:val="22"/>
          <w:szCs w:val="22"/>
        </w:rPr>
        <w:t>, at least some of which</w:t>
      </w:r>
      <w:r>
        <w:rPr>
          <w:rFonts w:asciiTheme="minorHAnsi" w:hAnsiTheme="minorHAnsi" w:cstheme="minorHAnsi"/>
          <w:sz w:val="22"/>
          <w:szCs w:val="22"/>
        </w:rPr>
        <w:t xml:space="preserve"> appear to be more transmissible</w:t>
      </w:r>
      <w:r w:rsidR="00D2180A">
        <w:rPr>
          <w:rFonts w:asciiTheme="minorHAnsi" w:hAnsiTheme="minorHAnsi" w:cstheme="minorHAnsi"/>
          <w:sz w:val="22"/>
          <w:szCs w:val="22"/>
        </w:rPr>
        <w:t>.</w:t>
      </w:r>
      <w:r>
        <w:rPr>
          <w:rStyle w:val="EndnoteReference"/>
          <w:rFonts w:asciiTheme="minorHAnsi" w:hAnsiTheme="minorHAnsi" w:cstheme="minorHAnsi"/>
          <w:sz w:val="22"/>
          <w:szCs w:val="22"/>
        </w:rPr>
        <w:endnoteReference w:id="24"/>
      </w:r>
      <w:r>
        <w:rPr>
          <w:rFonts w:asciiTheme="minorHAnsi" w:hAnsiTheme="minorHAnsi" w:cstheme="minorHAnsi"/>
          <w:sz w:val="22"/>
          <w:szCs w:val="22"/>
        </w:rPr>
        <w:t xml:space="preserve"> </w:t>
      </w:r>
      <w:r w:rsidR="00D2180A">
        <w:rPr>
          <w:rFonts w:asciiTheme="minorHAnsi" w:hAnsiTheme="minorHAnsi" w:cstheme="minorHAnsi"/>
          <w:sz w:val="22"/>
          <w:szCs w:val="22"/>
        </w:rPr>
        <w:t xml:space="preserve">In South Africa, a country in which the emerging B.1.351 </w:t>
      </w:r>
      <w:r w:rsidR="00667C57">
        <w:rPr>
          <w:rFonts w:asciiTheme="minorHAnsi" w:hAnsiTheme="minorHAnsi" w:cstheme="minorHAnsi"/>
          <w:sz w:val="22"/>
          <w:szCs w:val="22"/>
        </w:rPr>
        <w:t xml:space="preserve">variant </w:t>
      </w:r>
      <w:r w:rsidR="00D2180A">
        <w:rPr>
          <w:rFonts w:asciiTheme="minorHAnsi" w:hAnsiTheme="minorHAnsi" w:cstheme="minorHAnsi"/>
          <w:sz w:val="22"/>
          <w:szCs w:val="22"/>
        </w:rPr>
        <w:t>was predominant, a placebo-controlled trial of the Oxford/AstraZeneca vaccine, a product for which effectiveness had previously been demonstrated</w:t>
      </w:r>
      <w:r w:rsidR="00C4767E">
        <w:rPr>
          <w:rFonts w:asciiTheme="minorHAnsi" w:hAnsiTheme="minorHAnsi" w:cstheme="minorHAnsi"/>
          <w:sz w:val="22"/>
          <w:szCs w:val="22"/>
        </w:rPr>
        <w:t xml:space="preserve"> in other countries</w:t>
      </w:r>
      <w:r w:rsidR="00D2180A">
        <w:rPr>
          <w:rFonts w:asciiTheme="minorHAnsi" w:hAnsiTheme="minorHAnsi" w:cstheme="minorHAnsi"/>
          <w:sz w:val="22"/>
          <w:szCs w:val="22"/>
        </w:rPr>
        <w:t>,</w:t>
      </w:r>
      <w:r w:rsidR="00AE4FD5">
        <w:rPr>
          <w:rFonts w:asciiTheme="minorHAnsi" w:hAnsiTheme="minorHAnsi" w:cstheme="minorHAnsi"/>
          <w:sz w:val="22"/>
          <w:szCs w:val="22"/>
          <w:vertAlign w:val="superscript"/>
        </w:rPr>
        <w:t>17</w:t>
      </w:r>
      <w:r w:rsidR="00D2180A">
        <w:rPr>
          <w:rFonts w:asciiTheme="minorHAnsi" w:hAnsiTheme="minorHAnsi" w:cstheme="minorHAnsi"/>
          <w:sz w:val="22"/>
          <w:szCs w:val="22"/>
        </w:rPr>
        <w:t xml:space="preserve"> showed no evidence of protection against mild-moderate COVID-19 (vaccine efficacy = 21.9%; 95% CI: -49.9%, 59.8%).</w:t>
      </w:r>
      <w:r w:rsidR="00D2180A">
        <w:rPr>
          <w:rStyle w:val="EndnoteReference"/>
          <w:rFonts w:asciiTheme="minorHAnsi" w:hAnsiTheme="minorHAnsi" w:cstheme="minorHAnsi"/>
          <w:sz w:val="22"/>
          <w:szCs w:val="22"/>
        </w:rPr>
        <w:endnoteReference w:id="25"/>
      </w:r>
      <w:r w:rsidR="00205FC5">
        <w:rPr>
          <w:rFonts w:asciiTheme="minorHAnsi" w:hAnsiTheme="minorHAnsi" w:cstheme="minorHAnsi"/>
          <w:sz w:val="22"/>
          <w:szCs w:val="22"/>
        </w:rPr>
        <w:t xml:space="preserve"> Certainly</w:t>
      </w:r>
      <w:r w:rsidR="00C4767E">
        <w:rPr>
          <w:rFonts w:asciiTheme="minorHAnsi" w:hAnsiTheme="minorHAnsi" w:cstheme="minorHAnsi"/>
          <w:sz w:val="22"/>
          <w:szCs w:val="22"/>
        </w:rPr>
        <w:t>,</w:t>
      </w:r>
      <w:r w:rsidR="00205FC5">
        <w:rPr>
          <w:rFonts w:asciiTheme="minorHAnsi" w:hAnsiTheme="minorHAnsi" w:cstheme="minorHAnsi"/>
          <w:sz w:val="22"/>
          <w:szCs w:val="22"/>
        </w:rPr>
        <w:t xml:space="preserve"> the continuing dissemination of potentially vaccine-resistant variants alters the ethical calculus. If there is indeed equipoise over whether </w:t>
      </w:r>
      <w:r w:rsidR="00097A85">
        <w:rPr>
          <w:rFonts w:asciiTheme="minorHAnsi" w:hAnsiTheme="minorHAnsi" w:cstheme="minorHAnsi"/>
          <w:sz w:val="22"/>
          <w:szCs w:val="22"/>
        </w:rPr>
        <w:t>any</w:t>
      </w:r>
      <w:r w:rsidR="007A57DF">
        <w:rPr>
          <w:rFonts w:asciiTheme="minorHAnsi" w:hAnsiTheme="minorHAnsi" w:cstheme="minorHAnsi"/>
          <w:sz w:val="22"/>
          <w:szCs w:val="22"/>
        </w:rPr>
        <w:t xml:space="preserve"> </w:t>
      </w:r>
      <w:r w:rsidR="00205FC5">
        <w:rPr>
          <w:rFonts w:asciiTheme="minorHAnsi" w:hAnsiTheme="minorHAnsi" w:cstheme="minorHAnsi"/>
          <w:sz w:val="22"/>
          <w:szCs w:val="22"/>
        </w:rPr>
        <w:t xml:space="preserve">vaccines would be effective in a </w:t>
      </w:r>
      <w:r w:rsidR="00C71000">
        <w:rPr>
          <w:rFonts w:asciiTheme="minorHAnsi" w:hAnsiTheme="minorHAnsi" w:cstheme="minorHAnsi"/>
          <w:sz w:val="22"/>
          <w:szCs w:val="22"/>
        </w:rPr>
        <w:t>particular</w:t>
      </w:r>
      <w:r w:rsidR="00205FC5">
        <w:rPr>
          <w:rFonts w:asciiTheme="minorHAnsi" w:hAnsiTheme="minorHAnsi" w:cstheme="minorHAnsi"/>
          <w:sz w:val="22"/>
          <w:szCs w:val="22"/>
        </w:rPr>
        <w:t xml:space="preserve"> country, a placebo-controlled trial could be justified.</w:t>
      </w:r>
      <w:r w:rsidR="007A57DF">
        <w:rPr>
          <w:rFonts w:asciiTheme="minorHAnsi" w:hAnsiTheme="minorHAnsi" w:cstheme="minorHAnsi"/>
          <w:sz w:val="22"/>
          <w:szCs w:val="22"/>
        </w:rPr>
        <w:t xml:space="preserve"> But if even one vaccine is believed by the community of relevant experts to be effective, that vaccine must be offered to subjects.</w:t>
      </w:r>
      <w:r w:rsidR="00205FC5">
        <w:rPr>
          <w:rFonts w:asciiTheme="minorHAnsi" w:hAnsiTheme="minorHAnsi" w:cstheme="minorHAnsi"/>
          <w:sz w:val="22"/>
          <w:szCs w:val="22"/>
        </w:rPr>
        <w:t xml:space="preserve"> </w:t>
      </w:r>
      <w:r w:rsidR="00170339">
        <w:rPr>
          <w:rFonts w:asciiTheme="minorHAnsi" w:hAnsiTheme="minorHAnsi" w:cstheme="minorHAnsi"/>
          <w:sz w:val="22"/>
          <w:szCs w:val="22"/>
        </w:rPr>
        <w:t>T</w:t>
      </w:r>
      <w:r w:rsidR="00205FC5">
        <w:rPr>
          <w:rFonts w:asciiTheme="minorHAnsi" w:hAnsiTheme="minorHAnsi" w:cstheme="minorHAnsi"/>
          <w:sz w:val="22"/>
          <w:szCs w:val="22"/>
        </w:rPr>
        <w:t xml:space="preserve">he continued dissemination of these variants </w:t>
      </w:r>
      <w:r w:rsidR="007A57DF">
        <w:rPr>
          <w:rFonts w:asciiTheme="minorHAnsi" w:hAnsiTheme="minorHAnsi" w:cstheme="minorHAnsi"/>
          <w:sz w:val="22"/>
          <w:szCs w:val="22"/>
        </w:rPr>
        <w:t xml:space="preserve">will </w:t>
      </w:r>
      <w:r w:rsidR="00205FC5">
        <w:rPr>
          <w:rFonts w:asciiTheme="minorHAnsi" w:hAnsiTheme="minorHAnsi" w:cstheme="minorHAnsi"/>
          <w:sz w:val="22"/>
          <w:szCs w:val="22"/>
        </w:rPr>
        <w:t>necessitate frequent reassessment of the ethical justification for any new or ongoing trial.</w:t>
      </w:r>
    </w:p>
    <w:p w14:paraId="04DCA3ED" w14:textId="1B7E3AD6" w:rsidR="0065723B" w:rsidRPr="00FB0189" w:rsidRDefault="00EA48C0" w:rsidP="00234BF7">
      <w:pPr>
        <w:pStyle w:val="NormalWeb"/>
        <w:shd w:val="clear" w:color="auto" w:fill="FFFFFF"/>
        <w:spacing w:before="0" w:beforeAutospacing="0" w:after="240" w:afterAutospacing="0" w:line="480" w:lineRule="auto"/>
        <w:rPr>
          <w:rFonts w:asciiTheme="minorHAnsi" w:hAnsiTheme="minorHAnsi" w:cstheme="minorHAnsi"/>
          <w:b/>
          <w:bCs/>
          <w:sz w:val="22"/>
          <w:szCs w:val="22"/>
        </w:rPr>
      </w:pPr>
      <w:r w:rsidRPr="00FB0189">
        <w:rPr>
          <w:rFonts w:asciiTheme="minorHAnsi" w:hAnsiTheme="minorHAnsi" w:cstheme="minorHAnsi"/>
          <w:b/>
          <w:bCs/>
          <w:sz w:val="22"/>
          <w:szCs w:val="22"/>
        </w:rPr>
        <w:t>Conclusion</w:t>
      </w:r>
    </w:p>
    <w:p w14:paraId="1E52058F" w14:textId="27B7E898" w:rsidR="00C71000" w:rsidRDefault="00667C57" w:rsidP="00234BF7">
      <w:pPr>
        <w:spacing w:after="240" w:line="480" w:lineRule="auto"/>
        <w:rPr>
          <w:color w:val="000000" w:themeColor="text1"/>
        </w:rPr>
      </w:pPr>
      <w:r>
        <w:rPr>
          <w:color w:val="000000" w:themeColor="text1"/>
        </w:rPr>
        <w:t>Comparisons to paradigmatic ethical controversies in international research can be helpful in assessing the ethics of developing</w:t>
      </w:r>
      <w:r w:rsidR="002E7AA5">
        <w:rPr>
          <w:color w:val="000000" w:themeColor="text1"/>
        </w:rPr>
        <w:t>-</w:t>
      </w:r>
      <w:r>
        <w:rPr>
          <w:color w:val="000000" w:themeColor="text1"/>
        </w:rPr>
        <w:t xml:space="preserve">country COVID-19 vaccine trials </w:t>
      </w:r>
      <w:r w:rsidR="004A644D">
        <w:rPr>
          <w:color w:val="000000" w:themeColor="text1"/>
        </w:rPr>
        <w:t xml:space="preserve">now that </w:t>
      </w:r>
      <w:r>
        <w:rPr>
          <w:color w:val="000000" w:themeColor="text1"/>
        </w:rPr>
        <w:t xml:space="preserve">safe and effective vaccines have been identified. Compared to the </w:t>
      </w:r>
      <w:r w:rsidR="00364DF9">
        <w:t>zidovudine</w:t>
      </w:r>
      <w:r>
        <w:rPr>
          <w:color w:val="000000" w:themeColor="text1"/>
        </w:rPr>
        <w:t xml:space="preserve"> and Surfaxin trials, COVID-19 vaccine trials are likely to confer lower risk</w:t>
      </w:r>
      <w:r w:rsidR="00C4767E">
        <w:rPr>
          <w:color w:val="000000" w:themeColor="text1"/>
        </w:rPr>
        <w:t xml:space="preserve"> to placebo groups</w:t>
      </w:r>
      <w:r>
        <w:rPr>
          <w:color w:val="000000" w:themeColor="text1"/>
        </w:rPr>
        <w:t xml:space="preserve"> and </w:t>
      </w:r>
      <w:r w:rsidR="00C4767E">
        <w:rPr>
          <w:color w:val="000000" w:themeColor="text1"/>
        </w:rPr>
        <w:t xml:space="preserve">to </w:t>
      </w:r>
      <w:r>
        <w:rPr>
          <w:color w:val="000000" w:themeColor="text1"/>
        </w:rPr>
        <w:t xml:space="preserve">offer </w:t>
      </w:r>
      <w:r w:rsidR="00C4767E">
        <w:rPr>
          <w:color w:val="000000" w:themeColor="text1"/>
        </w:rPr>
        <w:t xml:space="preserve">a greater number and variety of </w:t>
      </w:r>
      <w:r>
        <w:rPr>
          <w:color w:val="000000" w:themeColor="text1"/>
        </w:rPr>
        <w:t xml:space="preserve">alternative study designs. The </w:t>
      </w:r>
      <w:r>
        <w:rPr>
          <w:color w:val="000000" w:themeColor="text1"/>
        </w:rPr>
        <w:lastRenderedPageBreak/>
        <w:t xml:space="preserve">argument </w:t>
      </w:r>
      <w:r w:rsidR="00010F93">
        <w:rPr>
          <w:color w:val="000000" w:themeColor="text1"/>
        </w:rPr>
        <w:t xml:space="preserve">that </w:t>
      </w:r>
      <w:r w:rsidR="004A644D">
        <w:rPr>
          <w:color w:val="000000" w:themeColor="text1"/>
        </w:rPr>
        <w:t xml:space="preserve">mere </w:t>
      </w:r>
      <w:r w:rsidR="00010F93">
        <w:rPr>
          <w:color w:val="000000" w:themeColor="text1"/>
        </w:rPr>
        <w:t>lack of vaccine availability justifies placebo use</w:t>
      </w:r>
      <w:r w:rsidR="007D7858">
        <w:rPr>
          <w:color w:val="000000" w:themeColor="text1"/>
        </w:rPr>
        <w:t xml:space="preserve"> is un</w:t>
      </w:r>
      <w:r w:rsidR="002E298E">
        <w:rPr>
          <w:color w:val="000000" w:themeColor="text1"/>
        </w:rPr>
        <w:t>convincing</w:t>
      </w:r>
      <w:r w:rsidR="007D7858">
        <w:rPr>
          <w:color w:val="000000" w:themeColor="text1"/>
        </w:rPr>
        <w:t xml:space="preserve">, whether rooted in total absence of vaccine in a given country or in </w:t>
      </w:r>
      <w:r w:rsidR="004A644D">
        <w:rPr>
          <w:color w:val="000000" w:themeColor="text1"/>
        </w:rPr>
        <w:t xml:space="preserve">local </w:t>
      </w:r>
      <w:r w:rsidR="007D7858">
        <w:rPr>
          <w:color w:val="000000" w:themeColor="text1"/>
        </w:rPr>
        <w:t xml:space="preserve">vaccine prioritization practices, because at root both derive from economic, not scientific conditions. But the advent of variants may create genuine uncertainty as to a comparator vaccine’s effectiveness, potentially justifying a placebo control, depending on vaccine characteristics, </w:t>
      </w:r>
      <w:r w:rsidR="004A644D">
        <w:rPr>
          <w:color w:val="000000" w:themeColor="text1"/>
        </w:rPr>
        <w:t xml:space="preserve">variant prevalence, and </w:t>
      </w:r>
      <w:r w:rsidR="007D7858">
        <w:rPr>
          <w:color w:val="000000" w:themeColor="text1"/>
        </w:rPr>
        <w:t xml:space="preserve">the degree of variant resistance. Considering these factors together will facilitate the necessary case-by-case assessment of </w:t>
      </w:r>
      <w:r w:rsidR="00C4767E">
        <w:rPr>
          <w:color w:val="000000" w:themeColor="text1"/>
        </w:rPr>
        <w:t xml:space="preserve">the ethical justification for </w:t>
      </w:r>
      <w:r w:rsidR="007D7858">
        <w:rPr>
          <w:color w:val="000000" w:themeColor="text1"/>
        </w:rPr>
        <w:t>any proposed trial.</w:t>
      </w:r>
    </w:p>
    <w:p w14:paraId="5562D1E7" w14:textId="77777777" w:rsidR="00C71000" w:rsidRDefault="00C71000" w:rsidP="00234BF7">
      <w:pPr>
        <w:spacing w:line="480" w:lineRule="auto"/>
        <w:rPr>
          <w:color w:val="000000" w:themeColor="text1"/>
        </w:rPr>
      </w:pPr>
      <w:r>
        <w:rPr>
          <w:color w:val="000000" w:themeColor="text1"/>
        </w:rPr>
        <w:br w:type="page"/>
      </w:r>
    </w:p>
    <w:sectPr w:rsidR="00C71000" w:rsidSect="00B07336">
      <w:footerReference w:type="default" r:id="rId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4E719" w14:textId="77777777" w:rsidR="00C67F39" w:rsidRDefault="00C67F39" w:rsidP="0034624A">
      <w:pPr>
        <w:spacing w:after="0" w:line="240" w:lineRule="auto"/>
      </w:pPr>
      <w:r>
        <w:separator/>
      </w:r>
    </w:p>
  </w:endnote>
  <w:endnote w:type="continuationSeparator" w:id="0">
    <w:p w14:paraId="6F213B6D" w14:textId="77777777" w:rsidR="00C67F39" w:rsidRDefault="00C67F39" w:rsidP="0034624A">
      <w:pPr>
        <w:spacing w:after="0" w:line="240" w:lineRule="auto"/>
      </w:pPr>
      <w:r>
        <w:continuationSeparator/>
      </w:r>
    </w:p>
  </w:endnote>
  <w:endnote w:id="1">
    <w:p w14:paraId="219D402B" w14:textId="77777777" w:rsidR="00C71000" w:rsidRPr="007C798F" w:rsidRDefault="00C71000" w:rsidP="00731F39">
      <w:pPr>
        <w:spacing w:after="0" w:line="480" w:lineRule="auto"/>
        <w:rPr>
          <w:sz w:val="20"/>
          <w:szCs w:val="20"/>
        </w:rPr>
      </w:pPr>
      <w:r w:rsidRPr="007C798F">
        <w:rPr>
          <w:rStyle w:val="EndnoteReference"/>
          <w:sz w:val="20"/>
          <w:szCs w:val="20"/>
        </w:rPr>
        <w:endnoteRef/>
      </w:r>
      <w:r w:rsidRPr="007C798F">
        <w:rPr>
          <w:sz w:val="20"/>
          <w:szCs w:val="20"/>
        </w:rPr>
        <w:t xml:space="preserve"> New York Times. Coronavirus Vaccine Tracker. Available at: </w:t>
      </w:r>
      <w:hyperlink r:id="rId1" w:history="1">
        <w:r w:rsidRPr="007C798F">
          <w:rPr>
            <w:rStyle w:val="Hyperlink"/>
            <w:sz w:val="20"/>
            <w:szCs w:val="20"/>
          </w:rPr>
          <w:t>https://www.nytimes.com/interactive/2020/science/coronavirus-vaccine-tracker.html</w:t>
        </w:r>
      </w:hyperlink>
      <w:r>
        <w:rPr>
          <w:sz w:val="20"/>
          <w:szCs w:val="20"/>
        </w:rPr>
        <w:t xml:space="preserve"> (accessed February 18, 2021).</w:t>
      </w:r>
    </w:p>
  </w:endnote>
  <w:endnote w:id="2">
    <w:p w14:paraId="28B36FF7" w14:textId="77777777" w:rsidR="00C71000" w:rsidRPr="00026F8D" w:rsidRDefault="00C71000" w:rsidP="00731F39">
      <w:pPr>
        <w:shd w:val="clear" w:color="auto" w:fill="FFFFFF"/>
        <w:spacing w:after="0" w:line="480" w:lineRule="auto"/>
        <w:textAlignment w:val="baseline"/>
        <w:rPr>
          <w:rFonts w:cstheme="minorHAnsi"/>
          <w:color w:val="000000" w:themeColor="text1"/>
          <w:sz w:val="20"/>
          <w:szCs w:val="20"/>
        </w:rPr>
      </w:pPr>
      <w:r>
        <w:rPr>
          <w:rStyle w:val="EndnoteReference"/>
        </w:rPr>
        <w:endnoteRef/>
      </w:r>
      <w:r>
        <w:t xml:space="preserve"> </w:t>
      </w:r>
      <w:r w:rsidRPr="00DA3D70">
        <w:rPr>
          <w:rFonts w:cstheme="minorHAnsi"/>
          <w:color w:val="000000" w:themeColor="text1"/>
          <w:sz w:val="20"/>
          <w:szCs w:val="20"/>
        </w:rPr>
        <w:t xml:space="preserve">Polack FP, Thomas SJ, Kitchin N, et al. </w:t>
      </w:r>
      <w:r w:rsidRPr="00DA3D70">
        <w:rPr>
          <w:rStyle w:val="titledefault"/>
          <w:rFonts w:cstheme="minorHAnsi"/>
          <w:color w:val="000000" w:themeColor="text1"/>
          <w:spacing w:val="-2"/>
          <w:sz w:val="20"/>
          <w:szCs w:val="20"/>
          <w:bdr w:val="none" w:sz="0" w:space="0" w:color="auto" w:frame="1"/>
        </w:rPr>
        <w:t xml:space="preserve">Safety and </w:t>
      </w:r>
      <w:r>
        <w:rPr>
          <w:rStyle w:val="titledefault"/>
          <w:rFonts w:cstheme="minorHAnsi"/>
          <w:color w:val="000000" w:themeColor="text1"/>
          <w:spacing w:val="-2"/>
          <w:sz w:val="20"/>
          <w:szCs w:val="20"/>
          <w:bdr w:val="none" w:sz="0" w:space="0" w:color="auto" w:frame="1"/>
        </w:rPr>
        <w:t>e</w:t>
      </w:r>
      <w:r w:rsidRPr="00DA3D70">
        <w:rPr>
          <w:rStyle w:val="titledefault"/>
          <w:rFonts w:cstheme="minorHAnsi"/>
          <w:color w:val="000000" w:themeColor="text1"/>
          <w:spacing w:val="-2"/>
          <w:sz w:val="20"/>
          <w:szCs w:val="20"/>
          <w:bdr w:val="none" w:sz="0" w:space="0" w:color="auto" w:frame="1"/>
        </w:rPr>
        <w:t xml:space="preserve">fficacy of the BNT162b2 mRNA Covid-19 </w:t>
      </w:r>
      <w:r>
        <w:rPr>
          <w:rStyle w:val="titledefault"/>
          <w:rFonts w:cstheme="minorHAnsi"/>
          <w:color w:val="000000" w:themeColor="text1"/>
          <w:spacing w:val="-2"/>
          <w:sz w:val="20"/>
          <w:szCs w:val="20"/>
          <w:bdr w:val="none" w:sz="0" w:space="0" w:color="auto" w:frame="1"/>
        </w:rPr>
        <w:t>v</w:t>
      </w:r>
      <w:r w:rsidRPr="00DA3D70">
        <w:rPr>
          <w:rStyle w:val="titledefault"/>
          <w:rFonts w:cstheme="minorHAnsi"/>
          <w:color w:val="000000" w:themeColor="text1"/>
          <w:spacing w:val="-2"/>
          <w:sz w:val="20"/>
          <w:szCs w:val="20"/>
          <w:bdr w:val="none" w:sz="0" w:space="0" w:color="auto" w:frame="1"/>
        </w:rPr>
        <w:t>accine. New England Journal of Medicine 2020;383:2603-15.</w:t>
      </w:r>
    </w:p>
  </w:endnote>
  <w:endnote w:id="3">
    <w:p w14:paraId="06DB0F01" w14:textId="77777777" w:rsidR="00C71000" w:rsidRPr="001453D5" w:rsidRDefault="00C71000" w:rsidP="00731F39">
      <w:pPr>
        <w:pStyle w:val="EndnoteText"/>
        <w:spacing w:line="480" w:lineRule="auto"/>
        <w:rPr>
          <w:rFonts w:cstheme="minorHAnsi"/>
          <w:color w:val="000000" w:themeColor="text1"/>
        </w:rPr>
      </w:pPr>
      <w:r>
        <w:rPr>
          <w:rStyle w:val="EndnoteReference"/>
        </w:rPr>
        <w:endnoteRef/>
      </w:r>
      <w:r>
        <w:t xml:space="preserve"> </w:t>
      </w:r>
      <w:r w:rsidRPr="001453D5">
        <w:rPr>
          <w:rFonts w:eastAsia="Times New Roman" w:cstheme="minorHAnsi"/>
          <w:color w:val="000000" w:themeColor="text1"/>
        </w:rPr>
        <w:t xml:space="preserve">Baden LR, El Sahly HM, Essink B, et al. </w:t>
      </w:r>
      <w:r w:rsidRPr="001453D5">
        <w:rPr>
          <w:rFonts w:cstheme="minorHAnsi"/>
          <w:color w:val="000000" w:themeColor="text1"/>
          <w:spacing w:val="-2"/>
          <w:bdr w:val="none" w:sz="0" w:space="0" w:color="auto" w:frame="1"/>
        </w:rPr>
        <w:t>Efficacy and safety of the mRNA-1273 SARS-CoV-2 vaccine. New England Journal of Medicine 2021;384:403-16.</w:t>
      </w:r>
    </w:p>
  </w:endnote>
  <w:endnote w:id="4">
    <w:p w14:paraId="268F5734" w14:textId="77777777" w:rsidR="00C71000" w:rsidRPr="007C798F" w:rsidRDefault="00C71000" w:rsidP="00731F39">
      <w:pPr>
        <w:autoSpaceDE w:val="0"/>
        <w:autoSpaceDN w:val="0"/>
        <w:adjustRightInd w:val="0"/>
        <w:spacing w:after="0" w:line="480" w:lineRule="auto"/>
        <w:rPr>
          <w:rFonts w:cstheme="minorHAnsi"/>
          <w:color w:val="000000" w:themeColor="text1"/>
          <w:sz w:val="20"/>
          <w:szCs w:val="20"/>
        </w:rPr>
      </w:pPr>
      <w:r w:rsidRPr="00DA3D70">
        <w:rPr>
          <w:rStyle w:val="EndnoteReference"/>
          <w:color w:val="000000" w:themeColor="text1"/>
        </w:rPr>
        <w:endnoteRef/>
      </w:r>
      <w:r w:rsidRPr="00DA3D70">
        <w:rPr>
          <w:color w:val="000000" w:themeColor="text1"/>
        </w:rPr>
        <w:t xml:space="preserve"> </w:t>
      </w:r>
      <w:r w:rsidRPr="00DA3D70">
        <w:rPr>
          <w:rFonts w:ascii="OTNEJMScalaSansLF" w:hAnsi="OTNEJMScalaSansLF" w:cs="OTNEJMScalaSansLF"/>
          <w:color w:val="000000" w:themeColor="text1"/>
          <w:sz w:val="20"/>
          <w:szCs w:val="20"/>
        </w:rPr>
        <w:t xml:space="preserve">WHO Ad Hoc Expert Group </w:t>
      </w:r>
      <w:r w:rsidRPr="00DA3D70">
        <w:rPr>
          <w:rFonts w:cstheme="minorHAnsi"/>
          <w:color w:val="000000" w:themeColor="text1"/>
          <w:sz w:val="20"/>
          <w:szCs w:val="20"/>
        </w:rPr>
        <w:t>on the Next Steps for Covid-19 Vaccine Evaluation. Placebo-Controlled Trials of Covid-19 Vaccines — Why We Still Need Them. New England Journal of Medicine 2021</w:t>
      </w:r>
      <w:r w:rsidRPr="00DA3D70">
        <w:rPr>
          <w:rFonts w:cstheme="minorHAnsi"/>
          <w:color w:val="000000" w:themeColor="text1"/>
          <w:sz w:val="20"/>
          <w:szCs w:val="20"/>
          <w:shd w:val="clear" w:color="auto" w:fill="FFFFFF"/>
        </w:rPr>
        <w:t>;384(2):e2. doi: 10.1056/</w:t>
      </w:r>
      <w:r w:rsidRPr="007C798F">
        <w:rPr>
          <w:rFonts w:cstheme="minorHAnsi"/>
          <w:color w:val="000000" w:themeColor="text1"/>
          <w:sz w:val="20"/>
          <w:szCs w:val="20"/>
          <w:shd w:val="clear" w:color="auto" w:fill="FFFFFF"/>
        </w:rPr>
        <w:t>NEJMp2033538. </w:t>
      </w:r>
    </w:p>
  </w:endnote>
  <w:endnote w:id="5">
    <w:p w14:paraId="7CF8FB48" w14:textId="331BE0ED" w:rsidR="00026F8D" w:rsidRPr="00B34F49" w:rsidRDefault="00026F8D" w:rsidP="00731F39">
      <w:pPr>
        <w:pStyle w:val="EndnoteText"/>
        <w:spacing w:line="480" w:lineRule="auto"/>
        <w:rPr>
          <w:rFonts w:cstheme="minorHAnsi"/>
          <w:color w:val="000000" w:themeColor="text1"/>
        </w:rPr>
      </w:pPr>
      <w:r>
        <w:rPr>
          <w:rStyle w:val="EndnoteReference"/>
        </w:rPr>
        <w:endnoteRef/>
      </w:r>
      <w:r>
        <w:t xml:space="preserve"> Lurie P, Wolfe SM</w:t>
      </w:r>
      <w:r w:rsidRPr="001C2ECC">
        <w:t xml:space="preserve">. Unethical trials of interventions to reduce perinatal transmission of the human immunodeficiency </w:t>
      </w:r>
      <w:r w:rsidRPr="00B34F49">
        <w:rPr>
          <w:rFonts w:cstheme="minorHAnsi"/>
          <w:color w:val="000000" w:themeColor="text1"/>
        </w:rPr>
        <w:t>virus in developing countries. New England Journal of Medicine 1997;337:853-6.</w:t>
      </w:r>
    </w:p>
  </w:endnote>
  <w:endnote w:id="6">
    <w:p w14:paraId="0962CD10" w14:textId="3B56BA51" w:rsidR="00026F8D" w:rsidRPr="00B34F49" w:rsidRDefault="00026F8D" w:rsidP="00731F39">
      <w:pPr>
        <w:spacing w:after="0" w:line="480" w:lineRule="auto"/>
        <w:rPr>
          <w:rFonts w:cstheme="minorHAnsi"/>
          <w:color w:val="000000" w:themeColor="text1"/>
          <w:sz w:val="20"/>
          <w:szCs w:val="20"/>
        </w:rPr>
      </w:pPr>
      <w:r w:rsidRPr="00B34F49">
        <w:rPr>
          <w:rStyle w:val="EndnoteReference"/>
          <w:rFonts w:cstheme="minorHAnsi"/>
          <w:color w:val="000000" w:themeColor="text1"/>
          <w:sz w:val="20"/>
          <w:szCs w:val="20"/>
        </w:rPr>
        <w:endnoteRef/>
      </w:r>
      <w:r w:rsidRPr="00B34F49">
        <w:rPr>
          <w:rFonts w:cstheme="minorHAnsi"/>
          <w:color w:val="000000" w:themeColor="text1"/>
          <w:sz w:val="20"/>
          <w:szCs w:val="20"/>
        </w:rPr>
        <w:t xml:space="preserve"> Angell M. </w:t>
      </w:r>
      <w:hyperlink r:id="rId2" w:history="1">
        <w:r w:rsidRPr="00B34F49">
          <w:rPr>
            <w:rStyle w:val="Hyperlink"/>
            <w:rFonts w:cstheme="minorHAnsi"/>
            <w:color w:val="000000" w:themeColor="text1"/>
            <w:sz w:val="20"/>
            <w:szCs w:val="20"/>
            <w:u w:val="none"/>
            <w:shd w:val="clear" w:color="auto" w:fill="FFFFFF"/>
          </w:rPr>
          <w:t>The ethics of clinical research in the Third World.</w:t>
        </w:r>
      </w:hyperlink>
      <w:r w:rsidRPr="00B34F49">
        <w:rPr>
          <w:rFonts w:cstheme="minorHAnsi"/>
          <w:color w:val="000000" w:themeColor="text1"/>
          <w:sz w:val="20"/>
          <w:szCs w:val="20"/>
        </w:rPr>
        <w:t xml:space="preserve"> New England Journal of Medicine </w:t>
      </w:r>
      <w:r w:rsidRPr="00B34F49">
        <w:rPr>
          <w:rStyle w:val="docsum-journal-citation"/>
          <w:rFonts w:cstheme="minorHAnsi"/>
          <w:color w:val="000000" w:themeColor="text1"/>
          <w:sz w:val="20"/>
          <w:szCs w:val="20"/>
        </w:rPr>
        <w:t>1997;337:847-9.</w:t>
      </w:r>
    </w:p>
  </w:endnote>
  <w:endnote w:id="7">
    <w:p w14:paraId="6EEC34E2" w14:textId="1A632EC9" w:rsidR="00026F8D" w:rsidRDefault="00026F8D" w:rsidP="00731F39">
      <w:pPr>
        <w:pStyle w:val="EndnoteText"/>
        <w:spacing w:line="480" w:lineRule="auto"/>
      </w:pPr>
      <w:r w:rsidRPr="00B34F49">
        <w:rPr>
          <w:rStyle w:val="EndnoteReference"/>
          <w:rFonts w:cstheme="minorHAnsi"/>
          <w:color w:val="000000" w:themeColor="text1"/>
        </w:rPr>
        <w:endnoteRef/>
      </w:r>
      <w:r w:rsidRPr="00B34F49">
        <w:rPr>
          <w:rFonts w:cstheme="minorHAnsi"/>
          <w:color w:val="000000" w:themeColor="text1"/>
        </w:rPr>
        <w:t xml:space="preserve"> Jobe AH. Pulmonary surfactant</w:t>
      </w:r>
      <w:r w:rsidRPr="00B34F49">
        <w:rPr>
          <w:color w:val="000000" w:themeColor="text1"/>
        </w:rPr>
        <w:t xml:space="preserve"> </w:t>
      </w:r>
      <w:r>
        <w:t>therapy. New England Journal of Medicine 1993;328:861-8.</w:t>
      </w:r>
    </w:p>
  </w:endnote>
  <w:endnote w:id="8">
    <w:p w14:paraId="2B83383D" w14:textId="31F33413" w:rsidR="00026F8D" w:rsidRPr="0062774A" w:rsidRDefault="00026F8D" w:rsidP="00731F39">
      <w:pPr>
        <w:pStyle w:val="EndnoteText"/>
        <w:spacing w:line="480" w:lineRule="auto"/>
        <w:rPr>
          <w:rFonts w:cstheme="minorHAnsi"/>
          <w:color w:val="000000" w:themeColor="text1"/>
        </w:rPr>
      </w:pPr>
      <w:r>
        <w:rPr>
          <w:rStyle w:val="EndnoteReference"/>
        </w:rPr>
        <w:endnoteRef/>
      </w:r>
      <w:r>
        <w:t xml:space="preserve"> Soll RF. Synthetic surfactant for respiratory distress syndrome in preterm infants (Cochrane Review). In: The Cochrane Library, </w:t>
      </w:r>
      <w:r w:rsidRPr="0062774A">
        <w:rPr>
          <w:rFonts w:cstheme="minorHAnsi"/>
          <w:color w:val="000000" w:themeColor="text1"/>
        </w:rPr>
        <w:t>issue 4. Oxford: Update Software;2000.</w:t>
      </w:r>
    </w:p>
  </w:endnote>
  <w:endnote w:id="9">
    <w:p w14:paraId="28F87DAC" w14:textId="3C660DED" w:rsidR="00026F8D" w:rsidRPr="0062774A" w:rsidRDefault="00026F8D" w:rsidP="00731F39">
      <w:pPr>
        <w:spacing w:after="0" w:line="480" w:lineRule="auto"/>
        <w:rPr>
          <w:rFonts w:cstheme="minorHAnsi"/>
          <w:color w:val="000000" w:themeColor="text1"/>
          <w:sz w:val="20"/>
          <w:szCs w:val="20"/>
        </w:rPr>
      </w:pPr>
      <w:r w:rsidRPr="0062774A">
        <w:rPr>
          <w:rStyle w:val="EndnoteReference"/>
          <w:rFonts w:cstheme="minorHAnsi"/>
          <w:color w:val="000000" w:themeColor="text1"/>
          <w:sz w:val="20"/>
          <w:szCs w:val="20"/>
        </w:rPr>
        <w:endnoteRef/>
      </w:r>
      <w:r w:rsidRPr="0062774A">
        <w:rPr>
          <w:rFonts w:cstheme="minorHAnsi"/>
          <w:color w:val="000000" w:themeColor="text1"/>
          <w:sz w:val="20"/>
          <w:szCs w:val="20"/>
        </w:rPr>
        <w:t xml:space="preserve"> </w:t>
      </w:r>
      <w:r w:rsidRPr="0062774A">
        <w:rPr>
          <w:rStyle w:val="docsum-authors"/>
          <w:rFonts w:cstheme="minorHAnsi"/>
          <w:color w:val="000000" w:themeColor="text1"/>
          <w:sz w:val="20"/>
          <w:szCs w:val="20"/>
        </w:rPr>
        <w:t>Shapiro HT, Meslin EM.</w:t>
      </w:r>
      <w:r w:rsidRPr="0062774A">
        <w:rPr>
          <w:rFonts w:cstheme="minorHAnsi"/>
          <w:color w:val="000000" w:themeColor="text1"/>
          <w:sz w:val="20"/>
          <w:szCs w:val="20"/>
        </w:rPr>
        <w:t xml:space="preserve"> </w:t>
      </w:r>
      <w:hyperlink r:id="rId3" w:history="1">
        <w:r w:rsidRPr="0062774A">
          <w:rPr>
            <w:rStyle w:val="Hyperlink"/>
            <w:rFonts w:cstheme="minorHAnsi"/>
            <w:color w:val="000000" w:themeColor="text1"/>
            <w:sz w:val="20"/>
            <w:szCs w:val="20"/>
            <w:u w:val="none"/>
            <w:shd w:val="clear" w:color="auto" w:fill="FFFFFF"/>
          </w:rPr>
          <w:t>Ethical issues in the design and conduct of clinical trials in developing countries.</w:t>
        </w:r>
      </w:hyperlink>
      <w:r w:rsidRPr="0062774A">
        <w:rPr>
          <w:rFonts w:cstheme="minorHAnsi"/>
          <w:color w:val="000000" w:themeColor="text1"/>
          <w:sz w:val="20"/>
          <w:szCs w:val="20"/>
        </w:rPr>
        <w:t xml:space="preserve"> New England Journal of Medicine 2</w:t>
      </w:r>
      <w:r w:rsidRPr="0062774A">
        <w:rPr>
          <w:rStyle w:val="docsum-journal-citation"/>
          <w:rFonts w:cstheme="minorHAnsi"/>
          <w:color w:val="000000" w:themeColor="text1"/>
          <w:sz w:val="20"/>
          <w:szCs w:val="20"/>
        </w:rPr>
        <w:t>001;345:139-42.</w:t>
      </w:r>
    </w:p>
  </w:endnote>
  <w:endnote w:id="10">
    <w:p w14:paraId="1B636058" w14:textId="2AE121E4" w:rsidR="00026F8D" w:rsidRDefault="00026F8D" w:rsidP="00731F39">
      <w:pPr>
        <w:pStyle w:val="EndnoteText"/>
        <w:spacing w:line="480" w:lineRule="auto"/>
      </w:pPr>
      <w:r w:rsidRPr="0062774A">
        <w:rPr>
          <w:rStyle w:val="EndnoteReference"/>
          <w:rFonts w:cstheme="minorHAnsi"/>
          <w:color w:val="000000" w:themeColor="text1"/>
        </w:rPr>
        <w:endnoteRef/>
      </w:r>
      <w:r w:rsidRPr="0062774A">
        <w:rPr>
          <w:rFonts w:cstheme="minorHAnsi"/>
          <w:color w:val="000000" w:themeColor="text1"/>
        </w:rPr>
        <w:t xml:space="preserve"> World Medical Association</w:t>
      </w:r>
      <w:r w:rsidRPr="001C2ECC">
        <w:t>. Declaration of Helsinki (amended 2013). Available</w:t>
      </w:r>
      <w:r>
        <w:t xml:space="preserve"> at </w:t>
      </w:r>
      <w:hyperlink r:id="rId4" w:history="1">
        <w:r>
          <w:rPr>
            <w:rStyle w:val="Hyperlink"/>
          </w:rPr>
          <w:t>WMA Declaration of Helsinki – Ethical Principles for Medical Research Involving Human Subjects – WMA – The World Medical Association</w:t>
        </w:r>
      </w:hyperlink>
      <w:r>
        <w:t xml:space="preserve"> (accessed February 16, 2021).</w:t>
      </w:r>
    </w:p>
  </w:endnote>
  <w:endnote w:id="11">
    <w:p w14:paraId="45ADC1B0" w14:textId="348B1591" w:rsidR="00026F8D" w:rsidRPr="00DA3D70" w:rsidRDefault="00026F8D" w:rsidP="00731F39">
      <w:pPr>
        <w:pStyle w:val="EndnoteText"/>
        <w:spacing w:line="480" w:lineRule="auto"/>
        <w:rPr>
          <w:color w:val="000000" w:themeColor="text1"/>
        </w:rPr>
      </w:pPr>
      <w:r>
        <w:rPr>
          <w:rStyle w:val="EndnoteReference"/>
        </w:rPr>
        <w:endnoteRef/>
      </w:r>
      <w:r>
        <w:t xml:space="preserve"> Council for International Organizations of Medical Sciences (CIOMS). International Ethical Guidelines for Health-related Research </w:t>
      </w:r>
      <w:r w:rsidRPr="00DA3D70">
        <w:rPr>
          <w:color w:val="000000" w:themeColor="text1"/>
        </w:rPr>
        <w:t xml:space="preserve">Involving Humans. Available at: </w:t>
      </w:r>
      <w:hyperlink r:id="rId5" w:history="1">
        <w:r w:rsidRPr="00DA3D70">
          <w:rPr>
            <w:rStyle w:val="Hyperlink"/>
            <w:color w:val="000000" w:themeColor="text1"/>
          </w:rPr>
          <w:t>WEB-CIOMS-EthicalGuidelines.pdf</w:t>
        </w:r>
      </w:hyperlink>
      <w:r w:rsidRPr="00DA3D70">
        <w:rPr>
          <w:color w:val="000000" w:themeColor="text1"/>
        </w:rPr>
        <w:t xml:space="preserve"> (accessed February 16, 2021).</w:t>
      </w:r>
    </w:p>
  </w:endnote>
  <w:endnote w:id="12">
    <w:p w14:paraId="3A7D7D96" w14:textId="63917866" w:rsidR="00026F8D" w:rsidRPr="00DD662F" w:rsidRDefault="00026F8D" w:rsidP="00731F39">
      <w:pPr>
        <w:pStyle w:val="Heading1"/>
        <w:shd w:val="clear" w:color="auto" w:fill="FFFFFF"/>
        <w:spacing w:before="0" w:beforeAutospacing="0" w:after="0" w:afterAutospacing="0" w:line="480" w:lineRule="auto"/>
        <w:textAlignment w:val="baseline"/>
        <w:rPr>
          <w:rFonts w:asciiTheme="minorHAnsi" w:hAnsiTheme="minorHAnsi" w:cstheme="minorHAnsi"/>
          <w:b w:val="0"/>
          <w:bCs w:val="0"/>
          <w:color w:val="000000" w:themeColor="text1"/>
          <w:sz w:val="20"/>
          <w:szCs w:val="20"/>
        </w:rPr>
      </w:pPr>
      <w:r w:rsidRPr="00DD662F">
        <w:rPr>
          <w:rStyle w:val="EndnoteReference"/>
          <w:rFonts w:asciiTheme="minorHAnsi" w:hAnsiTheme="minorHAnsi" w:cstheme="minorHAnsi"/>
          <w:b w:val="0"/>
          <w:bCs w:val="0"/>
          <w:color w:val="000000" w:themeColor="text1"/>
          <w:sz w:val="20"/>
          <w:szCs w:val="20"/>
        </w:rPr>
        <w:endnoteRef/>
      </w:r>
      <w:r w:rsidRPr="00DD662F">
        <w:rPr>
          <w:rFonts w:asciiTheme="minorHAnsi" w:hAnsiTheme="minorHAnsi" w:cstheme="minorHAnsi"/>
          <w:b w:val="0"/>
          <w:bCs w:val="0"/>
          <w:color w:val="000000" w:themeColor="text1"/>
          <w:sz w:val="20"/>
          <w:szCs w:val="20"/>
        </w:rPr>
        <w:t xml:space="preserve"> </w:t>
      </w:r>
      <w:r w:rsidRPr="003A4336">
        <w:rPr>
          <w:rFonts w:asciiTheme="minorHAnsi" w:hAnsiTheme="minorHAnsi" w:cstheme="minorHAnsi"/>
          <w:b w:val="0"/>
          <w:bCs w:val="0"/>
          <w:color w:val="000000" w:themeColor="text1"/>
          <w:sz w:val="20"/>
          <w:szCs w:val="20"/>
        </w:rPr>
        <w:t>Connor</w:t>
      </w:r>
      <w:r w:rsidRPr="00DD662F">
        <w:rPr>
          <w:rFonts w:asciiTheme="minorHAnsi" w:hAnsiTheme="minorHAnsi" w:cstheme="minorHAnsi"/>
          <w:b w:val="0"/>
          <w:bCs w:val="0"/>
          <w:color w:val="000000" w:themeColor="text1"/>
          <w:sz w:val="20"/>
          <w:szCs w:val="20"/>
        </w:rPr>
        <w:t xml:space="preserve"> EM</w:t>
      </w:r>
      <w:r w:rsidRPr="003A4336">
        <w:rPr>
          <w:rFonts w:asciiTheme="minorHAnsi" w:hAnsiTheme="minorHAnsi" w:cstheme="minorHAnsi"/>
          <w:b w:val="0"/>
          <w:bCs w:val="0"/>
          <w:color w:val="000000" w:themeColor="text1"/>
          <w:sz w:val="20"/>
          <w:szCs w:val="20"/>
        </w:rPr>
        <w:t>,</w:t>
      </w:r>
      <w:r w:rsidRPr="00DD662F">
        <w:rPr>
          <w:rFonts w:asciiTheme="minorHAnsi" w:hAnsiTheme="minorHAnsi" w:cstheme="minorHAnsi"/>
          <w:b w:val="0"/>
          <w:bCs w:val="0"/>
          <w:color w:val="000000" w:themeColor="text1"/>
          <w:sz w:val="20"/>
          <w:szCs w:val="20"/>
        </w:rPr>
        <w:t xml:space="preserve"> S</w:t>
      </w:r>
      <w:r w:rsidRPr="003A4336">
        <w:rPr>
          <w:rFonts w:asciiTheme="minorHAnsi" w:hAnsiTheme="minorHAnsi" w:cstheme="minorHAnsi"/>
          <w:b w:val="0"/>
          <w:bCs w:val="0"/>
          <w:color w:val="000000" w:themeColor="text1"/>
          <w:sz w:val="20"/>
          <w:szCs w:val="20"/>
        </w:rPr>
        <w:t>perling</w:t>
      </w:r>
      <w:r w:rsidRPr="00DD662F">
        <w:rPr>
          <w:rFonts w:asciiTheme="minorHAnsi" w:hAnsiTheme="minorHAnsi" w:cstheme="minorHAnsi"/>
          <w:b w:val="0"/>
          <w:bCs w:val="0"/>
          <w:color w:val="000000" w:themeColor="text1"/>
          <w:sz w:val="20"/>
          <w:szCs w:val="20"/>
        </w:rPr>
        <w:t xml:space="preserve"> RS</w:t>
      </w:r>
      <w:r w:rsidRPr="003A4336">
        <w:rPr>
          <w:rFonts w:asciiTheme="minorHAnsi" w:hAnsiTheme="minorHAnsi" w:cstheme="minorHAnsi"/>
          <w:b w:val="0"/>
          <w:bCs w:val="0"/>
          <w:color w:val="000000" w:themeColor="text1"/>
          <w:sz w:val="20"/>
          <w:szCs w:val="20"/>
        </w:rPr>
        <w:t>,</w:t>
      </w:r>
      <w:r w:rsidRPr="00DD662F">
        <w:rPr>
          <w:rFonts w:asciiTheme="minorHAnsi" w:hAnsiTheme="minorHAnsi" w:cstheme="minorHAnsi"/>
          <w:b w:val="0"/>
          <w:bCs w:val="0"/>
          <w:color w:val="000000" w:themeColor="text1"/>
          <w:sz w:val="20"/>
          <w:szCs w:val="20"/>
        </w:rPr>
        <w:t xml:space="preserve"> </w:t>
      </w:r>
      <w:r w:rsidRPr="003A4336">
        <w:rPr>
          <w:rFonts w:asciiTheme="minorHAnsi" w:hAnsiTheme="minorHAnsi" w:cstheme="minorHAnsi"/>
          <w:b w:val="0"/>
          <w:bCs w:val="0"/>
          <w:color w:val="000000" w:themeColor="text1"/>
          <w:sz w:val="20"/>
          <w:szCs w:val="20"/>
        </w:rPr>
        <w:t>Gelber</w:t>
      </w:r>
      <w:r w:rsidRPr="00DD662F">
        <w:rPr>
          <w:rFonts w:asciiTheme="minorHAnsi" w:hAnsiTheme="minorHAnsi" w:cstheme="minorHAnsi"/>
          <w:b w:val="0"/>
          <w:bCs w:val="0"/>
          <w:color w:val="000000" w:themeColor="text1"/>
          <w:sz w:val="20"/>
          <w:szCs w:val="20"/>
        </w:rPr>
        <w:t xml:space="preserve"> R</w:t>
      </w:r>
      <w:r w:rsidRPr="003A4336">
        <w:rPr>
          <w:rFonts w:asciiTheme="minorHAnsi" w:hAnsiTheme="minorHAnsi" w:cstheme="minorHAnsi"/>
          <w:b w:val="0"/>
          <w:bCs w:val="0"/>
          <w:color w:val="000000" w:themeColor="text1"/>
          <w:sz w:val="20"/>
          <w:szCs w:val="20"/>
        </w:rPr>
        <w:t>,</w:t>
      </w:r>
      <w:r w:rsidRPr="00DD662F">
        <w:rPr>
          <w:rFonts w:asciiTheme="minorHAnsi" w:hAnsiTheme="minorHAnsi" w:cstheme="minorHAnsi"/>
          <w:b w:val="0"/>
          <w:bCs w:val="0"/>
          <w:color w:val="000000" w:themeColor="text1"/>
          <w:sz w:val="20"/>
          <w:szCs w:val="20"/>
        </w:rPr>
        <w:t xml:space="preserve"> et al. </w:t>
      </w:r>
      <w:r w:rsidRPr="00DD662F">
        <w:rPr>
          <w:rFonts w:asciiTheme="minorHAnsi" w:hAnsiTheme="minorHAnsi" w:cstheme="minorHAnsi"/>
          <w:b w:val="0"/>
          <w:bCs w:val="0"/>
          <w:color w:val="000000" w:themeColor="text1"/>
          <w:spacing w:val="-2"/>
          <w:sz w:val="20"/>
          <w:szCs w:val="20"/>
          <w:bdr w:val="none" w:sz="0" w:space="0" w:color="auto" w:frame="1"/>
        </w:rPr>
        <w:t xml:space="preserve">Reduction of </w:t>
      </w:r>
      <w:r>
        <w:rPr>
          <w:rFonts w:asciiTheme="minorHAnsi" w:hAnsiTheme="minorHAnsi" w:cstheme="minorHAnsi"/>
          <w:b w:val="0"/>
          <w:bCs w:val="0"/>
          <w:color w:val="000000" w:themeColor="text1"/>
          <w:spacing w:val="-2"/>
          <w:sz w:val="20"/>
          <w:szCs w:val="20"/>
          <w:bdr w:val="none" w:sz="0" w:space="0" w:color="auto" w:frame="1"/>
        </w:rPr>
        <w:t>m</w:t>
      </w:r>
      <w:r w:rsidRPr="00DD662F">
        <w:rPr>
          <w:rFonts w:asciiTheme="minorHAnsi" w:hAnsiTheme="minorHAnsi" w:cstheme="minorHAnsi"/>
          <w:b w:val="0"/>
          <w:bCs w:val="0"/>
          <w:color w:val="000000" w:themeColor="text1"/>
          <w:spacing w:val="-2"/>
          <w:sz w:val="20"/>
          <w:szCs w:val="20"/>
          <w:bdr w:val="none" w:sz="0" w:space="0" w:color="auto" w:frame="1"/>
        </w:rPr>
        <w:t>aternal-</w:t>
      </w:r>
      <w:r>
        <w:rPr>
          <w:rFonts w:asciiTheme="minorHAnsi" w:hAnsiTheme="minorHAnsi" w:cstheme="minorHAnsi"/>
          <w:b w:val="0"/>
          <w:bCs w:val="0"/>
          <w:color w:val="000000" w:themeColor="text1"/>
          <w:spacing w:val="-2"/>
          <w:sz w:val="20"/>
          <w:szCs w:val="20"/>
          <w:bdr w:val="none" w:sz="0" w:space="0" w:color="auto" w:frame="1"/>
        </w:rPr>
        <w:t>i</w:t>
      </w:r>
      <w:r w:rsidRPr="00DD662F">
        <w:rPr>
          <w:rFonts w:asciiTheme="minorHAnsi" w:hAnsiTheme="minorHAnsi" w:cstheme="minorHAnsi"/>
          <w:b w:val="0"/>
          <w:bCs w:val="0"/>
          <w:color w:val="000000" w:themeColor="text1"/>
          <w:spacing w:val="-2"/>
          <w:sz w:val="20"/>
          <w:szCs w:val="20"/>
          <w:bdr w:val="none" w:sz="0" w:space="0" w:color="auto" w:frame="1"/>
        </w:rPr>
        <w:t xml:space="preserve">nfant </w:t>
      </w:r>
      <w:r>
        <w:rPr>
          <w:rFonts w:asciiTheme="minorHAnsi" w:hAnsiTheme="minorHAnsi" w:cstheme="minorHAnsi"/>
          <w:b w:val="0"/>
          <w:bCs w:val="0"/>
          <w:color w:val="000000" w:themeColor="text1"/>
          <w:spacing w:val="-2"/>
          <w:sz w:val="20"/>
          <w:szCs w:val="20"/>
          <w:bdr w:val="none" w:sz="0" w:space="0" w:color="auto" w:frame="1"/>
        </w:rPr>
        <w:t>t</w:t>
      </w:r>
      <w:r w:rsidRPr="00DD662F">
        <w:rPr>
          <w:rFonts w:asciiTheme="minorHAnsi" w:hAnsiTheme="minorHAnsi" w:cstheme="minorHAnsi"/>
          <w:b w:val="0"/>
          <w:bCs w:val="0"/>
          <w:color w:val="000000" w:themeColor="text1"/>
          <w:spacing w:val="-2"/>
          <w:sz w:val="20"/>
          <w:szCs w:val="20"/>
          <w:bdr w:val="none" w:sz="0" w:space="0" w:color="auto" w:frame="1"/>
        </w:rPr>
        <w:t xml:space="preserve">ransmission of Human Immunodeficiency Virus Type 1 with zidovudine treatment. </w:t>
      </w:r>
      <w:r w:rsidRPr="00DD662F">
        <w:rPr>
          <w:rFonts w:asciiTheme="minorHAnsi" w:hAnsiTheme="minorHAnsi" w:cstheme="minorHAnsi"/>
          <w:b w:val="0"/>
          <w:bCs w:val="0"/>
          <w:color w:val="000000" w:themeColor="text1"/>
          <w:sz w:val="20"/>
          <w:szCs w:val="20"/>
        </w:rPr>
        <w:t xml:space="preserve">New England Journal of Medicine </w:t>
      </w:r>
      <w:r w:rsidRPr="00DD662F">
        <w:rPr>
          <w:rFonts w:asciiTheme="minorHAnsi" w:hAnsiTheme="minorHAnsi" w:cstheme="minorHAnsi"/>
          <w:b w:val="0"/>
          <w:bCs w:val="0"/>
          <w:color w:val="000000" w:themeColor="text1"/>
          <w:sz w:val="20"/>
          <w:szCs w:val="20"/>
          <w:shd w:val="clear" w:color="auto" w:fill="FFFFFF"/>
        </w:rPr>
        <w:t>1994; 331:1173-1180.</w:t>
      </w:r>
    </w:p>
  </w:endnote>
  <w:endnote w:id="13">
    <w:p w14:paraId="74B7070E" w14:textId="2E006D1D" w:rsidR="00026F8D" w:rsidRPr="004F499F" w:rsidRDefault="00026F8D" w:rsidP="00731F39">
      <w:pPr>
        <w:spacing w:after="0" w:line="480" w:lineRule="auto"/>
        <w:rPr>
          <w:rFonts w:cstheme="minorHAnsi"/>
          <w:color w:val="000000" w:themeColor="text1"/>
          <w:sz w:val="20"/>
          <w:szCs w:val="20"/>
        </w:rPr>
      </w:pPr>
      <w:r w:rsidRPr="00DD662F">
        <w:rPr>
          <w:rStyle w:val="EndnoteReference"/>
          <w:rFonts w:cstheme="minorHAnsi"/>
          <w:color w:val="000000" w:themeColor="text1"/>
          <w:sz w:val="20"/>
          <w:szCs w:val="20"/>
        </w:rPr>
        <w:endnoteRef/>
      </w:r>
      <w:r w:rsidRPr="00DD662F">
        <w:rPr>
          <w:rFonts w:cstheme="minorHAnsi"/>
          <w:color w:val="000000" w:themeColor="text1"/>
          <w:sz w:val="20"/>
          <w:szCs w:val="20"/>
        </w:rPr>
        <w:t xml:space="preserve"> Lurie P, Wolfe SM. The developing world as the “answer” to the dreams of pharmaceutical companies: the Surfaxin story. In: Lavery JV, Grady C, Wahl ER, Emanuel EJ. Ethical Issues in International Biomedical Research. Oxford </w:t>
      </w:r>
      <w:r w:rsidRPr="004F499F">
        <w:rPr>
          <w:rFonts w:cstheme="minorHAnsi"/>
          <w:color w:val="000000" w:themeColor="text1"/>
          <w:sz w:val="20"/>
          <w:szCs w:val="20"/>
        </w:rPr>
        <w:t>University Press, Oxford, 2007, pp. 159-70.</w:t>
      </w:r>
    </w:p>
  </w:endnote>
  <w:endnote w:id="14">
    <w:p w14:paraId="7402FFFC" w14:textId="54438C02" w:rsidR="00026F8D" w:rsidRPr="004F499F" w:rsidRDefault="00026F8D" w:rsidP="00731F39">
      <w:pPr>
        <w:spacing w:after="0" w:line="480" w:lineRule="auto"/>
        <w:rPr>
          <w:rFonts w:cstheme="minorHAnsi"/>
          <w:color w:val="000000" w:themeColor="text1"/>
          <w:sz w:val="20"/>
          <w:szCs w:val="20"/>
        </w:rPr>
      </w:pPr>
      <w:r w:rsidRPr="004F499F">
        <w:rPr>
          <w:rStyle w:val="EndnoteReference"/>
          <w:rFonts w:cstheme="minorHAnsi"/>
          <w:color w:val="000000" w:themeColor="text1"/>
          <w:sz w:val="20"/>
          <w:szCs w:val="20"/>
        </w:rPr>
        <w:endnoteRef/>
      </w:r>
      <w:r w:rsidRPr="004F499F">
        <w:rPr>
          <w:rFonts w:cstheme="minorHAnsi"/>
          <w:color w:val="000000" w:themeColor="text1"/>
          <w:sz w:val="20"/>
          <w:szCs w:val="20"/>
        </w:rPr>
        <w:t xml:space="preserve"> </w:t>
      </w:r>
      <w:r w:rsidRPr="004F499F">
        <w:rPr>
          <w:rFonts w:eastAsia="Times New Roman" w:cstheme="minorHAnsi"/>
          <w:color w:val="000000" w:themeColor="text1"/>
          <w:sz w:val="20"/>
          <w:szCs w:val="20"/>
        </w:rPr>
        <w:t>Lallemant M, Jourdain G, Le Coeur S, et al. New England Journal of Medicine 2000;343:982-91.</w:t>
      </w:r>
    </w:p>
  </w:endnote>
  <w:endnote w:id="15">
    <w:p w14:paraId="27E8862F" w14:textId="179205AC" w:rsidR="00026F8D" w:rsidRDefault="00026F8D" w:rsidP="00731F39">
      <w:pPr>
        <w:pStyle w:val="EndnoteText"/>
        <w:spacing w:line="480" w:lineRule="auto"/>
      </w:pPr>
      <w:r>
        <w:rPr>
          <w:rStyle w:val="EndnoteReference"/>
        </w:rPr>
        <w:endnoteRef/>
      </w:r>
      <w:r>
        <w:t xml:space="preserve"> Food and Drug Administration, Center for Biologics Evaluation and Research. Development and Licensure of Vaccines to Prevent COVID-19. Guidance for Industry. Available at: </w:t>
      </w:r>
      <w:hyperlink r:id="rId6" w:history="1">
        <w:r w:rsidRPr="00637798">
          <w:rPr>
            <w:rStyle w:val="Hyperlink"/>
          </w:rPr>
          <w:t>https://www.fda.gov/media/139638/download</w:t>
        </w:r>
      </w:hyperlink>
      <w:r>
        <w:t xml:space="preserve"> (accessed February 18, 2021).</w:t>
      </w:r>
    </w:p>
  </w:endnote>
  <w:endnote w:id="16">
    <w:p w14:paraId="24411A11" w14:textId="7B3D8C51" w:rsidR="00026F8D" w:rsidRDefault="00026F8D" w:rsidP="00731F39">
      <w:pPr>
        <w:pStyle w:val="EndnoteText"/>
        <w:spacing w:line="480" w:lineRule="auto"/>
      </w:pPr>
      <w:r>
        <w:rPr>
          <w:rStyle w:val="EndnoteReference"/>
        </w:rPr>
        <w:endnoteRef/>
      </w:r>
      <w:r>
        <w:t xml:space="preserve"> World Health Organization. Considerations for Evaluation of COVID 19 Vaccines. November 25, 2020. Available at: </w:t>
      </w:r>
      <w:hyperlink r:id="rId7" w:history="1">
        <w:r w:rsidRPr="00637798">
          <w:rPr>
            <w:rStyle w:val="Hyperlink"/>
          </w:rPr>
          <w:t>https://cdn.who.int/media/docs/default-source/in-vitro-diagnostics/covid19/considerations-who-evaluation-of-covid-vaccine_v25_11_2020.pdf?sfvrsn=f14bc2b1_3&amp;download=true</w:t>
        </w:r>
      </w:hyperlink>
      <w:r>
        <w:t xml:space="preserve"> (accessed February 18, 2021).</w:t>
      </w:r>
    </w:p>
  </w:endnote>
  <w:endnote w:id="17">
    <w:p w14:paraId="039B17FB" w14:textId="28B58BDD" w:rsidR="001453D5" w:rsidRDefault="001453D5" w:rsidP="00731F39">
      <w:pPr>
        <w:pStyle w:val="EndnoteText"/>
        <w:spacing w:line="480" w:lineRule="auto"/>
      </w:pPr>
      <w:r>
        <w:rPr>
          <w:rStyle w:val="EndnoteReference"/>
        </w:rPr>
        <w:endnoteRef/>
      </w:r>
      <w:r>
        <w:t xml:space="preserve"> </w:t>
      </w:r>
      <w:r w:rsidRPr="001453D5">
        <w:rPr>
          <w:rFonts w:cstheme="minorHAnsi"/>
          <w:color w:val="000000" w:themeColor="text1"/>
        </w:rPr>
        <w:t>Voysey M, Clemens SAC, Madhi SA,</w:t>
      </w:r>
      <w:r w:rsidR="001A5B4C">
        <w:rPr>
          <w:rFonts w:cstheme="minorHAnsi"/>
          <w:color w:val="000000" w:themeColor="text1"/>
        </w:rPr>
        <w:t xml:space="preserve"> et al.</w:t>
      </w:r>
      <w:r w:rsidRPr="001453D5">
        <w:rPr>
          <w:rFonts w:cstheme="minorHAnsi"/>
          <w:color w:val="000000" w:themeColor="text1"/>
        </w:rPr>
        <w:t xml:space="preserve"> </w:t>
      </w:r>
      <w:r w:rsidRPr="001453D5">
        <w:rPr>
          <w:rFonts w:eastAsia="Times New Roman" w:cstheme="minorHAnsi"/>
          <w:color w:val="000000" w:themeColor="text1"/>
          <w:kern w:val="36"/>
        </w:rPr>
        <w:t xml:space="preserve">Safety and efficacy of the ChAdOx1 nCoV-19 vaccine (AZD1222) against SARS-CoV-2: an interim analysis of four randomised controlled trials in Brazil, South Africa, and the UK. </w:t>
      </w:r>
      <w:r w:rsidRPr="001453D5">
        <w:rPr>
          <w:rFonts w:eastAsia="Times New Roman" w:cstheme="minorHAnsi"/>
          <w:color w:val="000000" w:themeColor="text1"/>
        </w:rPr>
        <w:t>Lancet 2021;397:99-111.</w:t>
      </w:r>
    </w:p>
  </w:endnote>
  <w:endnote w:id="18">
    <w:p w14:paraId="77C3FE7F" w14:textId="7B7253F1" w:rsidR="00A770C1" w:rsidRPr="002C238B" w:rsidRDefault="00A770C1" w:rsidP="00731F39">
      <w:pPr>
        <w:pStyle w:val="EndnoteText"/>
        <w:spacing w:line="480" w:lineRule="auto"/>
        <w:rPr>
          <w:rFonts w:cstheme="minorHAnsi"/>
          <w:color w:val="000000" w:themeColor="text1"/>
        </w:rPr>
      </w:pPr>
      <w:r>
        <w:rPr>
          <w:rStyle w:val="EndnoteReference"/>
        </w:rPr>
        <w:endnoteRef/>
      </w:r>
      <w:r>
        <w:t xml:space="preserve"> Fleming TR, Krause PR, Nason M, Longini IM, Henao-Restrepo AM. COVID-19 vaccine trials: the use of active controls and non-inferiority studies</w:t>
      </w:r>
      <w:r w:rsidRPr="002C238B">
        <w:t xml:space="preserve">. </w:t>
      </w:r>
      <w:r w:rsidRPr="002C238B">
        <w:rPr>
          <w:rFonts w:cstheme="minorHAnsi"/>
          <w:color w:val="000000" w:themeColor="text1"/>
        </w:rPr>
        <w:t>Clinical Trial</w:t>
      </w:r>
      <w:r w:rsidR="009C3D1F" w:rsidRPr="002C238B">
        <w:rPr>
          <w:rFonts w:cstheme="minorHAnsi"/>
          <w:color w:val="000000" w:themeColor="text1"/>
        </w:rPr>
        <w:t xml:space="preserve">s </w:t>
      </w:r>
      <w:r w:rsidR="009C3D1F" w:rsidRPr="002C238B">
        <w:rPr>
          <w:rFonts w:cstheme="minorHAnsi"/>
          <w:color w:val="000000" w:themeColor="text1"/>
          <w:shd w:val="clear" w:color="auto" w:fill="FFFFFF"/>
        </w:rPr>
        <w:t>2021. doi: 10.1177/1740774520988244.</w:t>
      </w:r>
    </w:p>
  </w:endnote>
  <w:endnote w:id="19">
    <w:p w14:paraId="5EFE6D05" w14:textId="77777777" w:rsidR="00FB0189" w:rsidRPr="000C66E1" w:rsidRDefault="00FB0189" w:rsidP="00731F39">
      <w:pPr>
        <w:spacing w:after="0" w:line="480" w:lineRule="auto"/>
        <w:rPr>
          <w:rFonts w:cstheme="minorHAnsi"/>
          <w:color w:val="000000" w:themeColor="text1"/>
          <w:sz w:val="20"/>
          <w:szCs w:val="20"/>
        </w:rPr>
      </w:pPr>
      <w:r w:rsidRPr="000C66E1">
        <w:rPr>
          <w:rStyle w:val="EndnoteReference"/>
          <w:rFonts w:cstheme="minorHAnsi"/>
          <w:color w:val="000000" w:themeColor="text1"/>
          <w:sz w:val="20"/>
          <w:szCs w:val="20"/>
        </w:rPr>
        <w:endnoteRef/>
      </w:r>
      <w:r w:rsidRPr="000C66E1">
        <w:rPr>
          <w:rFonts w:cstheme="minorHAnsi"/>
          <w:color w:val="000000" w:themeColor="text1"/>
          <w:sz w:val="20"/>
          <w:szCs w:val="20"/>
        </w:rPr>
        <w:t xml:space="preserve"> </w:t>
      </w:r>
      <w:r w:rsidRPr="000C66E1">
        <w:rPr>
          <w:rFonts w:eastAsia="Times New Roman" w:cstheme="minorHAnsi"/>
          <w:color w:val="000000" w:themeColor="text1"/>
          <w:sz w:val="20"/>
          <w:szCs w:val="20"/>
        </w:rPr>
        <w:t xml:space="preserve">Kahn JP, Henry LM, Mastroianni AC, Chen WH, Macklin R. </w:t>
      </w:r>
      <w:hyperlink r:id="rId8" w:history="1">
        <w:r w:rsidRPr="000C66E1">
          <w:rPr>
            <w:rFonts w:eastAsia="Times New Roman" w:cstheme="minorHAnsi"/>
            <w:color w:val="000000" w:themeColor="text1"/>
            <w:sz w:val="20"/>
            <w:szCs w:val="20"/>
            <w:shd w:val="clear" w:color="auto" w:fill="FFFFFF"/>
          </w:rPr>
          <w:t>Opinion: For now, it's unethical to use human challenge studies for SARS-CoV-2 vaccine development.</w:t>
        </w:r>
      </w:hyperlink>
      <w:r w:rsidRPr="000C66E1">
        <w:rPr>
          <w:rFonts w:eastAsia="Times New Roman" w:cstheme="minorHAnsi"/>
          <w:color w:val="000000" w:themeColor="text1"/>
          <w:sz w:val="20"/>
          <w:szCs w:val="20"/>
        </w:rPr>
        <w:t xml:space="preserve"> Proceedings of the National Academy of Sciences USA 2020;117:28538-42.</w:t>
      </w:r>
    </w:p>
  </w:endnote>
  <w:endnote w:id="20">
    <w:p w14:paraId="63195B81" w14:textId="77777777" w:rsidR="00FB0189" w:rsidRPr="000C66E1" w:rsidRDefault="00FB0189" w:rsidP="00731F39">
      <w:pPr>
        <w:pStyle w:val="EndnoteText"/>
        <w:spacing w:line="480" w:lineRule="auto"/>
        <w:rPr>
          <w:rFonts w:cstheme="minorHAnsi"/>
          <w:color w:val="000000" w:themeColor="text1"/>
        </w:rPr>
      </w:pPr>
      <w:r>
        <w:rPr>
          <w:rStyle w:val="EndnoteReference"/>
        </w:rPr>
        <w:endnoteRef/>
      </w:r>
      <w:r>
        <w:t xml:space="preserve"> Adam K. U.K. gets </w:t>
      </w:r>
      <w:r w:rsidRPr="000C66E1">
        <w:rPr>
          <w:rFonts w:cstheme="minorHAnsi"/>
          <w:color w:val="000000" w:themeColor="text1"/>
        </w:rPr>
        <w:t xml:space="preserve">approval to infect healthy volunteers in world’s first coronavirus “challenge trial.” Washington Post, February 17, 2021. Available at: </w:t>
      </w:r>
      <w:hyperlink r:id="rId9" w:history="1">
        <w:r w:rsidRPr="000C66E1">
          <w:rPr>
            <w:rStyle w:val="Hyperlink"/>
            <w:rFonts w:cstheme="minorHAnsi"/>
            <w:color w:val="000000" w:themeColor="text1"/>
            <w:u w:val="none"/>
          </w:rPr>
          <w:t>https://www.washingtonpost.com/world/europe/covid-challenge-trial-uk/2021/02/17/a785a80c-7106-11eb-8651-6d3091eac63f_story.html</w:t>
        </w:r>
      </w:hyperlink>
      <w:r w:rsidRPr="000C66E1">
        <w:rPr>
          <w:rFonts w:cstheme="minorHAnsi"/>
          <w:color w:val="000000" w:themeColor="text1"/>
        </w:rPr>
        <w:t xml:space="preserve"> (accessed February 17, 2021).</w:t>
      </w:r>
    </w:p>
  </w:endnote>
  <w:endnote w:id="21">
    <w:p w14:paraId="7E5E9E08" w14:textId="654F5487" w:rsidR="002C238B" w:rsidRPr="002C238B" w:rsidRDefault="002C238B" w:rsidP="00731F39">
      <w:pPr>
        <w:spacing w:after="0" w:line="480" w:lineRule="auto"/>
        <w:rPr>
          <w:sz w:val="20"/>
          <w:szCs w:val="20"/>
        </w:rPr>
      </w:pPr>
      <w:r w:rsidRPr="002C238B">
        <w:rPr>
          <w:rStyle w:val="EndnoteReference"/>
          <w:sz w:val="20"/>
          <w:szCs w:val="20"/>
        </w:rPr>
        <w:endnoteRef/>
      </w:r>
      <w:r w:rsidRPr="002C238B">
        <w:rPr>
          <w:sz w:val="20"/>
          <w:szCs w:val="20"/>
        </w:rPr>
        <w:t xml:space="preserve"> Lurie P. Testimony before US Food and Drug Administration Vaccine and Related Biologics Advisory Committee on Pfizer/BioNTech COVID-19 vaccine, December 10, 2020.</w:t>
      </w:r>
    </w:p>
  </w:endnote>
  <w:endnote w:id="22">
    <w:p w14:paraId="1262D640" w14:textId="77777777" w:rsidR="00283C2F" w:rsidRPr="001D55EA" w:rsidRDefault="00283C2F" w:rsidP="00731F39">
      <w:pPr>
        <w:pStyle w:val="Heading1"/>
        <w:shd w:val="clear" w:color="auto" w:fill="FFFFFF"/>
        <w:spacing w:before="0" w:beforeAutospacing="0" w:after="0" w:afterAutospacing="0" w:line="480" w:lineRule="auto"/>
        <w:textAlignment w:val="baseline"/>
        <w:rPr>
          <w:rFonts w:asciiTheme="minorHAnsi" w:hAnsiTheme="minorHAnsi" w:cstheme="minorHAnsi"/>
          <w:b w:val="0"/>
          <w:bCs w:val="0"/>
          <w:color w:val="000000" w:themeColor="text1"/>
          <w:sz w:val="20"/>
          <w:szCs w:val="20"/>
        </w:rPr>
      </w:pPr>
      <w:r w:rsidRPr="001453D5">
        <w:rPr>
          <w:rStyle w:val="EndnoteReference"/>
          <w:rFonts w:asciiTheme="minorHAnsi" w:hAnsiTheme="minorHAnsi" w:cstheme="minorHAnsi"/>
          <w:b w:val="0"/>
          <w:bCs w:val="0"/>
          <w:color w:val="000000" w:themeColor="text1"/>
          <w:sz w:val="20"/>
          <w:szCs w:val="20"/>
        </w:rPr>
        <w:endnoteRef/>
      </w:r>
      <w:r w:rsidRPr="001453D5">
        <w:rPr>
          <w:rFonts w:asciiTheme="minorHAnsi" w:hAnsiTheme="minorHAnsi" w:cstheme="minorHAnsi"/>
          <w:b w:val="0"/>
          <w:bCs w:val="0"/>
          <w:color w:val="000000" w:themeColor="text1"/>
          <w:sz w:val="20"/>
          <w:szCs w:val="20"/>
        </w:rPr>
        <w:t xml:space="preserve"> So AD, Woo J. Reserving </w:t>
      </w:r>
      <w:r w:rsidRPr="000C66E1">
        <w:rPr>
          <w:rFonts w:asciiTheme="minorHAnsi" w:hAnsiTheme="minorHAnsi" w:cstheme="minorHAnsi"/>
          <w:b w:val="0"/>
          <w:bCs w:val="0"/>
          <w:color w:val="000000" w:themeColor="text1"/>
          <w:sz w:val="20"/>
          <w:szCs w:val="20"/>
        </w:rPr>
        <w:t xml:space="preserve">coronavirus disease </w:t>
      </w:r>
      <w:r w:rsidRPr="00DA3D70">
        <w:rPr>
          <w:rFonts w:asciiTheme="minorHAnsi" w:hAnsiTheme="minorHAnsi" w:cstheme="minorHAnsi"/>
          <w:b w:val="0"/>
          <w:bCs w:val="0"/>
          <w:color w:val="000000" w:themeColor="text1"/>
          <w:sz w:val="20"/>
          <w:szCs w:val="20"/>
        </w:rPr>
        <w:t>2019 vaccines for global access: cross sectional analysis. B</w:t>
      </w:r>
      <w:r w:rsidRPr="00DA3D70">
        <w:rPr>
          <w:rFonts w:asciiTheme="minorHAnsi" w:hAnsiTheme="minorHAnsi" w:cstheme="minorHAnsi"/>
          <w:b w:val="0"/>
          <w:bCs w:val="0"/>
          <w:color w:val="000000" w:themeColor="text1"/>
          <w:sz w:val="20"/>
          <w:szCs w:val="20"/>
          <w:bdr w:val="none" w:sz="0" w:space="0" w:color="auto" w:frame="1"/>
          <w:shd w:val="clear" w:color="auto" w:fill="FFFFFF"/>
        </w:rPr>
        <w:t>MJ 2020;</w:t>
      </w:r>
      <w:r w:rsidRPr="001D55EA">
        <w:rPr>
          <w:rFonts w:asciiTheme="minorHAnsi" w:hAnsiTheme="minorHAnsi" w:cstheme="minorHAnsi"/>
          <w:b w:val="0"/>
          <w:bCs w:val="0"/>
          <w:color w:val="000000" w:themeColor="text1"/>
          <w:sz w:val="20"/>
          <w:szCs w:val="20"/>
          <w:bdr w:val="none" w:sz="0" w:space="0" w:color="auto" w:frame="1"/>
          <w:shd w:val="clear" w:color="auto" w:fill="FFFFFF"/>
        </w:rPr>
        <w:t>371:m4750.</w:t>
      </w:r>
    </w:p>
  </w:endnote>
  <w:endnote w:id="23">
    <w:p w14:paraId="18A86E80" w14:textId="408912B0" w:rsidR="001D55EA" w:rsidRDefault="001D55EA" w:rsidP="00731F39">
      <w:pPr>
        <w:pStyle w:val="EndnoteText"/>
        <w:spacing w:line="480" w:lineRule="auto"/>
      </w:pPr>
      <w:r>
        <w:rPr>
          <w:rStyle w:val="EndnoteReference"/>
        </w:rPr>
        <w:endnoteRef/>
      </w:r>
      <w:r>
        <w:t xml:space="preserve"> </w:t>
      </w:r>
      <w:r w:rsidRPr="001D55EA">
        <w:rPr>
          <w:rFonts w:cstheme="minorHAnsi"/>
        </w:rPr>
        <w:t xml:space="preserve">Bajaj SS, Stanford FC. </w:t>
      </w:r>
      <w:r w:rsidRPr="001D55EA">
        <w:rPr>
          <w:rFonts w:cstheme="minorHAnsi"/>
          <w:color w:val="212121"/>
        </w:rPr>
        <w:t xml:space="preserve">Beyond Tuskegee - </w:t>
      </w:r>
      <w:r>
        <w:rPr>
          <w:rFonts w:cstheme="minorHAnsi"/>
          <w:b/>
          <w:bCs/>
          <w:color w:val="212121"/>
        </w:rPr>
        <w:t>v</w:t>
      </w:r>
      <w:r w:rsidRPr="001D55EA">
        <w:rPr>
          <w:rFonts w:cstheme="minorHAnsi"/>
          <w:color w:val="212121"/>
        </w:rPr>
        <w:t xml:space="preserve">accine </w:t>
      </w:r>
      <w:r>
        <w:rPr>
          <w:rFonts w:cstheme="minorHAnsi"/>
          <w:b/>
          <w:bCs/>
          <w:color w:val="212121"/>
        </w:rPr>
        <w:t>d</w:t>
      </w:r>
      <w:r w:rsidRPr="001D55EA">
        <w:rPr>
          <w:rFonts w:cstheme="minorHAnsi"/>
          <w:color w:val="212121"/>
        </w:rPr>
        <w:t xml:space="preserve">istrust and </w:t>
      </w:r>
      <w:r>
        <w:rPr>
          <w:rFonts w:cstheme="minorHAnsi"/>
          <w:b/>
          <w:bCs/>
          <w:color w:val="212121"/>
        </w:rPr>
        <w:t>e</w:t>
      </w:r>
      <w:r w:rsidRPr="001D55EA">
        <w:rPr>
          <w:rFonts w:cstheme="minorHAnsi"/>
          <w:color w:val="212121"/>
        </w:rPr>
        <w:t xml:space="preserve">veryday </w:t>
      </w:r>
      <w:r>
        <w:rPr>
          <w:rFonts w:cstheme="minorHAnsi"/>
          <w:b/>
          <w:bCs/>
          <w:color w:val="212121"/>
        </w:rPr>
        <w:t>r</w:t>
      </w:r>
      <w:r w:rsidRPr="001D55EA">
        <w:rPr>
          <w:rFonts w:cstheme="minorHAnsi"/>
          <w:color w:val="212121"/>
        </w:rPr>
        <w:t>acism. New England Journal of Medicine</w:t>
      </w:r>
      <w:r w:rsidRPr="001D55EA">
        <w:rPr>
          <w:rStyle w:val="period"/>
          <w:rFonts w:cstheme="minorHAnsi"/>
          <w:color w:val="0071BC"/>
        </w:rPr>
        <w:t>. </w:t>
      </w:r>
      <w:r w:rsidRPr="001D55EA">
        <w:rPr>
          <w:rStyle w:val="cit"/>
          <w:rFonts w:cstheme="minorHAnsi"/>
          <w:color w:val="5B616B"/>
        </w:rPr>
        <w:t xml:space="preserve">2021 Feb 4;384(5):e12. </w:t>
      </w:r>
      <w:r w:rsidRPr="001D55EA">
        <w:rPr>
          <w:rStyle w:val="citation-doi"/>
          <w:rFonts w:cstheme="minorHAnsi"/>
          <w:color w:val="5B616B"/>
        </w:rPr>
        <w:t>doi: 10.1056/NEJMpv2035827.</w:t>
      </w:r>
      <w:r w:rsidRPr="001D55EA">
        <w:rPr>
          <w:rFonts w:cstheme="minorHAnsi"/>
          <w:color w:val="212121"/>
        </w:rPr>
        <w:t> </w:t>
      </w:r>
    </w:p>
  </w:endnote>
  <w:endnote w:id="24">
    <w:p w14:paraId="332A69EB" w14:textId="06B56247" w:rsidR="00185BDF" w:rsidRDefault="00185BDF" w:rsidP="00731F39">
      <w:pPr>
        <w:pStyle w:val="EndnoteText"/>
        <w:spacing w:line="480" w:lineRule="auto"/>
      </w:pPr>
      <w:r w:rsidRPr="001D55EA">
        <w:rPr>
          <w:rStyle w:val="EndnoteReference"/>
          <w:rFonts w:cstheme="minorHAnsi"/>
        </w:rPr>
        <w:endnoteRef/>
      </w:r>
      <w:r w:rsidRPr="001D55EA">
        <w:rPr>
          <w:rFonts w:cstheme="minorHAnsi"/>
        </w:rPr>
        <w:t xml:space="preserve"> Volz E, Mishra S, Chand M, et</w:t>
      </w:r>
      <w:r w:rsidRPr="002C238B">
        <w:t xml:space="preserve"> al. Transmission</w:t>
      </w:r>
      <w:r>
        <w:t xml:space="preserve"> of SARS-CoV-2 Lineage B.1.1.7 in England: insights from linking epidemiological and genetic data. medRxiv 2021:2020.12.30.20249034.</w:t>
      </w:r>
    </w:p>
  </w:endnote>
  <w:endnote w:id="25">
    <w:p w14:paraId="44BA6B82" w14:textId="3780DFBF" w:rsidR="00D2180A" w:rsidRDefault="00D2180A" w:rsidP="00731F39">
      <w:pPr>
        <w:pStyle w:val="EndnoteText"/>
        <w:spacing w:line="480" w:lineRule="auto"/>
      </w:pPr>
      <w:r>
        <w:rPr>
          <w:rStyle w:val="EndnoteReference"/>
        </w:rPr>
        <w:endnoteRef/>
      </w:r>
      <w:r>
        <w:t xml:space="preserve"> Madhi SA, Baillie V, Cutland CL, et al. Safety and efficacy of the ChAdOx1 nCoV-19 (AZD1222) Covid-19 vaccine against the B.1.351 variant in South Africa</w:t>
      </w:r>
      <w:r w:rsidR="001A5B4C">
        <w:t>. Medrxiv 2021:</w:t>
      </w:r>
      <w:r w:rsidR="001A5B4C" w:rsidRPr="001A5B4C">
        <w:t>2021.02.10.21251247v1</w:t>
      </w:r>
      <w:r w:rsidR="001A5B4C">
        <w:t>.</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TNEJMScalaSansLF">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65136"/>
      <w:docPartObj>
        <w:docPartGallery w:val="Page Numbers (Bottom of Page)"/>
        <w:docPartUnique/>
      </w:docPartObj>
    </w:sdtPr>
    <w:sdtEndPr>
      <w:rPr>
        <w:noProof/>
      </w:rPr>
    </w:sdtEndPr>
    <w:sdtContent>
      <w:p w14:paraId="59A81D47" w14:textId="16E22CA9" w:rsidR="00B07336" w:rsidRDefault="00B07336">
        <w:pPr>
          <w:pStyle w:val="Footer"/>
          <w:jc w:val="center"/>
        </w:pPr>
        <w:r>
          <w:fldChar w:fldCharType="begin"/>
        </w:r>
        <w:r>
          <w:instrText xml:space="preserve"> PAGE   \* MERGEFORMAT </w:instrText>
        </w:r>
        <w:r>
          <w:fldChar w:fldCharType="separate"/>
        </w:r>
        <w:r w:rsidR="005B121A">
          <w:rPr>
            <w:noProof/>
          </w:rPr>
          <w:t>14</w:t>
        </w:r>
        <w:r>
          <w:rPr>
            <w:noProof/>
          </w:rPr>
          <w:fldChar w:fldCharType="end"/>
        </w:r>
      </w:p>
    </w:sdtContent>
  </w:sdt>
  <w:p w14:paraId="4C96BAA6" w14:textId="77777777" w:rsidR="00B07336" w:rsidRDefault="00B07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57C59" w14:textId="77777777" w:rsidR="00C67F39" w:rsidRDefault="00C67F39" w:rsidP="0034624A">
      <w:pPr>
        <w:spacing w:after="0" w:line="240" w:lineRule="auto"/>
      </w:pPr>
      <w:r>
        <w:separator/>
      </w:r>
    </w:p>
  </w:footnote>
  <w:footnote w:type="continuationSeparator" w:id="0">
    <w:p w14:paraId="1E37482B" w14:textId="77777777" w:rsidR="00C67F39" w:rsidRDefault="00C67F39" w:rsidP="003462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36047"/>
    <w:multiLevelType w:val="multilevel"/>
    <w:tmpl w:val="8CAAE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05D2F"/>
    <w:multiLevelType w:val="multilevel"/>
    <w:tmpl w:val="44A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37A1A"/>
    <w:multiLevelType w:val="multilevel"/>
    <w:tmpl w:val="217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D0DEE"/>
    <w:multiLevelType w:val="multilevel"/>
    <w:tmpl w:val="371C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AD65A8"/>
    <w:multiLevelType w:val="multilevel"/>
    <w:tmpl w:val="3C3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9C74AB"/>
    <w:multiLevelType w:val="multilevel"/>
    <w:tmpl w:val="117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A04E15"/>
    <w:multiLevelType w:val="multilevel"/>
    <w:tmpl w:val="85AC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3F773D"/>
    <w:multiLevelType w:val="multilevel"/>
    <w:tmpl w:val="4A46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0"/>
  </w:num>
  <w:num w:numId="5">
    <w:abstractNumId w:val="7"/>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808"/>
    <w:rsid w:val="00010F93"/>
    <w:rsid w:val="000111DB"/>
    <w:rsid w:val="00024359"/>
    <w:rsid w:val="00026F8D"/>
    <w:rsid w:val="0005171B"/>
    <w:rsid w:val="00057BDD"/>
    <w:rsid w:val="00097A85"/>
    <w:rsid w:val="000B3AE9"/>
    <w:rsid w:val="000C37A8"/>
    <w:rsid w:val="000C66E1"/>
    <w:rsid w:val="00103576"/>
    <w:rsid w:val="001053FA"/>
    <w:rsid w:val="0012506C"/>
    <w:rsid w:val="001453D5"/>
    <w:rsid w:val="00170339"/>
    <w:rsid w:val="00172389"/>
    <w:rsid w:val="00185BDF"/>
    <w:rsid w:val="001A5B4C"/>
    <w:rsid w:val="001C2ECC"/>
    <w:rsid w:val="001D09D3"/>
    <w:rsid w:val="001D55EA"/>
    <w:rsid w:val="00205FC5"/>
    <w:rsid w:val="00222846"/>
    <w:rsid w:val="002271A9"/>
    <w:rsid w:val="00234BF7"/>
    <w:rsid w:val="00235E9A"/>
    <w:rsid w:val="00274268"/>
    <w:rsid w:val="00283C2F"/>
    <w:rsid w:val="002C238B"/>
    <w:rsid w:val="002E298E"/>
    <w:rsid w:val="002E7AA5"/>
    <w:rsid w:val="0034624A"/>
    <w:rsid w:val="003516BE"/>
    <w:rsid w:val="00364DF9"/>
    <w:rsid w:val="003A4336"/>
    <w:rsid w:val="004A644D"/>
    <w:rsid w:val="004D4329"/>
    <w:rsid w:val="004F499F"/>
    <w:rsid w:val="00532808"/>
    <w:rsid w:val="00544954"/>
    <w:rsid w:val="0058576B"/>
    <w:rsid w:val="005B121A"/>
    <w:rsid w:val="005D74B0"/>
    <w:rsid w:val="00602DDA"/>
    <w:rsid w:val="0062774A"/>
    <w:rsid w:val="00651C9E"/>
    <w:rsid w:val="0065723B"/>
    <w:rsid w:val="00667C57"/>
    <w:rsid w:val="006730A5"/>
    <w:rsid w:val="00675ED2"/>
    <w:rsid w:val="006A5359"/>
    <w:rsid w:val="0071278D"/>
    <w:rsid w:val="00715212"/>
    <w:rsid w:val="00731F39"/>
    <w:rsid w:val="00733850"/>
    <w:rsid w:val="007A57DF"/>
    <w:rsid w:val="007B5F1C"/>
    <w:rsid w:val="007C117D"/>
    <w:rsid w:val="007C3881"/>
    <w:rsid w:val="007C798F"/>
    <w:rsid w:val="007D7858"/>
    <w:rsid w:val="007E6BBE"/>
    <w:rsid w:val="007F5CC6"/>
    <w:rsid w:val="0080524D"/>
    <w:rsid w:val="00826546"/>
    <w:rsid w:val="008369A6"/>
    <w:rsid w:val="008918E0"/>
    <w:rsid w:val="008C2B9F"/>
    <w:rsid w:val="008F2C58"/>
    <w:rsid w:val="0090594F"/>
    <w:rsid w:val="0092566F"/>
    <w:rsid w:val="00930A62"/>
    <w:rsid w:val="00930CBA"/>
    <w:rsid w:val="0096172A"/>
    <w:rsid w:val="0099500D"/>
    <w:rsid w:val="00996FF0"/>
    <w:rsid w:val="009C3D1F"/>
    <w:rsid w:val="009C5BE8"/>
    <w:rsid w:val="009E2312"/>
    <w:rsid w:val="00A22A6B"/>
    <w:rsid w:val="00A34EAE"/>
    <w:rsid w:val="00A770C1"/>
    <w:rsid w:val="00A826D1"/>
    <w:rsid w:val="00AE4FD5"/>
    <w:rsid w:val="00AF192F"/>
    <w:rsid w:val="00AF32A2"/>
    <w:rsid w:val="00AF7A3B"/>
    <w:rsid w:val="00B07336"/>
    <w:rsid w:val="00B34F49"/>
    <w:rsid w:val="00B368B3"/>
    <w:rsid w:val="00B677C4"/>
    <w:rsid w:val="00B75B6A"/>
    <w:rsid w:val="00BC2206"/>
    <w:rsid w:val="00BD0E77"/>
    <w:rsid w:val="00C4627F"/>
    <w:rsid w:val="00C4767E"/>
    <w:rsid w:val="00C67F39"/>
    <w:rsid w:val="00C71000"/>
    <w:rsid w:val="00C7297B"/>
    <w:rsid w:val="00C7559E"/>
    <w:rsid w:val="00C83DEC"/>
    <w:rsid w:val="00C97443"/>
    <w:rsid w:val="00CA49DF"/>
    <w:rsid w:val="00CE1655"/>
    <w:rsid w:val="00CE4AEF"/>
    <w:rsid w:val="00D2180A"/>
    <w:rsid w:val="00D32BE8"/>
    <w:rsid w:val="00D55D68"/>
    <w:rsid w:val="00D736FF"/>
    <w:rsid w:val="00DA3D70"/>
    <w:rsid w:val="00DC75C4"/>
    <w:rsid w:val="00DD662F"/>
    <w:rsid w:val="00E11EA7"/>
    <w:rsid w:val="00E614E3"/>
    <w:rsid w:val="00EA48C0"/>
    <w:rsid w:val="00F31313"/>
    <w:rsid w:val="00F64B89"/>
    <w:rsid w:val="00FB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FBA9"/>
  <w15:chartTrackingRefBased/>
  <w15:docId w15:val="{65B1C226-B848-494F-B3C2-6A09C286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7B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06C"/>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3462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624A"/>
    <w:rPr>
      <w:sz w:val="20"/>
      <w:szCs w:val="20"/>
    </w:rPr>
  </w:style>
  <w:style w:type="character" w:styleId="EndnoteReference">
    <w:name w:val="endnote reference"/>
    <w:basedOn w:val="DefaultParagraphFont"/>
    <w:uiPriority w:val="99"/>
    <w:semiHidden/>
    <w:unhideWhenUsed/>
    <w:rsid w:val="0034624A"/>
    <w:rPr>
      <w:vertAlign w:val="superscript"/>
    </w:rPr>
  </w:style>
  <w:style w:type="character" w:styleId="Hyperlink">
    <w:name w:val="Hyperlink"/>
    <w:basedOn w:val="DefaultParagraphFont"/>
    <w:uiPriority w:val="99"/>
    <w:unhideWhenUsed/>
    <w:rsid w:val="00544954"/>
    <w:rPr>
      <w:color w:val="0000FF"/>
      <w:u w:val="single"/>
    </w:rPr>
  </w:style>
  <w:style w:type="character" w:customStyle="1" w:styleId="Heading1Char">
    <w:name w:val="Heading 1 Char"/>
    <w:basedOn w:val="DefaultParagraphFont"/>
    <w:link w:val="Heading1"/>
    <w:uiPriority w:val="9"/>
    <w:rsid w:val="00057BDD"/>
    <w:rPr>
      <w:rFonts w:ascii="Times New Roman" w:eastAsia="Times New Roman" w:hAnsi="Times New Roman" w:cs="Times New Roman"/>
      <w:b/>
      <w:bCs/>
      <w:kern w:val="36"/>
      <w:sz w:val="48"/>
      <w:szCs w:val="48"/>
    </w:rPr>
  </w:style>
  <w:style w:type="character" w:customStyle="1" w:styleId="highwire-cite-journal">
    <w:name w:val="highwire-cite-journal"/>
    <w:basedOn w:val="DefaultParagraphFont"/>
    <w:rsid w:val="00057BDD"/>
  </w:style>
  <w:style w:type="character" w:customStyle="1" w:styleId="highwire-cite-published-year">
    <w:name w:val="highwire-cite-published-year"/>
    <w:basedOn w:val="DefaultParagraphFont"/>
    <w:rsid w:val="00057BDD"/>
  </w:style>
  <w:style w:type="character" w:customStyle="1" w:styleId="highwire-cite-volume-issue">
    <w:name w:val="highwire-cite-volume-issue"/>
    <w:basedOn w:val="DefaultParagraphFont"/>
    <w:rsid w:val="00057BDD"/>
  </w:style>
  <w:style w:type="character" w:customStyle="1" w:styleId="highwire-cite-doi">
    <w:name w:val="highwire-cite-doi"/>
    <w:basedOn w:val="DefaultParagraphFont"/>
    <w:rsid w:val="00057BDD"/>
  </w:style>
  <w:style w:type="character" w:customStyle="1" w:styleId="highwire-cite-date">
    <w:name w:val="highwire-cite-date"/>
    <w:basedOn w:val="DefaultParagraphFont"/>
    <w:rsid w:val="00057BDD"/>
  </w:style>
  <w:style w:type="character" w:customStyle="1" w:styleId="highwire-cite-article-as">
    <w:name w:val="highwire-cite-article-as"/>
    <w:basedOn w:val="DefaultParagraphFont"/>
    <w:rsid w:val="00057BDD"/>
  </w:style>
  <w:style w:type="character" w:customStyle="1" w:styleId="italic">
    <w:name w:val="italic"/>
    <w:basedOn w:val="DefaultParagraphFont"/>
    <w:rsid w:val="00057BDD"/>
  </w:style>
  <w:style w:type="character" w:customStyle="1" w:styleId="titledefault">
    <w:name w:val="title_default"/>
    <w:basedOn w:val="DefaultParagraphFont"/>
    <w:rsid w:val="00235E9A"/>
  </w:style>
  <w:style w:type="character" w:customStyle="1" w:styleId="sr-only">
    <w:name w:val="sr-only"/>
    <w:basedOn w:val="DefaultParagraphFont"/>
    <w:rsid w:val="00235E9A"/>
  </w:style>
  <w:style w:type="character" w:customStyle="1" w:styleId="docsum-authors">
    <w:name w:val="docsum-authors"/>
    <w:basedOn w:val="DefaultParagraphFont"/>
    <w:rsid w:val="004F499F"/>
  </w:style>
  <w:style w:type="character" w:customStyle="1" w:styleId="docsum-journal-citation">
    <w:name w:val="docsum-journal-citation"/>
    <w:basedOn w:val="DefaultParagraphFont"/>
    <w:rsid w:val="004F499F"/>
  </w:style>
  <w:style w:type="character" w:customStyle="1" w:styleId="UnresolvedMention">
    <w:name w:val="Unresolved Mention"/>
    <w:basedOn w:val="DefaultParagraphFont"/>
    <w:uiPriority w:val="99"/>
    <w:semiHidden/>
    <w:unhideWhenUsed/>
    <w:rsid w:val="000C66E1"/>
    <w:rPr>
      <w:color w:val="605E5C"/>
      <w:shd w:val="clear" w:color="auto" w:fill="E1DFDD"/>
    </w:rPr>
  </w:style>
  <w:style w:type="paragraph" w:styleId="FootnoteText">
    <w:name w:val="footnote text"/>
    <w:basedOn w:val="Normal"/>
    <w:link w:val="FootnoteTextChar"/>
    <w:uiPriority w:val="99"/>
    <w:semiHidden/>
    <w:unhideWhenUsed/>
    <w:rsid w:val="00C755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559E"/>
    <w:rPr>
      <w:sz w:val="20"/>
      <w:szCs w:val="20"/>
    </w:rPr>
  </w:style>
  <w:style w:type="character" w:styleId="FootnoteReference">
    <w:name w:val="footnote reference"/>
    <w:basedOn w:val="DefaultParagraphFont"/>
    <w:uiPriority w:val="99"/>
    <w:semiHidden/>
    <w:unhideWhenUsed/>
    <w:rsid w:val="00C7559E"/>
    <w:rPr>
      <w:vertAlign w:val="superscript"/>
    </w:rPr>
  </w:style>
  <w:style w:type="character" w:customStyle="1" w:styleId="article-headersep">
    <w:name w:val="article-header__sep"/>
    <w:basedOn w:val="DefaultParagraphFont"/>
    <w:rsid w:val="00026F8D"/>
  </w:style>
  <w:style w:type="character" w:customStyle="1" w:styleId="article-headerpages">
    <w:name w:val="article-header__pages"/>
    <w:basedOn w:val="DefaultParagraphFont"/>
    <w:rsid w:val="00026F8D"/>
  </w:style>
  <w:style w:type="character" w:customStyle="1" w:styleId="article-headerdate">
    <w:name w:val="article-header__date"/>
    <w:basedOn w:val="DefaultParagraphFont"/>
    <w:rsid w:val="00026F8D"/>
  </w:style>
  <w:style w:type="paragraph" w:customStyle="1" w:styleId="article-toolsitem">
    <w:name w:val="article-tools__item"/>
    <w:basedOn w:val="Normal"/>
    <w:rsid w:val="00026F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sic">
    <w:name w:val="basic"/>
    <w:basedOn w:val="DefaultParagraphFont"/>
    <w:rsid w:val="00026F8D"/>
  </w:style>
  <w:style w:type="paragraph" w:customStyle="1" w:styleId="loaitem">
    <w:name w:val="loa__item"/>
    <w:basedOn w:val="Normal"/>
    <w:rsid w:val="00026F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al-word">
    <w:name w:val="etal-word"/>
    <w:basedOn w:val="DefaultParagraphFont"/>
    <w:rsid w:val="00026F8D"/>
  </w:style>
  <w:style w:type="character" w:customStyle="1" w:styleId="period">
    <w:name w:val="period"/>
    <w:basedOn w:val="DefaultParagraphFont"/>
    <w:rsid w:val="001453D5"/>
  </w:style>
  <w:style w:type="character" w:customStyle="1" w:styleId="cit">
    <w:name w:val="cit"/>
    <w:basedOn w:val="DefaultParagraphFont"/>
    <w:rsid w:val="001453D5"/>
  </w:style>
  <w:style w:type="character" w:customStyle="1" w:styleId="citation-doi">
    <w:name w:val="citation-doi"/>
    <w:basedOn w:val="DefaultParagraphFont"/>
    <w:rsid w:val="001453D5"/>
  </w:style>
  <w:style w:type="character" w:customStyle="1" w:styleId="secondary-date">
    <w:name w:val="secondary-date"/>
    <w:basedOn w:val="DefaultParagraphFont"/>
    <w:rsid w:val="001453D5"/>
  </w:style>
  <w:style w:type="character" w:customStyle="1" w:styleId="authors-list-item">
    <w:name w:val="authors-list-item"/>
    <w:basedOn w:val="DefaultParagraphFont"/>
    <w:rsid w:val="001453D5"/>
  </w:style>
  <w:style w:type="character" w:customStyle="1" w:styleId="author-sup-separator">
    <w:name w:val="author-sup-separator"/>
    <w:basedOn w:val="DefaultParagraphFont"/>
    <w:rsid w:val="001453D5"/>
  </w:style>
  <w:style w:type="character" w:customStyle="1" w:styleId="comma">
    <w:name w:val="comma"/>
    <w:basedOn w:val="DefaultParagraphFont"/>
    <w:rsid w:val="001453D5"/>
  </w:style>
  <w:style w:type="character" w:styleId="FollowedHyperlink">
    <w:name w:val="FollowedHyperlink"/>
    <w:basedOn w:val="DefaultParagraphFont"/>
    <w:uiPriority w:val="99"/>
    <w:semiHidden/>
    <w:unhideWhenUsed/>
    <w:rsid w:val="007C798F"/>
    <w:rPr>
      <w:color w:val="954F72" w:themeColor="followedHyperlink"/>
      <w:u w:val="single"/>
    </w:rPr>
  </w:style>
  <w:style w:type="character" w:customStyle="1" w:styleId="identifier">
    <w:name w:val="identifier"/>
    <w:basedOn w:val="DefaultParagraphFont"/>
    <w:rsid w:val="001D55EA"/>
  </w:style>
  <w:style w:type="character" w:customStyle="1" w:styleId="id-label">
    <w:name w:val="id-label"/>
    <w:basedOn w:val="DefaultParagraphFont"/>
    <w:rsid w:val="001D55EA"/>
  </w:style>
  <w:style w:type="character" w:styleId="Strong">
    <w:name w:val="Strong"/>
    <w:basedOn w:val="DefaultParagraphFont"/>
    <w:uiPriority w:val="22"/>
    <w:qFormat/>
    <w:rsid w:val="001D55EA"/>
    <w:rPr>
      <w:b/>
      <w:bCs/>
    </w:rPr>
  </w:style>
  <w:style w:type="character" w:styleId="CommentReference">
    <w:name w:val="annotation reference"/>
    <w:basedOn w:val="DefaultParagraphFont"/>
    <w:uiPriority w:val="99"/>
    <w:semiHidden/>
    <w:unhideWhenUsed/>
    <w:rsid w:val="00AF192F"/>
    <w:rPr>
      <w:sz w:val="16"/>
      <w:szCs w:val="16"/>
    </w:rPr>
  </w:style>
  <w:style w:type="paragraph" w:styleId="CommentText">
    <w:name w:val="annotation text"/>
    <w:basedOn w:val="Normal"/>
    <w:link w:val="CommentTextChar"/>
    <w:uiPriority w:val="99"/>
    <w:semiHidden/>
    <w:unhideWhenUsed/>
    <w:rsid w:val="00AF192F"/>
    <w:pPr>
      <w:spacing w:line="240" w:lineRule="auto"/>
    </w:pPr>
    <w:rPr>
      <w:sz w:val="20"/>
      <w:szCs w:val="20"/>
    </w:rPr>
  </w:style>
  <w:style w:type="character" w:customStyle="1" w:styleId="CommentTextChar">
    <w:name w:val="Comment Text Char"/>
    <w:basedOn w:val="DefaultParagraphFont"/>
    <w:link w:val="CommentText"/>
    <w:uiPriority w:val="99"/>
    <w:semiHidden/>
    <w:rsid w:val="00AF192F"/>
    <w:rPr>
      <w:sz w:val="20"/>
      <w:szCs w:val="20"/>
    </w:rPr>
  </w:style>
  <w:style w:type="paragraph" w:styleId="CommentSubject">
    <w:name w:val="annotation subject"/>
    <w:basedOn w:val="CommentText"/>
    <w:next w:val="CommentText"/>
    <w:link w:val="CommentSubjectChar"/>
    <w:uiPriority w:val="99"/>
    <w:semiHidden/>
    <w:unhideWhenUsed/>
    <w:rsid w:val="00AF192F"/>
    <w:rPr>
      <w:b/>
      <w:bCs/>
    </w:rPr>
  </w:style>
  <w:style w:type="character" w:customStyle="1" w:styleId="CommentSubjectChar">
    <w:name w:val="Comment Subject Char"/>
    <w:basedOn w:val="CommentTextChar"/>
    <w:link w:val="CommentSubject"/>
    <w:uiPriority w:val="99"/>
    <w:semiHidden/>
    <w:rsid w:val="00AF192F"/>
    <w:rPr>
      <w:b/>
      <w:bCs/>
      <w:sz w:val="20"/>
      <w:szCs w:val="20"/>
    </w:rPr>
  </w:style>
  <w:style w:type="paragraph" w:styleId="Header">
    <w:name w:val="header"/>
    <w:basedOn w:val="Normal"/>
    <w:link w:val="HeaderChar"/>
    <w:uiPriority w:val="99"/>
    <w:unhideWhenUsed/>
    <w:rsid w:val="00B07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336"/>
  </w:style>
  <w:style w:type="paragraph" w:styleId="Footer">
    <w:name w:val="footer"/>
    <w:basedOn w:val="Normal"/>
    <w:link w:val="FooterChar"/>
    <w:uiPriority w:val="99"/>
    <w:unhideWhenUsed/>
    <w:rsid w:val="00B07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1637">
      <w:bodyDiv w:val="1"/>
      <w:marLeft w:val="0"/>
      <w:marRight w:val="0"/>
      <w:marTop w:val="0"/>
      <w:marBottom w:val="0"/>
      <w:divBdr>
        <w:top w:val="none" w:sz="0" w:space="0" w:color="auto"/>
        <w:left w:val="none" w:sz="0" w:space="0" w:color="auto"/>
        <w:bottom w:val="none" w:sz="0" w:space="0" w:color="auto"/>
        <w:right w:val="none" w:sz="0" w:space="0" w:color="auto"/>
      </w:divBdr>
      <w:divsChild>
        <w:div w:id="1342925801">
          <w:marLeft w:val="0"/>
          <w:marRight w:val="0"/>
          <w:marTop w:val="0"/>
          <w:marBottom w:val="0"/>
          <w:divBdr>
            <w:top w:val="none" w:sz="0" w:space="0" w:color="auto"/>
            <w:left w:val="none" w:sz="0" w:space="0" w:color="auto"/>
            <w:bottom w:val="none" w:sz="0" w:space="0" w:color="auto"/>
            <w:right w:val="none" w:sz="0" w:space="0" w:color="auto"/>
          </w:divBdr>
          <w:divsChild>
            <w:div w:id="720058744">
              <w:marLeft w:val="0"/>
              <w:marRight w:val="0"/>
              <w:marTop w:val="0"/>
              <w:marBottom w:val="0"/>
              <w:divBdr>
                <w:top w:val="none" w:sz="0" w:space="0" w:color="auto"/>
                <w:left w:val="none" w:sz="0" w:space="0" w:color="auto"/>
                <w:bottom w:val="none" w:sz="0" w:space="0" w:color="auto"/>
                <w:right w:val="none" w:sz="0" w:space="0" w:color="auto"/>
              </w:divBdr>
              <w:divsChild>
                <w:div w:id="1260675874">
                  <w:marLeft w:val="0"/>
                  <w:marRight w:val="0"/>
                  <w:marTop w:val="0"/>
                  <w:marBottom w:val="0"/>
                  <w:divBdr>
                    <w:top w:val="none" w:sz="0" w:space="0" w:color="auto"/>
                    <w:left w:val="none" w:sz="0" w:space="0" w:color="auto"/>
                    <w:bottom w:val="none" w:sz="0" w:space="0" w:color="auto"/>
                    <w:right w:val="none" w:sz="0" w:space="0" w:color="auto"/>
                  </w:divBdr>
                  <w:divsChild>
                    <w:div w:id="21149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2191">
          <w:marLeft w:val="0"/>
          <w:marRight w:val="0"/>
          <w:marTop w:val="0"/>
          <w:marBottom w:val="0"/>
          <w:divBdr>
            <w:top w:val="none" w:sz="0" w:space="0" w:color="auto"/>
            <w:left w:val="none" w:sz="0" w:space="0" w:color="auto"/>
            <w:bottom w:val="none" w:sz="0" w:space="0" w:color="auto"/>
            <w:right w:val="none" w:sz="0" w:space="0" w:color="auto"/>
          </w:divBdr>
          <w:divsChild>
            <w:div w:id="307319515">
              <w:marLeft w:val="0"/>
              <w:marRight w:val="0"/>
              <w:marTop w:val="0"/>
              <w:marBottom w:val="0"/>
              <w:divBdr>
                <w:top w:val="none" w:sz="0" w:space="0" w:color="auto"/>
                <w:left w:val="none" w:sz="0" w:space="0" w:color="auto"/>
                <w:bottom w:val="none" w:sz="0" w:space="0" w:color="auto"/>
                <w:right w:val="none" w:sz="0" w:space="0" w:color="auto"/>
              </w:divBdr>
              <w:divsChild>
                <w:div w:id="21292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1817">
      <w:bodyDiv w:val="1"/>
      <w:marLeft w:val="0"/>
      <w:marRight w:val="0"/>
      <w:marTop w:val="0"/>
      <w:marBottom w:val="0"/>
      <w:divBdr>
        <w:top w:val="none" w:sz="0" w:space="0" w:color="auto"/>
        <w:left w:val="none" w:sz="0" w:space="0" w:color="auto"/>
        <w:bottom w:val="none" w:sz="0" w:space="0" w:color="auto"/>
        <w:right w:val="none" w:sz="0" w:space="0" w:color="auto"/>
      </w:divBdr>
      <w:divsChild>
        <w:div w:id="885217266">
          <w:marLeft w:val="0"/>
          <w:marRight w:val="0"/>
          <w:marTop w:val="0"/>
          <w:marBottom w:val="0"/>
          <w:divBdr>
            <w:top w:val="none" w:sz="0" w:space="0" w:color="auto"/>
            <w:left w:val="none" w:sz="0" w:space="0" w:color="auto"/>
            <w:bottom w:val="none" w:sz="0" w:space="0" w:color="auto"/>
            <w:right w:val="none" w:sz="0" w:space="0" w:color="auto"/>
          </w:divBdr>
        </w:div>
      </w:divsChild>
    </w:div>
    <w:div w:id="519200856">
      <w:bodyDiv w:val="1"/>
      <w:marLeft w:val="0"/>
      <w:marRight w:val="0"/>
      <w:marTop w:val="0"/>
      <w:marBottom w:val="0"/>
      <w:divBdr>
        <w:top w:val="none" w:sz="0" w:space="0" w:color="auto"/>
        <w:left w:val="none" w:sz="0" w:space="0" w:color="auto"/>
        <w:bottom w:val="none" w:sz="0" w:space="0" w:color="auto"/>
        <w:right w:val="none" w:sz="0" w:space="0" w:color="auto"/>
      </w:divBdr>
    </w:div>
    <w:div w:id="523446112">
      <w:bodyDiv w:val="1"/>
      <w:marLeft w:val="0"/>
      <w:marRight w:val="0"/>
      <w:marTop w:val="0"/>
      <w:marBottom w:val="0"/>
      <w:divBdr>
        <w:top w:val="none" w:sz="0" w:space="0" w:color="auto"/>
        <w:left w:val="none" w:sz="0" w:space="0" w:color="auto"/>
        <w:bottom w:val="none" w:sz="0" w:space="0" w:color="auto"/>
        <w:right w:val="none" w:sz="0" w:space="0" w:color="auto"/>
      </w:divBdr>
    </w:div>
    <w:div w:id="761612460">
      <w:bodyDiv w:val="1"/>
      <w:marLeft w:val="0"/>
      <w:marRight w:val="0"/>
      <w:marTop w:val="0"/>
      <w:marBottom w:val="0"/>
      <w:divBdr>
        <w:top w:val="none" w:sz="0" w:space="0" w:color="auto"/>
        <w:left w:val="none" w:sz="0" w:space="0" w:color="auto"/>
        <w:bottom w:val="none" w:sz="0" w:space="0" w:color="auto"/>
        <w:right w:val="none" w:sz="0" w:space="0" w:color="auto"/>
      </w:divBdr>
    </w:div>
    <w:div w:id="929316443">
      <w:bodyDiv w:val="1"/>
      <w:marLeft w:val="0"/>
      <w:marRight w:val="0"/>
      <w:marTop w:val="0"/>
      <w:marBottom w:val="0"/>
      <w:divBdr>
        <w:top w:val="none" w:sz="0" w:space="0" w:color="auto"/>
        <w:left w:val="none" w:sz="0" w:space="0" w:color="auto"/>
        <w:bottom w:val="none" w:sz="0" w:space="0" w:color="auto"/>
        <w:right w:val="none" w:sz="0" w:space="0" w:color="auto"/>
      </w:divBdr>
    </w:div>
    <w:div w:id="989094087">
      <w:bodyDiv w:val="1"/>
      <w:marLeft w:val="0"/>
      <w:marRight w:val="0"/>
      <w:marTop w:val="0"/>
      <w:marBottom w:val="0"/>
      <w:divBdr>
        <w:top w:val="none" w:sz="0" w:space="0" w:color="auto"/>
        <w:left w:val="none" w:sz="0" w:space="0" w:color="auto"/>
        <w:bottom w:val="none" w:sz="0" w:space="0" w:color="auto"/>
        <w:right w:val="none" w:sz="0" w:space="0" w:color="auto"/>
      </w:divBdr>
    </w:div>
    <w:div w:id="1161192973">
      <w:bodyDiv w:val="1"/>
      <w:marLeft w:val="0"/>
      <w:marRight w:val="0"/>
      <w:marTop w:val="0"/>
      <w:marBottom w:val="0"/>
      <w:divBdr>
        <w:top w:val="none" w:sz="0" w:space="0" w:color="auto"/>
        <w:left w:val="none" w:sz="0" w:space="0" w:color="auto"/>
        <w:bottom w:val="none" w:sz="0" w:space="0" w:color="auto"/>
        <w:right w:val="none" w:sz="0" w:space="0" w:color="auto"/>
      </w:divBdr>
      <w:divsChild>
        <w:div w:id="1031347088">
          <w:marLeft w:val="0"/>
          <w:marRight w:val="0"/>
          <w:marTop w:val="0"/>
          <w:marBottom w:val="0"/>
          <w:divBdr>
            <w:top w:val="none" w:sz="0" w:space="0" w:color="auto"/>
            <w:left w:val="none" w:sz="0" w:space="0" w:color="auto"/>
            <w:bottom w:val="none" w:sz="0" w:space="0" w:color="auto"/>
            <w:right w:val="none" w:sz="0" w:space="0" w:color="auto"/>
          </w:divBdr>
          <w:divsChild>
            <w:div w:id="2104034089">
              <w:marLeft w:val="-240"/>
              <w:marRight w:val="-240"/>
              <w:marTop w:val="0"/>
              <w:marBottom w:val="0"/>
              <w:divBdr>
                <w:top w:val="none" w:sz="0" w:space="0" w:color="auto"/>
                <w:left w:val="none" w:sz="0" w:space="0" w:color="auto"/>
                <w:bottom w:val="none" w:sz="0" w:space="0" w:color="auto"/>
                <w:right w:val="none" w:sz="0" w:space="0" w:color="auto"/>
              </w:divBdr>
              <w:divsChild>
                <w:div w:id="1246573876">
                  <w:marLeft w:val="0"/>
                  <w:marRight w:val="0"/>
                  <w:marTop w:val="0"/>
                  <w:marBottom w:val="0"/>
                  <w:divBdr>
                    <w:top w:val="none" w:sz="0" w:space="0" w:color="auto"/>
                    <w:left w:val="none" w:sz="0" w:space="0" w:color="auto"/>
                    <w:bottom w:val="none" w:sz="0" w:space="0" w:color="auto"/>
                    <w:right w:val="none" w:sz="0" w:space="0" w:color="auto"/>
                  </w:divBdr>
                  <w:divsChild>
                    <w:div w:id="291329559">
                      <w:marLeft w:val="0"/>
                      <w:marRight w:val="0"/>
                      <w:marTop w:val="150"/>
                      <w:marBottom w:val="300"/>
                      <w:divBdr>
                        <w:top w:val="none" w:sz="0" w:space="0" w:color="auto"/>
                        <w:left w:val="none" w:sz="0" w:space="0" w:color="auto"/>
                        <w:bottom w:val="none" w:sz="0" w:space="0" w:color="auto"/>
                        <w:right w:val="none" w:sz="0" w:space="0" w:color="auto"/>
                      </w:divBdr>
                    </w:div>
                  </w:divsChild>
                </w:div>
                <w:div w:id="905989946">
                  <w:marLeft w:val="0"/>
                  <w:marRight w:val="0"/>
                  <w:marTop w:val="0"/>
                  <w:marBottom w:val="0"/>
                  <w:divBdr>
                    <w:top w:val="none" w:sz="0" w:space="0" w:color="auto"/>
                    <w:left w:val="none" w:sz="0" w:space="0" w:color="auto"/>
                    <w:bottom w:val="none" w:sz="0" w:space="0" w:color="auto"/>
                    <w:right w:val="none" w:sz="0" w:space="0" w:color="auto"/>
                  </w:divBdr>
                  <w:divsChild>
                    <w:div w:id="2559352">
                      <w:marLeft w:val="0"/>
                      <w:marRight w:val="0"/>
                      <w:marTop w:val="0"/>
                      <w:marBottom w:val="0"/>
                      <w:divBdr>
                        <w:top w:val="none" w:sz="0" w:space="0" w:color="auto"/>
                        <w:left w:val="none" w:sz="0" w:space="0" w:color="auto"/>
                        <w:bottom w:val="none" w:sz="0" w:space="0" w:color="auto"/>
                        <w:right w:val="none" w:sz="0" w:space="0" w:color="auto"/>
                      </w:divBdr>
                      <w:divsChild>
                        <w:div w:id="1204907963">
                          <w:marLeft w:val="0"/>
                          <w:marRight w:val="0"/>
                          <w:marTop w:val="0"/>
                          <w:marBottom w:val="0"/>
                          <w:divBdr>
                            <w:top w:val="none" w:sz="0" w:space="0" w:color="auto"/>
                            <w:left w:val="none" w:sz="0" w:space="0" w:color="auto"/>
                            <w:bottom w:val="none" w:sz="0" w:space="0" w:color="auto"/>
                            <w:right w:val="none" w:sz="0" w:space="0" w:color="auto"/>
                          </w:divBdr>
                          <w:divsChild>
                            <w:div w:id="295642343">
                              <w:marLeft w:val="0"/>
                              <w:marRight w:val="0"/>
                              <w:marTop w:val="0"/>
                              <w:marBottom w:val="0"/>
                              <w:divBdr>
                                <w:top w:val="none" w:sz="0" w:space="0" w:color="auto"/>
                                <w:left w:val="none" w:sz="0" w:space="0" w:color="auto"/>
                                <w:bottom w:val="none" w:sz="0" w:space="0" w:color="auto"/>
                                <w:right w:val="none" w:sz="0" w:space="0" w:color="auto"/>
                              </w:divBdr>
                              <w:divsChild>
                                <w:div w:id="795441603">
                                  <w:marLeft w:val="0"/>
                                  <w:marRight w:val="0"/>
                                  <w:marTop w:val="0"/>
                                  <w:marBottom w:val="0"/>
                                  <w:divBdr>
                                    <w:top w:val="none" w:sz="0" w:space="0" w:color="auto"/>
                                    <w:left w:val="none" w:sz="0" w:space="0" w:color="auto"/>
                                    <w:bottom w:val="none" w:sz="0" w:space="0" w:color="auto"/>
                                    <w:right w:val="none" w:sz="0" w:space="0" w:color="auto"/>
                                  </w:divBdr>
                                </w:div>
                                <w:div w:id="1456484490">
                                  <w:marLeft w:val="0"/>
                                  <w:marRight w:val="0"/>
                                  <w:marTop w:val="0"/>
                                  <w:marBottom w:val="0"/>
                                  <w:divBdr>
                                    <w:top w:val="none" w:sz="0" w:space="0" w:color="auto"/>
                                    <w:left w:val="none" w:sz="0" w:space="0" w:color="auto"/>
                                    <w:bottom w:val="none" w:sz="0" w:space="0" w:color="auto"/>
                                    <w:right w:val="none" w:sz="0" w:space="0" w:color="auto"/>
                                  </w:divBdr>
                                </w:div>
                                <w:div w:id="1000735902">
                                  <w:marLeft w:val="0"/>
                                  <w:marRight w:val="0"/>
                                  <w:marTop w:val="0"/>
                                  <w:marBottom w:val="0"/>
                                  <w:divBdr>
                                    <w:top w:val="none" w:sz="0" w:space="0" w:color="auto"/>
                                    <w:left w:val="none" w:sz="0" w:space="0" w:color="auto"/>
                                    <w:bottom w:val="none" w:sz="0" w:space="0" w:color="auto"/>
                                    <w:right w:val="none" w:sz="0" w:space="0" w:color="auto"/>
                                  </w:divBdr>
                                </w:div>
                                <w:div w:id="9841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556881">
          <w:marLeft w:val="0"/>
          <w:marRight w:val="0"/>
          <w:marTop w:val="0"/>
          <w:marBottom w:val="0"/>
          <w:divBdr>
            <w:top w:val="none" w:sz="0" w:space="0" w:color="auto"/>
            <w:left w:val="none" w:sz="0" w:space="0" w:color="auto"/>
            <w:bottom w:val="none" w:sz="0" w:space="0" w:color="auto"/>
            <w:right w:val="none" w:sz="0" w:space="0" w:color="auto"/>
          </w:divBdr>
          <w:divsChild>
            <w:div w:id="697043106">
              <w:marLeft w:val="0"/>
              <w:marRight w:val="0"/>
              <w:marTop w:val="0"/>
              <w:marBottom w:val="0"/>
              <w:divBdr>
                <w:top w:val="none" w:sz="0" w:space="0" w:color="auto"/>
                <w:left w:val="none" w:sz="0" w:space="0" w:color="auto"/>
                <w:bottom w:val="none" w:sz="0" w:space="0" w:color="auto"/>
                <w:right w:val="none" w:sz="0" w:space="0" w:color="auto"/>
              </w:divBdr>
            </w:div>
            <w:div w:id="677654683">
              <w:marLeft w:val="0"/>
              <w:marRight w:val="0"/>
              <w:marTop w:val="0"/>
              <w:marBottom w:val="0"/>
              <w:divBdr>
                <w:top w:val="none" w:sz="0" w:space="0" w:color="auto"/>
                <w:left w:val="none" w:sz="0" w:space="0" w:color="auto"/>
                <w:bottom w:val="none" w:sz="0" w:space="0" w:color="auto"/>
                <w:right w:val="none" w:sz="0" w:space="0" w:color="auto"/>
              </w:divBdr>
            </w:div>
            <w:div w:id="859011092">
              <w:marLeft w:val="0"/>
              <w:marRight w:val="0"/>
              <w:marTop w:val="0"/>
              <w:marBottom w:val="0"/>
              <w:divBdr>
                <w:top w:val="none" w:sz="0" w:space="0" w:color="auto"/>
                <w:left w:val="none" w:sz="0" w:space="0" w:color="auto"/>
                <w:bottom w:val="none" w:sz="0" w:space="0" w:color="auto"/>
                <w:right w:val="none" w:sz="0" w:space="0" w:color="auto"/>
              </w:divBdr>
            </w:div>
            <w:div w:id="1270815794">
              <w:marLeft w:val="0"/>
              <w:marRight w:val="0"/>
              <w:marTop w:val="0"/>
              <w:marBottom w:val="0"/>
              <w:divBdr>
                <w:top w:val="none" w:sz="0" w:space="0" w:color="auto"/>
                <w:left w:val="none" w:sz="0" w:space="0" w:color="auto"/>
                <w:bottom w:val="none" w:sz="0" w:space="0" w:color="auto"/>
                <w:right w:val="none" w:sz="0" w:space="0" w:color="auto"/>
              </w:divBdr>
            </w:div>
            <w:div w:id="964626308">
              <w:marLeft w:val="0"/>
              <w:marRight w:val="0"/>
              <w:marTop w:val="0"/>
              <w:marBottom w:val="0"/>
              <w:divBdr>
                <w:top w:val="none" w:sz="0" w:space="0" w:color="auto"/>
                <w:left w:val="none" w:sz="0" w:space="0" w:color="auto"/>
                <w:bottom w:val="none" w:sz="0" w:space="0" w:color="auto"/>
                <w:right w:val="none" w:sz="0" w:space="0" w:color="auto"/>
              </w:divBdr>
            </w:div>
            <w:div w:id="12628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20431">
      <w:bodyDiv w:val="1"/>
      <w:marLeft w:val="0"/>
      <w:marRight w:val="0"/>
      <w:marTop w:val="0"/>
      <w:marBottom w:val="0"/>
      <w:divBdr>
        <w:top w:val="none" w:sz="0" w:space="0" w:color="auto"/>
        <w:left w:val="none" w:sz="0" w:space="0" w:color="auto"/>
        <w:bottom w:val="none" w:sz="0" w:space="0" w:color="auto"/>
        <w:right w:val="none" w:sz="0" w:space="0" w:color="auto"/>
      </w:divBdr>
      <w:divsChild>
        <w:div w:id="568425658">
          <w:marLeft w:val="0"/>
          <w:marRight w:val="0"/>
          <w:marTop w:val="0"/>
          <w:marBottom w:val="0"/>
          <w:divBdr>
            <w:top w:val="none" w:sz="0" w:space="0" w:color="auto"/>
            <w:left w:val="none" w:sz="0" w:space="0" w:color="auto"/>
            <w:bottom w:val="none" w:sz="0" w:space="0" w:color="auto"/>
            <w:right w:val="none" w:sz="0" w:space="0" w:color="auto"/>
          </w:divBdr>
          <w:divsChild>
            <w:div w:id="503975124">
              <w:marLeft w:val="0"/>
              <w:marRight w:val="0"/>
              <w:marTop w:val="0"/>
              <w:marBottom w:val="0"/>
              <w:divBdr>
                <w:top w:val="none" w:sz="0" w:space="0" w:color="auto"/>
                <w:left w:val="none" w:sz="0" w:space="0" w:color="auto"/>
                <w:bottom w:val="none" w:sz="0" w:space="0" w:color="auto"/>
                <w:right w:val="none" w:sz="0" w:space="0" w:color="auto"/>
              </w:divBdr>
              <w:divsChild>
                <w:div w:id="1882356418">
                  <w:marLeft w:val="0"/>
                  <w:marRight w:val="0"/>
                  <w:marTop w:val="0"/>
                  <w:marBottom w:val="0"/>
                  <w:divBdr>
                    <w:top w:val="none" w:sz="0" w:space="0" w:color="auto"/>
                    <w:left w:val="none" w:sz="0" w:space="0" w:color="auto"/>
                    <w:bottom w:val="none" w:sz="0" w:space="0" w:color="auto"/>
                    <w:right w:val="none" w:sz="0" w:space="0" w:color="auto"/>
                  </w:divBdr>
                  <w:divsChild>
                    <w:div w:id="5345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07637">
          <w:marLeft w:val="0"/>
          <w:marRight w:val="0"/>
          <w:marTop w:val="0"/>
          <w:marBottom w:val="0"/>
          <w:divBdr>
            <w:top w:val="none" w:sz="0" w:space="0" w:color="auto"/>
            <w:left w:val="none" w:sz="0" w:space="0" w:color="auto"/>
            <w:bottom w:val="none" w:sz="0" w:space="0" w:color="auto"/>
            <w:right w:val="none" w:sz="0" w:space="0" w:color="auto"/>
          </w:divBdr>
          <w:divsChild>
            <w:div w:id="296227803">
              <w:marLeft w:val="0"/>
              <w:marRight w:val="0"/>
              <w:marTop w:val="0"/>
              <w:marBottom w:val="0"/>
              <w:divBdr>
                <w:top w:val="none" w:sz="0" w:space="0" w:color="auto"/>
                <w:left w:val="none" w:sz="0" w:space="0" w:color="auto"/>
                <w:bottom w:val="none" w:sz="0" w:space="0" w:color="auto"/>
                <w:right w:val="none" w:sz="0" w:space="0" w:color="auto"/>
              </w:divBdr>
              <w:divsChild>
                <w:div w:id="618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8632">
          <w:marLeft w:val="0"/>
          <w:marRight w:val="0"/>
          <w:marTop w:val="0"/>
          <w:marBottom w:val="0"/>
          <w:divBdr>
            <w:top w:val="none" w:sz="0" w:space="0" w:color="auto"/>
            <w:left w:val="none" w:sz="0" w:space="0" w:color="auto"/>
            <w:bottom w:val="none" w:sz="0" w:space="0" w:color="auto"/>
            <w:right w:val="none" w:sz="0" w:space="0" w:color="auto"/>
          </w:divBdr>
        </w:div>
      </w:divsChild>
    </w:div>
    <w:div w:id="1392190350">
      <w:bodyDiv w:val="1"/>
      <w:marLeft w:val="0"/>
      <w:marRight w:val="0"/>
      <w:marTop w:val="0"/>
      <w:marBottom w:val="0"/>
      <w:divBdr>
        <w:top w:val="none" w:sz="0" w:space="0" w:color="auto"/>
        <w:left w:val="none" w:sz="0" w:space="0" w:color="auto"/>
        <w:bottom w:val="none" w:sz="0" w:space="0" w:color="auto"/>
        <w:right w:val="none" w:sz="0" w:space="0" w:color="auto"/>
      </w:divBdr>
    </w:div>
    <w:div w:id="1399087798">
      <w:bodyDiv w:val="1"/>
      <w:marLeft w:val="0"/>
      <w:marRight w:val="0"/>
      <w:marTop w:val="0"/>
      <w:marBottom w:val="0"/>
      <w:divBdr>
        <w:top w:val="none" w:sz="0" w:space="0" w:color="auto"/>
        <w:left w:val="none" w:sz="0" w:space="0" w:color="auto"/>
        <w:bottom w:val="none" w:sz="0" w:space="0" w:color="auto"/>
        <w:right w:val="none" w:sz="0" w:space="0" w:color="auto"/>
      </w:divBdr>
    </w:div>
    <w:div w:id="1605652164">
      <w:bodyDiv w:val="1"/>
      <w:marLeft w:val="0"/>
      <w:marRight w:val="0"/>
      <w:marTop w:val="0"/>
      <w:marBottom w:val="0"/>
      <w:divBdr>
        <w:top w:val="none" w:sz="0" w:space="0" w:color="auto"/>
        <w:left w:val="none" w:sz="0" w:space="0" w:color="auto"/>
        <w:bottom w:val="none" w:sz="0" w:space="0" w:color="auto"/>
        <w:right w:val="none" w:sz="0" w:space="0" w:color="auto"/>
      </w:divBdr>
      <w:divsChild>
        <w:div w:id="1600992883">
          <w:marLeft w:val="0"/>
          <w:marRight w:val="0"/>
          <w:marTop w:val="0"/>
          <w:marBottom w:val="0"/>
          <w:divBdr>
            <w:top w:val="none" w:sz="0" w:space="0" w:color="auto"/>
            <w:left w:val="none" w:sz="0" w:space="0" w:color="auto"/>
            <w:bottom w:val="none" w:sz="0" w:space="0" w:color="auto"/>
            <w:right w:val="none" w:sz="0" w:space="0" w:color="auto"/>
          </w:divBdr>
        </w:div>
      </w:divsChild>
    </w:div>
    <w:div w:id="1840806606">
      <w:bodyDiv w:val="1"/>
      <w:marLeft w:val="0"/>
      <w:marRight w:val="0"/>
      <w:marTop w:val="0"/>
      <w:marBottom w:val="0"/>
      <w:divBdr>
        <w:top w:val="none" w:sz="0" w:space="0" w:color="auto"/>
        <w:left w:val="none" w:sz="0" w:space="0" w:color="auto"/>
        <w:bottom w:val="none" w:sz="0" w:space="0" w:color="auto"/>
        <w:right w:val="none" w:sz="0" w:space="0" w:color="auto"/>
      </w:divBdr>
      <w:divsChild>
        <w:div w:id="683483792">
          <w:marLeft w:val="0"/>
          <w:marRight w:val="0"/>
          <w:marTop w:val="0"/>
          <w:marBottom w:val="0"/>
          <w:divBdr>
            <w:top w:val="none" w:sz="0" w:space="0" w:color="auto"/>
            <w:left w:val="none" w:sz="0" w:space="0" w:color="auto"/>
            <w:bottom w:val="none" w:sz="0" w:space="0" w:color="auto"/>
            <w:right w:val="none" w:sz="0" w:space="0" w:color="auto"/>
          </w:divBdr>
        </w:div>
      </w:divsChild>
    </w:div>
    <w:div w:id="2047216233">
      <w:bodyDiv w:val="1"/>
      <w:marLeft w:val="0"/>
      <w:marRight w:val="0"/>
      <w:marTop w:val="0"/>
      <w:marBottom w:val="0"/>
      <w:divBdr>
        <w:top w:val="none" w:sz="0" w:space="0" w:color="auto"/>
        <w:left w:val="none" w:sz="0" w:space="0" w:color="auto"/>
        <w:bottom w:val="none" w:sz="0" w:space="0" w:color="auto"/>
        <w:right w:val="none" w:sz="0" w:space="0" w:color="auto"/>
      </w:divBdr>
      <w:divsChild>
        <w:div w:id="690111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urie@cspinet.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pubmed-ncbi-nlm-nih-gov.proxy1.library.jhu.edu/33122444/" TargetMode="External"/><Relationship Id="rId3" Type="http://schemas.openxmlformats.org/officeDocument/2006/relationships/hyperlink" Target="https://pubmed.ncbi.nlm.nih.gov/11450665/" TargetMode="External"/><Relationship Id="rId7" Type="http://schemas.openxmlformats.org/officeDocument/2006/relationships/hyperlink" Target="https://cdn.who.int/media/docs/default-source/in-vitro-diagnostics/covid19/considerations-who-evaluation-of-covid-vaccine_v25_11_2020.pdf?sfvrsn=f14bc2b1_3&amp;download=true" TargetMode="External"/><Relationship Id="rId2" Type="http://schemas.openxmlformats.org/officeDocument/2006/relationships/hyperlink" Target="https://pubmed.ncbi.nlm.nih.gov/9295243/" TargetMode="External"/><Relationship Id="rId1" Type="http://schemas.openxmlformats.org/officeDocument/2006/relationships/hyperlink" Target="https://www.nytimes.com/interactive/2020/science/coronavirus-vaccine-tracker.html" TargetMode="External"/><Relationship Id="rId6" Type="http://schemas.openxmlformats.org/officeDocument/2006/relationships/hyperlink" Target="https://www.fda.gov/media/139638/download" TargetMode="External"/><Relationship Id="rId5" Type="http://schemas.openxmlformats.org/officeDocument/2006/relationships/hyperlink" Target="https://cioms.ch/wp-content/uploads/2017/01/WEB-CIOMS-EthicalGuidelines.pdf" TargetMode="External"/><Relationship Id="rId4" Type="http://schemas.openxmlformats.org/officeDocument/2006/relationships/hyperlink" Target="https://www.wma.net/policies-post/wma-declaration-of-helsinki-ethical-principles-for-medical-research-involving-human-subjects/" TargetMode="External"/><Relationship Id="rId9" Type="http://schemas.openxmlformats.org/officeDocument/2006/relationships/hyperlink" Target="https://www.washingtonpost.com/world/europe/covid-challenge-trial-uk/2021/02/17/a785a80c-7106-11eb-8651-6d3091eac63f_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433A8-D47C-433F-B162-61AF6F98C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Lurie</dc:creator>
  <cp:keywords/>
  <dc:description/>
  <cp:lastModifiedBy>MD</cp:lastModifiedBy>
  <cp:revision>2</cp:revision>
  <dcterms:created xsi:type="dcterms:W3CDTF">2021-02-22T05:35:00Z</dcterms:created>
  <dcterms:modified xsi:type="dcterms:W3CDTF">2021-02-22T05:35:00Z</dcterms:modified>
</cp:coreProperties>
</file>