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bookmarkStart w:id="0" w:name="_GoBack"/>
      <w:bookmarkEnd w:id="0"/>
      <w:r w:rsidRPr="000043C9">
        <w:rPr>
          <w:rFonts w:ascii="Times New Roman" w:eastAsia="Times New Roman" w:hAnsi="Times New Roman" w:cs="Times New Roman"/>
          <w:b/>
          <w:bCs/>
          <w:color w:val="000000"/>
          <w:sz w:val="24"/>
          <w:szCs w:val="24"/>
          <w:lang w:eastAsia="en-IN"/>
        </w:rPr>
        <w:t>Has the Bill and Melinda Gates Foundation had a negative impact on global health?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Is the lack of action by the WHO against the growing global obesity epidemic influenced by the Foundation's pharma investments and knowledge creation?</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"Diabetes is a devastating condition, which alongside cancer, cardiovascular diseases, chronic respiratory diseases, and mental and neurological conditions, has long been side-lined by politicians and policymakers." 1</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The 3rd March was World Obesity Day. The following report came out on that day: "COVID-19 and Obesity: The 2021 Atlas The cost of not addressing the global obesity crisis".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The report summarises the strong evidence for the relationship between obesity levels and Covid-19 death rates.</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It calls on governments to include people living with obesity among the groups prioritised for testing and vaccination, and to urgently tackle obesity to reduce the risks of serious symptoms and death. 2</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Considering that especially overweight people are at risk of serious COVID19 infections, why are the WHO and national public health departments not addressing the global obesity problem?</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Why is Bill Gates not giving presentations to educate the public on reversing type-2-diabetes?</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It has been known since the first wave in March 2020 that people who are overweight especially suffer serious COVID19 infections.</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Improving metabolic health can prevent serious respiratory virus infections: "being overweight not only increases the risk of infection and of complications for the single obese person, but a large prevalence of obese individuals within the population might increase the chance of appearance of more virulent viral strains, prolongs the virus shedding throughout the total population and eventually might increase overall mortality rate of an influenza pandemic." 3</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Future pandemics are more likely when the obesity problem in the world is growing.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These outbreaks are likely to lead to more episodes of emergency measures, and a greater push towards immunity certificates and masking and mandatory vaccines.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Has the WHO's vaccine focus increased since Bill Gate's GAVI non-governmental organisation became involved in 2009?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Bill Gates' GAVI gained nation status amongst other countries connected with the WHO when GAVI was recognised as an international institution: "the first organisation to receive such recognition under the new Swiss Host State Act." 4</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xml:space="preserve">As such the NGO GAVI qualified for diplomatic immunity and GAVI doesn't pay tax and due to "governmental" immunity, GAVI's influence </w:t>
      </w:r>
      <w:proofErr w:type="spellStart"/>
      <w:r w:rsidRPr="000043C9">
        <w:rPr>
          <w:rFonts w:ascii="Times New Roman" w:eastAsia="Times New Roman" w:hAnsi="Times New Roman" w:cs="Times New Roman"/>
          <w:color w:val="000000"/>
          <w:sz w:val="24"/>
          <w:szCs w:val="24"/>
          <w:lang w:eastAsia="en-IN"/>
        </w:rPr>
        <w:t>can not</w:t>
      </w:r>
      <w:proofErr w:type="spellEnd"/>
      <w:r w:rsidRPr="000043C9">
        <w:rPr>
          <w:rFonts w:ascii="Times New Roman" w:eastAsia="Times New Roman" w:hAnsi="Times New Roman" w:cs="Times New Roman"/>
          <w:color w:val="000000"/>
          <w:sz w:val="24"/>
          <w:szCs w:val="24"/>
          <w:lang w:eastAsia="en-IN"/>
        </w:rPr>
        <w:t xml:space="preserve"> be legally scrutinised.</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lastRenderedPageBreak/>
        <w:t>Apart from influence within the WHO, the Bill and Melinda Gates Foundation is funding specific quantitative metrics in academic research. In particular, the Institute for Health Metrics and Evaluation (IHME), which is creating a kind of monopoly on knowledge production. This has resulted in a decline of the WHO's autonomy, financing, and credibility. 5</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Furthermore, according to The Nation’s analysis of the foundation’s most recent tax return, website, and various SEC filings, the Bill and Melinda Gates Foundation reports having investments in companies working on Covid vaccines, therapeutics, diagnostics and manufacturing. 6</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A recent article funded by the Bill and Melinda Gates Foundation on strategies to prevent future pandemics discusses making vaccines and masks and social distancing mandatory but neglects to address metabolic health. (5) This is again showing neglect of the metabolic risk factors to develop serious COVID19 infections, in favour of a vaccine focus and infection prevention measures. 7</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During GAVI's participation, the WHO has changed the definition relating to infection mortality and the pandemic definition. These altered definitions can trigger emergency declarations. Now the only requirement to call an outbreak a pandemic is a worldwide disease. Influenza can now trigger emergency measures. 8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noProof/>
          <w:color w:val="000000"/>
          <w:sz w:val="24"/>
          <w:szCs w:val="24"/>
          <w:lang w:eastAsia="en-IN"/>
        </w:rPr>
        <mc:AlternateContent>
          <mc:Choice Requires="wps">
            <w:drawing>
              <wp:inline distT="0" distB="0" distL="0" distR="0" wp14:anchorId="1B254C22" wp14:editId="5EE50F29">
                <wp:extent cx="9525" cy="9525"/>
                <wp:effectExtent l="0" t="0" r="0" b="0"/>
                <wp:docPr id="1" name="AutoShape 1" descr="https://mail.zoho.com/zm/#mail/tab/1616934502268100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00663" id="AutoShape 1" o:spid="_x0000_s1026" alt="https://mail.zoho.com/zm/#mail/tab/161693450226810000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" filled="f" stroked="f">
                <o:lock v:ext="edit" aspectratio="t"/>
                <w10:anchorlock/>
              </v:rect>
            </w:pict>
          </mc:Fallback>
        </mc:AlternateConten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Furthermore, the WHO definition for immunity is now connected with having had the vaccine rather than past infection: "WHO supports achieving 'herd immunity' through vaccination" 9</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Is the WHO's main focus on vaccines misplaced when a large part of COVID19 morbidity and mortality is due to nutritional status? "Of the 2.5 million COVID-19 deaths reported by the end of February 2021, 2.2 million were in countries where more than half the population is classified as overweight." 2</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xml:space="preserve">Has GAVI's influence within the WHO and its focus on vaccines become too strong, supported by the Foundation's funding to collect specific data and has that resulted in </w:t>
      </w:r>
      <w:proofErr w:type="spellStart"/>
      <w:r w:rsidRPr="000043C9">
        <w:rPr>
          <w:rFonts w:ascii="Times New Roman" w:eastAsia="Times New Roman" w:hAnsi="Times New Roman" w:cs="Times New Roman"/>
          <w:color w:val="000000"/>
          <w:sz w:val="24"/>
          <w:szCs w:val="24"/>
          <w:lang w:eastAsia="en-IN"/>
        </w:rPr>
        <w:t>sidelining</w:t>
      </w:r>
      <w:proofErr w:type="spellEnd"/>
      <w:r w:rsidRPr="000043C9">
        <w:rPr>
          <w:rFonts w:ascii="Times New Roman" w:eastAsia="Times New Roman" w:hAnsi="Times New Roman" w:cs="Times New Roman"/>
          <w:color w:val="000000"/>
          <w:sz w:val="24"/>
          <w:szCs w:val="24"/>
          <w:lang w:eastAsia="en-IN"/>
        </w:rPr>
        <w:t xml:space="preserve"> non-communicable diseases (NCDs) like obesity and type-2-diabetes, which will have a negative impact on improving global health?</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1) Dain K. Data-driven policies needed to turn the tide on diabetes. Lancet (London, England). 2020 Dec 19</w:t>
      </w:r>
      <w:proofErr w:type="gramStart"/>
      <w:r w:rsidRPr="000043C9">
        <w:rPr>
          <w:rFonts w:ascii="Times New Roman" w:eastAsia="Times New Roman" w:hAnsi="Times New Roman" w:cs="Times New Roman"/>
          <w:color w:val="000000"/>
          <w:sz w:val="24"/>
          <w:szCs w:val="24"/>
          <w:lang w:eastAsia="en-IN"/>
        </w:rPr>
        <w:t>;396</w:t>
      </w:r>
      <w:proofErr w:type="gramEnd"/>
      <w:r w:rsidRPr="000043C9">
        <w:rPr>
          <w:rFonts w:ascii="Times New Roman" w:eastAsia="Times New Roman" w:hAnsi="Times New Roman" w:cs="Times New Roman"/>
          <w:color w:val="000000"/>
          <w:sz w:val="24"/>
          <w:szCs w:val="24"/>
          <w:lang w:eastAsia="en-IN"/>
        </w:rPr>
        <w:t>(10267):1948.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hyperlink r:id="rId4" w:tgtFrame="_blank" w:history="1">
        <w:r w:rsidRPr="000043C9">
          <w:rPr>
            <w:rFonts w:ascii="Times New Roman" w:eastAsia="Times New Roman" w:hAnsi="Times New Roman" w:cs="Times New Roman"/>
            <w:color w:val="000000"/>
            <w:sz w:val="24"/>
            <w:szCs w:val="24"/>
            <w:u w:val="single"/>
            <w:lang w:eastAsia="en-IN"/>
          </w:rPr>
          <w:t>https://www.ncbi.nlm.nih.gov/pmc/articles/PMC7833858/</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2) </w:t>
      </w:r>
      <w:hyperlink r:id="rId5" w:tgtFrame="_blank" w:history="1">
        <w:r w:rsidRPr="000043C9">
          <w:rPr>
            <w:rFonts w:ascii="Times New Roman" w:eastAsia="Times New Roman" w:hAnsi="Times New Roman" w:cs="Times New Roman"/>
            <w:color w:val="000000"/>
            <w:sz w:val="24"/>
            <w:szCs w:val="24"/>
            <w:u w:val="single"/>
            <w:lang w:eastAsia="en-IN"/>
          </w:rPr>
          <w:t>https://www.worldobesityday.org/assets/downloads/COVID-19-and-Obesity-The-2021-Atlas.pdf</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xml:space="preserve">3)  </w:t>
      </w:r>
      <w:proofErr w:type="spellStart"/>
      <w:r w:rsidRPr="000043C9">
        <w:rPr>
          <w:rFonts w:ascii="Times New Roman" w:eastAsia="Times New Roman" w:hAnsi="Times New Roman" w:cs="Times New Roman"/>
          <w:color w:val="000000"/>
          <w:sz w:val="24"/>
          <w:szCs w:val="24"/>
          <w:lang w:eastAsia="en-IN"/>
        </w:rPr>
        <w:t>Luzi</w:t>
      </w:r>
      <w:proofErr w:type="spellEnd"/>
      <w:r w:rsidRPr="000043C9">
        <w:rPr>
          <w:rFonts w:ascii="Times New Roman" w:eastAsia="Times New Roman" w:hAnsi="Times New Roman" w:cs="Times New Roman"/>
          <w:color w:val="000000"/>
          <w:sz w:val="24"/>
          <w:szCs w:val="24"/>
          <w:lang w:eastAsia="en-IN"/>
        </w:rPr>
        <w:t xml:space="preserve"> L, </w:t>
      </w:r>
      <w:proofErr w:type="spellStart"/>
      <w:r w:rsidRPr="000043C9">
        <w:rPr>
          <w:rFonts w:ascii="Times New Roman" w:eastAsia="Times New Roman" w:hAnsi="Times New Roman" w:cs="Times New Roman"/>
          <w:color w:val="000000"/>
          <w:sz w:val="24"/>
          <w:szCs w:val="24"/>
          <w:lang w:eastAsia="en-IN"/>
        </w:rPr>
        <w:t>Radaelli</w:t>
      </w:r>
      <w:proofErr w:type="spellEnd"/>
      <w:r w:rsidRPr="000043C9">
        <w:rPr>
          <w:rFonts w:ascii="Times New Roman" w:eastAsia="Times New Roman" w:hAnsi="Times New Roman" w:cs="Times New Roman"/>
          <w:color w:val="000000"/>
          <w:sz w:val="24"/>
          <w:szCs w:val="24"/>
          <w:lang w:eastAsia="en-IN"/>
        </w:rPr>
        <w:t xml:space="preserve"> MG. Influenza and obesity: its odd relationship and the lessons for COVID-19 pandemic. Acta </w:t>
      </w:r>
      <w:proofErr w:type="spellStart"/>
      <w:r w:rsidRPr="000043C9">
        <w:rPr>
          <w:rFonts w:ascii="Times New Roman" w:eastAsia="Times New Roman" w:hAnsi="Times New Roman" w:cs="Times New Roman"/>
          <w:color w:val="000000"/>
          <w:sz w:val="24"/>
          <w:szCs w:val="24"/>
          <w:lang w:eastAsia="en-IN"/>
        </w:rPr>
        <w:t>diabetologica</w:t>
      </w:r>
      <w:proofErr w:type="spellEnd"/>
      <w:r w:rsidRPr="000043C9">
        <w:rPr>
          <w:rFonts w:ascii="Times New Roman" w:eastAsia="Times New Roman" w:hAnsi="Times New Roman" w:cs="Times New Roman"/>
          <w:color w:val="000000"/>
          <w:sz w:val="24"/>
          <w:szCs w:val="24"/>
          <w:lang w:eastAsia="en-IN"/>
        </w:rPr>
        <w:t>. 2020 Jun</w:t>
      </w:r>
      <w:proofErr w:type="gramStart"/>
      <w:r w:rsidRPr="000043C9">
        <w:rPr>
          <w:rFonts w:ascii="Times New Roman" w:eastAsia="Times New Roman" w:hAnsi="Times New Roman" w:cs="Times New Roman"/>
          <w:color w:val="000000"/>
          <w:sz w:val="24"/>
          <w:szCs w:val="24"/>
          <w:lang w:eastAsia="en-IN"/>
        </w:rPr>
        <w:t>;57</w:t>
      </w:r>
      <w:proofErr w:type="gramEnd"/>
      <w:r w:rsidRPr="000043C9">
        <w:rPr>
          <w:rFonts w:ascii="Times New Roman" w:eastAsia="Times New Roman" w:hAnsi="Times New Roman" w:cs="Times New Roman"/>
          <w:color w:val="000000"/>
          <w:sz w:val="24"/>
          <w:szCs w:val="24"/>
          <w:lang w:eastAsia="en-IN"/>
        </w:rPr>
        <w:t>(6):759-64.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hyperlink r:id="rId6" w:tgtFrame="_blank" w:history="1">
        <w:r w:rsidRPr="000043C9">
          <w:rPr>
            <w:rFonts w:ascii="Times New Roman" w:eastAsia="Times New Roman" w:hAnsi="Times New Roman" w:cs="Times New Roman"/>
            <w:color w:val="000000"/>
            <w:sz w:val="24"/>
            <w:szCs w:val="24"/>
            <w:u w:val="single"/>
            <w:lang w:eastAsia="en-IN"/>
          </w:rPr>
          <w:t>https://link.springer.com/article/10.1007/s00592-020-01522-8</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lastRenderedPageBreak/>
        <w:t>4)  </w:t>
      </w:r>
      <w:hyperlink r:id="rId7" w:tgtFrame="_blank" w:history="1">
        <w:r w:rsidRPr="000043C9">
          <w:rPr>
            <w:rFonts w:ascii="Times New Roman" w:eastAsia="Times New Roman" w:hAnsi="Times New Roman" w:cs="Times New Roman"/>
            <w:color w:val="000000"/>
            <w:sz w:val="24"/>
            <w:szCs w:val="24"/>
            <w:u w:val="single"/>
            <w:lang w:eastAsia="en-IN"/>
          </w:rPr>
          <w:t>https://www.gavi.org/gavi-recognised-as-international-institution</w:t>
        </w:r>
      </w:hyperlink>
      <w:r w:rsidRPr="000043C9">
        <w:rPr>
          <w:rFonts w:ascii="Times New Roman" w:eastAsia="Times New Roman" w:hAnsi="Times New Roman" w:cs="Times New Roman"/>
          <w:color w:val="000000"/>
          <w:sz w:val="24"/>
          <w:szCs w:val="24"/>
          <w:lang w:eastAsia="en-IN"/>
        </w:rPr>
        <w:t> (accessed on 24th March 2021)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xml:space="preserve">5) Mahajan, </w:t>
      </w:r>
      <w:proofErr w:type="spellStart"/>
      <w:r w:rsidRPr="000043C9">
        <w:rPr>
          <w:rFonts w:ascii="Times New Roman" w:eastAsia="Times New Roman" w:hAnsi="Times New Roman" w:cs="Times New Roman"/>
          <w:color w:val="000000"/>
          <w:sz w:val="24"/>
          <w:szCs w:val="24"/>
          <w:lang w:eastAsia="en-IN"/>
        </w:rPr>
        <w:t>Manjari</w:t>
      </w:r>
      <w:proofErr w:type="spellEnd"/>
      <w:r w:rsidRPr="000043C9">
        <w:rPr>
          <w:rFonts w:ascii="Times New Roman" w:eastAsia="Times New Roman" w:hAnsi="Times New Roman" w:cs="Times New Roman"/>
          <w:color w:val="000000"/>
          <w:sz w:val="24"/>
          <w:szCs w:val="24"/>
          <w:lang w:eastAsia="en-IN"/>
        </w:rPr>
        <w:t>. "The IHME in the shifting landscape of global health metrics." Global policy 10 (2019): 110-120.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hyperlink r:id="rId8" w:tgtFrame="_blank" w:history="1">
        <w:r w:rsidRPr="000043C9">
          <w:rPr>
            <w:rFonts w:ascii="Times New Roman" w:eastAsia="Times New Roman" w:hAnsi="Times New Roman" w:cs="Times New Roman"/>
            <w:color w:val="000000"/>
            <w:sz w:val="24"/>
            <w:szCs w:val="24"/>
            <w:u w:val="single"/>
            <w:lang w:eastAsia="en-IN"/>
          </w:rPr>
          <w:t>https://onlinelibrary.wiley.com/doi/full/10.1111/1758-5899.12605</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6) The billionaire’s pandemic investments, like much of his work, remain a secret. Tim Schwab OCTOBER 5, 2020 </w:t>
      </w:r>
      <w:hyperlink r:id="rId9" w:tgtFrame="_blank" w:history="1">
        <w:r w:rsidRPr="000043C9">
          <w:rPr>
            <w:rFonts w:ascii="Times New Roman" w:eastAsia="Times New Roman" w:hAnsi="Times New Roman" w:cs="Times New Roman"/>
            <w:color w:val="000000"/>
            <w:sz w:val="24"/>
            <w:szCs w:val="24"/>
            <w:u w:val="single"/>
            <w:lang w:eastAsia="en-IN"/>
          </w:rPr>
          <w:t>https://www.thenation.com/article/economy/bill-gates-investments-covid</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7) Murray CJ, Piot P. The Potential Future of the COVID-19 Pandemic: Will SARS-CoV-2 Become a Recurrent Seasonal Infection</w:t>
      </w:r>
      <w:proofErr w:type="gramStart"/>
      <w:r w:rsidRPr="000043C9">
        <w:rPr>
          <w:rFonts w:ascii="Times New Roman" w:eastAsia="Times New Roman" w:hAnsi="Times New Roman" w:cs="Times New Roman"/>
          <w:color w:val="000000"/>
          <w:sz w:val="24"/>
          <w:szCs w:val="24"/>
          <w:lang w:eastAsia="en-IN"/>
        </w:rPr>
        <w:t>?.</w:t>
      </w:r>
      <w:proofErr w:type="gramEnd"/>
      <w:r w:rsidRPr="000043C9">
        <w:rPr>
          <w:rFonts w:ascii="Times New Roman" w:eastAsia="Times New Roman" w:hAnsi="Times New Roman" w:cs="Times New Roman"/>
          <w:color w:val="000000"/>
          <w:sz w:val="24"/>
          <w:szCs w:val="24"/>
          <w:lang w:eastAsia="en-IN"/>
        </w:rPr>
        <w:t xml:space="preserve"> JAMA. 2021 Mar 3.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hyperlink r:id="rId10" w:tgtFrame="_blank" w:history="1">
        <w:r w:rsidRPr="000043C9">
          <w:rPr>
            <w:rFonts w:ascii="Times New Roman" w:eastAsia="Times New Roman" w:hAnsi="Times New Roman" w:cs="Times New Roman"/>
            <w:color w:val="000000"/>
            <w:sz w:val="24"/>
            <w:szCs w:val="24"/>
            <w:u w:val="single"/>
            <w:lang w:eastAsia="en-IN"/>
          </w:rPr>
          <w:t>https://jamanetwork.com/journals/jama/fullarticle/2777343</w:t>
        </w:r>
      </w:hyperlink>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8) </w:t>
      </w:r>
      <w:hyperlink r:id="rId11" w:tgtFrame="_blank" w:history="1">
        <w:r w:rsidRPr="000043C9">
          <w:rPr>
            <w:rFonts w:ascii="Times New Roman" w:eastAsia="Times New Roman" w:hAnsi="Times New Roman" w:cs="Times New Roman"/>
            <w:color w:val="000000"/>
            <w:sz w:val="24"/>
            <w:szCs w:val="24"/>
            <w:u w:val="single"/>
            <w:lang w:eastAsia="en-IN"/>
          </w:rPr>
          <w:t>https://www.who.int/bulletin/volumes/89/7/11-088815/en</w:t>
        </w:r>
      </w:hyperlink>
      <w:r w:rsidRPr="000043C9">
        <w:rPr>
          <w:rFonts w:ascii="Times New Roman" w:eastAsia="Times New Roman" w:hAnsi="Times New Roman" w:cs="Times New Roman"/>
          <w:color w:val="000000"/>
          <w:sz w:val="24"/>
          <w:szCs w:val="24"/>
          <w:lang w:eastAsia="en-IN"/>
        </w:rPr>
        <w:t> (accessed on 24th March 2021)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 </w:t>
      </w:r>
    </w:p>
    <w:p w:rsidR="000043C9" w:rsidRPr="000043C9" w:rsidRDefault="000043C9" w:rsidP="000043C9">
      <w:pPr>
        <w:shd w:val="clear" w:color="auto" w:fill="FFFFFF"/>
        <w:spacing w:after="0" w:line="240" w:lineRule="auto"/>
        <w:rPr>
          <w:rFonts w:ascii="Calibri" w:eastAsia="Times New Roman" w:hAnsi="Calibri" w:cs="Calibri"/>
          <w:color w:val="000000"/>
          <w:sz w:val="24"/>
          <w:szCs w:val="24"/>
          <w:lang w:eastAsia="en-IN"/>
        </w:rPr>
      </w:pPr>
      <w:r w:rsidRPr="000043C9">
        <w:rPr>
          <w:rFonts w:ascii="Times New Roman" w:eastAsia="Times New Roman" w:hAnsi="Times New Roman" w:cs="Times New Roman"/>
          <w:color w:val="000000"/>
          <w:sz w:val="24"/>
          <w:szCs w:val="24"/>
          <w:lang w:eastAsia="en-IN"/>
        </w:rPr>
        <w:t>9) </w:t>
      </w:r>
      <w:hyperlink r:id="rId12" w:tgtFrame="_blank" w:history="1">
        <w:r w:rsidRPr="000043C9">
          <w:rPr>
            <w:rFonts w:ascii="Times New Roman" w:eastAsia="Times New Roman" w:hAnsi="Times New Roman" w:cs="Times New Roman"/>
            <w:color w:val="000000"/>
            <w:sz w:val="24"/>
            <w:szCs w:val="24"/>
            <w:u w:val="single"/>
            <w:lang w:eastAsia="en-IN"/>
          </w:rPr>
          <w:t>https://www.who.int/news-room/q-a-detail/herd-immunity-lockdowns-and-covid-19</w:t>
        </w:r>
      </w:hyperlink>
      <w:r w:rsidRPr="000043C9">
        <w:rPr>
          <w:rFonts w:ascii="Times New Roman" w:eastAsia="Times New Roman" w:hAnsi="Times New Roman" w:cs="Times New Roman"/>
          <w:color w:val="000000"/>
          <w:sz w:val="24"/>
          <w:szCs w:val="24"/>
          <w:lang w:eastAsia="en-IN"/>
        </w:rPr>
        <w:t> (accessed on 24th March 2021) </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 xml:space="preserve">Dr </w:t>
      </w:r>
      <w:proofErr w:type="spellStart"/>
      <w:r w:rsidRPr="000043C9">
        <w:rPr>
          <w:rFonts w:ascii="Arial" w:eastAsia="Times New Roman" w:hAnsi="Arial" w:cs="Arial"/>
          <w:color w:val="000000"/>
          <w:sz w:val="21"/>
          <w:szCs w:val="21"/>
          <w:lang w:eastAsia="en-IN"/>
        </w:rPr>
        <w:t>Wouter</w:t>
      </w:r>
      <w:proofErr w:type="spellEnd"/>
      <w:r w:rsidRPr="000043C9">
        <w:rPr>
          <w:rFonts w:ascii="Arial" w:eastAsia="Times New Roman" w:hAnsi="Arial" w:cs="Arial"/>
          <w:color w:val="000000"/>
          <w:sz w:val="21"/>
          <w:szCs w:val="21"/>
          <w:lang w:eastAsia="en-IN"/>
        </w:rPr>
        <w:t xml:space="preserve"> </w:t>
      </w:r>
      <w:proofErr w:type="spellStart"/>
      <w:r w:rsidRPr="000043C9">
        <w:rPr>
          <w:rFonts w:ascii="Arial" w:eastAsia="Times New Roman" w:hAnsi="Arial" w:cs="Arial"/>
          <w:color w:val="000000"/>
          <w:sz w:val="21"/>
          <w:szCs w:val="21"/>
          <w:lang w:eastAsia="en-IN"/>
        </w:rPr>
        <w:t>Havinga</w:t>
      </w:r>
      <w:proofErr w:type="spellEnd"/>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proofErr w:type="gramStart"/>
      <w:r w:rsidRPr="000043C9">
        <w:rPr>
          <w:rFonts w:ascii="Arial" w:eastAsia="Times New Roman" w:hAnsi="Arial" w:cs="Arial"/>
          <w:color w:val="000000"/>
          <w:sz w:val="21"/>
          <w:szCs w:val="21"/>
          <w:lang w:eastAsia="en-IN"/>
        </w:rPr>
        <w:t>retired</w:t>
      </w:r>
      <w:proofErr w:type="gramEnd"/>
      <w:r w:rsidRPr="000043C9">
        <w:rPr>
          <w:rFonts w:ascii="Arial" w:eastAsia="Times New Roman" w:hAnsi="Arial" w:cs="Arial"/>
          <w:color w:val="000000"/>
          <w:sz w:val="21"/>
          <w:szCs w:val="21"/>
          <w:lang w:eastAsia="en-IN"/>
        </w:rPr>
        <w:t xml:space="preserve"> GP</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Home address:</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Little Pickwick</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Lightwood Lane</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Stroud</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GL6 6JL</w:t>
      </w:r>
    </w:p>
    <w:p w:rsidR="000043C9" w:rsidRPr="000043C9" w:rsidRDefault="000043C9" w:rsidP="000043C9">
      <w:pPr>
        <w:shd w:val="clear" w:color="auto" w:fill="FFFFFF"/>
        <w:spacing w:after="0" w:line="240" w:lineRule="auto"/>
        <w:rPr>
          <w:rFonts w:ascii="Arial" w:eastAsia="Times New Roman" w:hAnsi="Arial" w:cs="Arial"/>
          <w:color w:val="000000"/>
          <w:sz w:val="21"/>
          <w:szCs w:val="21"/>
          <w:lang w:eastAsia="en-IN"/>
        </w:rPr>
      </w:pPr>
      <w:r w:rsidRPr="000043C9">
        <w:rPr>
          <w:rFonts w:ascii="Arial" w:eastAsia="Times New Roman" w:hAnsi="Arial" w:cs="Arial"/>
          <w:color w:val="000000"/>
          <w:sz w:val="21"/>
          <w:szCs w:val="21"/>
          <w:lang w:eastAsia="en-IN"/>
        </w:rPr>
        <w:t>UK</w:t>
      </w:r>
    </w:p>
    <w:p w:rsidR="008F1CB3" w:rsidRDefault="008F1CB3"/>
    <w:sectPr w:rsidR="008F1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C9"/>
    <w:rsid w:val="000043C9"/>
    <w:rsid w:val="008F1CB3"/>
    <w:rsid w:val="00D6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59B4F-34B4-4C31-A77C-F7A2E724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5566">
      <w:bodyDiv w:val="1"/>
      <w:marLeft w:val="0"/>
      <w:marRight w:val="0"/>
      <w:marTop w:val="0"/>
      <w:marBottom w:val="0"/>
      <w:divBdr>
        <w:top w:val="none" w:sz="0" w:space="0" w:color="auto"/>
        <w:left w:val="none" w:sz="0" w:space="0" w:color="auto"/>
        <w:bottom w:val="none" w:sz="0" w:space="0" w:color="auto"/>
        <w:right w:val="none" w:sz="0" w:space="0" w:color="auto"/>
      </w:divBdr>
      <w:divsChild>
        <w:div w:id="2071344040">
          <w:marLeft w:val="0"/>
          <w:marRight w:val="0"/>
          <w:marTop w:val="0"/>
          <w:marBottom w:val="0"/>
          <w:divBdr>
            <w:top w:val="none" w:sz="0" w:space="0" w:color="auto"/>
            <w:left w:val="none" w:sz="0" w:space="0" w:color="auto"/>
            <w:bottom w:val="none" w:sz="0" w:space="0" w:color="auto"/>
            <w:right w:val="none" w:sz="0" w:space="0" w:color="auto"/>
          </w:divBdr>
        </w:div>
        <w:div w:id="1252546058">
          <w:marLeft w:val="0"/>
          <w:marRight w:val="0"/>
          <w:marTop w:val="0"/>
          <w:marBottom w:val="0"/>
          <w:divBdr>
            <w:top w:val="none" w:sz="0" w:space="0" w:color="auto"/>
            <w:left w:val="none" w:sz="0" w:space="0" w:color="auto"/>
            <w:bottom w:val="none" w:sz="0" w:space="0" w:color="auto"/>
            <w:right w:val="none" w:sz="0" w:space="0" w:color="auto"/>
          </w:divBdr>
        </w:div>
        <w:div w:id="1596404147">
          <w:marLeft w:val="0"/>
          <w:marRight w:val="0"/>
          <w:marTop w:val="0"/>
          <w:marBottom w:val="0"/>
          <w:divBdr>
            <w:top w:val="none" w:sz="0" w:space="0" w:color="auto"/>
            <w:left w:val="none" w:sz="0" w:space="0" w:color="auto"/>
            <w:bottom w:val="none" w:sz="0" w:space="0" w:color="auto"/>
            <w:right w:val="none" w:sz="0" w:space="0" w:color="auto"/>
          </w:divBdr>
          <w:divsChild>
            <w:div w:id="1608733680">
              <w:marLeft w:val="0"/>
              <w:marRight w:val="0"/>
              <w:marTop w:val="0"/>
              <w:marBottom w:val="0"/>
              <w:divBdr>
                <w:top w:val="none" w:sz="0" w:space="0" w:color="auto"/>
                <w:left w:val="none" w:sz="0" w:space="0" w:color="auto"/>
                <w:bottom w:val="none" w:sz="0" w:space="0" w:color="auto"/>
                <w:right w:val="none" w:sz="0" w:space="0" w:color="auto"/>
              </w:divBdr>
            </w:div>
            <w:div w:id="1220243269">
              <w:marLeft w:val="0"/>
              <w:marRight w:val="0"/>
              <w:marTop w:val="0"/>
              <w:marBottom w:val="0"/>
              <w:divBdr>
                <w:top w:val="none" w:sz="0" w:space="0" w:color="auto"/>
                <w:left w:val="none" w:sz="0" w:space="0" w:color="auto"/>
                <w:bottom w:val="none" w:sz="0" w:space="0" w:color="auto"/>
                <w:right w:val="none" w:sz="0" w:space="0" w:color="auto"/>
              </w:divBdr>
            </w:div>
            <w:div w:id="1219362908">
              <w:marLeft w:val="0"/>
              <w:marRight w:val="0"/>
              <w:marTop w:val="0"/>
              <w:marBottom w:val="0"/>
              <w:divBdr>
                <w:top w:val="none" w:sz="0" w:space="0" w:color="auto"/>
                <w:left w:val="none" w:sz="0" w:space="0" w:color="auto"/>
                <w:bottom w:val="none" w:sz="0" w:space="0" w:color="auto"/>
                <w:right w:val="none" w:sz="0" w:space="0" w:color="auto"/>
              </w:divBdr>
            </w:div>
          </w:divsChild>
        </w:div>
        <w:div w:id="1066687289">
          <w:marLeft w:val="0"/>
          <w:marRight w:val="0"/>
          <w:marTop w:val="0"/>
          <w:marBottom w:val="0"/>
          <w:divBdr>
            <w:top w:val="none" w:sz="0" w:space="0" w:color="auto"/>
            <w:left w:val="none" w:sz="0" w:space="0" w:color="auto"/>
            <w:bottom w:val="none" w:sz="0" w:space="0" w:color="auto"/>
            <w:right w:val="none" w:sz="0" w:space="0" w:color="auto"/>
          </w:divBdr>
        </w:div>
        <w:div w:id="1051417977">
          <w:marLeft w:val="0"/>
          <w:marRight w:val="0"/>
          <w:marTop w:val="0"/>
          <w:marBottom w:val="0"/>
          <w:divBdr>
            <w:top w:val="none" w:sz="0" w:space="0" w:color="auto"/>
            <w:left w:val="none" w:sz="0" w:space="0" w:color="auto"/>
            <w:bottom w:val="none" w:sz="0" w:space="0" w:color="auto"/>
            <w:right w:val="none" w:sz="0" w:space="0" w:color="auto"/>
          </w:divBdr>
        </w:div>
        <w:div w:id="335311265">
          <w:marLeft w:val="0"/>
          <w:marRight w:val="0"/>
          <w:marTop w:val="0"/>
          <w:marBottom w:val="0"/>
          <w:divBdr>
            <w:top w:val="none" w:sz="0" w:space="0" w:color="auto"/>
            <w:left w:val="none" w:sz="0" w:space="0" w:color="auto"/>
            <w:bottom w:val="none" w:sz="0" w:space="0" w:color="auto"/>
            <w:right w:val="none" w:sz="0" w:space="0" w:color="auto"/>
          </w:divBdr>
        </w:div>
        <w:div w:id="1632436697">
          <w:marLeft w:val="0"/>
          <w:marRight w:val="0"/>
          <w:marTop w:val="0"/>
          <w:marBottom w:val="0"/>
          <w:divBdr>
            <w:top w:val="none" w:sz="0" w:space="0" w:color="auto"/>
            <w:left w:val="none" w:sz="0" w:space="0" w:color="auto"/>
            <w:bottom w:val="none" w:sz="0" w:space="0" w:color="auto"/>
            <w:right w:val="none" w:sz="0" w:space="0" w:color="auto"/>
          </w:divBdr>
        </w:div>
        <w:div w:id="1755202529">
          <w:marLeft w:val="0"/>
          <w:marRight w:val="0"/>
          <w:marTop w:val="0"/>
          <w:marBottom w:val="0"/>
          <w:divBdr>
            <w:top w:val="none" w:sz="0" w:space="0" w:color="auto"/>
            <w:left w:val="none" w:sz="0" w:space="0" w:color="auto"/>
            <w:bottom w:val="none" w:sz="0" w:space="0" w:color="auto"/>
            <w:right w:val="none" w:sz="0" w:space="0" w:color="auto"/>
          </w:divBdr>
        </w:div>
        <w:div w:id="628823370">
          <w:marLeft w:val="0"/>
          <w:marRight w:val="0"/>
          <w:marTop w:val="0"/>
          <w:marBottom w:val="0"/>
          <w:divBdr>
            <w:top w:val="none" w:sz="0" w:space="0" w:color="auto"/>
            <w:left w:val="none" w:sz="0" w:space="0" w:color="auto"/>
            <w:bottom w:val="none" w:sz="0" w:space="0" w:color="auto"/>
            <w:right w:val="none" w:sz="0" w:space="0" w:color="auto"/>
          </w:divBdr>
        </w:div>
        <w:div w:id="1192495604">
          <w:marLeft w:val="0"/>
          <w:marRight w:val="0"/>
          <w:marTop w:val="0"/>
          <w:marBottom w:val="0"/>
          <w:divBdr>
            <w:top w:val="none" w:sz="0" w:space="0" w:color="auto"/>
            <w:left w:val="none" w:sz="0" w:space="0" w:color="auto"/>
            <w:bottom w:val="none" w:sz="0" w:space="0" w:color="auto"/>
            <w:right w:val="none" w:sz="0" w:space="0" w:color="auto"/>
          </w:divBdr>
        </w:div>
        <w:div w:id="163987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1758-5899.1260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vi.org/gavi-recognised-as-international-institution" TargetMode="External"/><Relationship Id="rId12" Type="http://schemas.openxmlformats.org/officeDocument/2006/relationships/hyperlink" Target="https://www.who.int/news-room/q-a-detail/herd-immunity-lockdowns-and-covid-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00592-020-01522-8" TargetMode="External"/><Relationship Id="rId11" Type="http://schemas.openxmlformats.org/officeDocument/2006/relationships/hyperlink" Target="https://www.who.int/bulletin/volumes/89/7/11-088815/en" TargetMode="External"/><Relationship Id="rId5" Type="http://schemas.openxmlformats.org/officeDocument/2006/relationships/hyperlink" Target="https://www.worldobesityday.org/assets/downloads/COVID-19-and-Obesity-The-2021-Atlas.pdf" TargetMode="External"/><Relationship Id="rId10" Type="http://schemas.openxmlformats.org/officeDocument/2006/relationships/hyperlink" Target="https://jamanetwork.com/journals/jama/fullarticle/2777343" TargetMode="External"/><Relationship Id="rId4" Type="http://schemas.openxmlformats.org/officeDocument/2006/relationships/hyperlink" Target="https://www.ncbi.nlm.nih.gov/pmc/articles/PMC7833858/" TargetMode="External"/><Relationship Id="rId9" Type="http://schemas.openxmlformats.org/officeDocument/2006/relationships/hyperlink" Target="https://www.thenation.com/article/economy/bill-gates-investments-cov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998</Words>
  <Characters>6064</Characters>
  <Application>Microsoft Office Word</Application>
  <DocSecurity>0</DocSecurity>
  <Lines>110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2021-04-01T03:44:00Z</dcterms:created>
  <dcterms:modified xsi:type="dcterms:W3CDTF">2021-04-01T05:03:00Z</dcterms:modified>
</cp:coreProperties>
</file>