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40" w:rsidRPr="005E5A92" w:rsidRDefault="00F11340" w:rsidP="00217147">
      <w:pPr>
        <w:pStyle w:val="NormalWeb"/>
        <w:spacing w:before="0" w:beforeAutospacing="0" w:after="0" w:afterAutospacing="0"/>
        <w:ind w:firstLine="0"/>
        <w:rPr>
          <w:rFonts w:ascii="Times New Roman" w:hAnsi="Times New Roman"/>
          <w:b/>
          <w:bCs/>
          <w:color w:val="000000"/>
        </w:rPr>
      </w:pPr>
      <w:r w:rsidRPr="005E5A92">
        <w:rPr>
          <w:rFonts w:ascii="Times New Roman" w:hAnsi="Times New Roman"/>
          <w:b/>
          <w:bCs/>
          <w:color w:val="000000"/>
        </w:rPr>
        <w:t xml:space="preserve">Medical error and its related factors </w:t>
      </w:r>
      <w:r w:rsidR="006C6AD9" w:rsidRPr="005E5A92">
        <w:rPr>
          <w:rFonts w:ascii="Times New Roman" w:hAnsi="Times New Roman"/>
          <w:b/>
          <w:bCs/>
          <w:color w:val="000000"/>
          <w:lang w:val="en-US"/>
        </w:rPr>
        <w:t>during internship and residency</w:t>
      </w:r>
      <w:r w:rsidRPr="005E5A92">
        <w:rPr>
          <w:rFonts w:ascii="Times New Roman" w:hAnsi="Times New Roman"/>
          <w:b/>
          <w:bCs/>
          <w:color w:val="000000"/>
        </w:rPr>
        <w:t xml:space="preserve"> in Kerman</w:t>
      </w:r>
      <w:r w:rsidR="00F66174">
        <w:rPr>
          <w:rFonts w:ascii="Times New Roman" w:hAnsi="Times New Roman"/>
          <w:b/>
          <w:bCs/>
          <w:color w:val="000000"/>
        </w:rPr>
        <w:t xml:space="preserve"> University of Medical Sciences</w:t>
      </w:r>
      <w:r w:rsidRPr="005E5A92">
        <w:rPr>
          <w:rFonts w:ascii="Times New Roman" w:hAnsi="Times New Roman"/>
          <w:b/>
          <w:bCs/>
          <w:color w:val="000000"/>
        </w:rPr>
        <w:t>, 2013</w:t>
      </w:r>
    </w:p>
    <w:p w:rsidR="005E5A92" w:rsidRPr="005E5A92" w:rsidRDefault="005E5A92" w:rsidP="00217147">
      <w:pPr>
        <w:pStyle w:val="NormalWeb"/>
        <w:spacing w:before="0" w:beforeAutospacing="0" w:after="0" w:afterAutospacing="0"/>
        <w:ind w:firstLine="0"/>
        <w:rPr>
          <w:rFonts w:ascii="Times New Roman" w:hAnsi="Times New Roman"/>
          <w:b/>
          <w:bCs/>
          <w:color w:val="000000"/>
        </w:rPr>
      </w:pPr>
    </w:p>
    <w:p w:rsidR="005E5A92" w:rsidRPr="003C6903" w:rsidRDefault="005E5A92" w:rsidP="00217147">
      <w:pPr>
        <w:pStyle w:val="NormalWeb"/>
        <w:spacing w:before="0" w:beforeAutospacing="0" w:after="0" w:afterAutospacing="0"/>
        <w:ind w:firstLine="0"/>
        <w:rPr>
          <w:rFonts w:ascii="Times New Roman" w:hAnsi="Times New Roman"/>
          <w:color w:val="000000"/>
        </w:rPr>
      </w:pPr>
    </w:p>
    <w:p w:rsidR="00F11340" w:rsidRPr="00387059" w:rsidRDefault="00F11340" w:rsidP="00217147">
      <w:pPr>
        <w:spacing w:before="60"/>
        <w:rPr>
          <w:color w:val="000000"/>
        </w:rPr>
      </w:pPr>
      <w:r w:rsidRPr="00387059">
        <w:rPr>
          <w:color w:val="000000"/>
        </w:rPr>
        <w:t>1. Ahmadipour Habibeh, assistant professor of community medicine, School of medicine, Kerman University of      Medical Sciences, Kerman, Iran,</w:t>
      </w:r>
      <w:r w:rsidR="002929E6" w:rsidRPr="002929E6">
        <w:rPr>
          <w:b/>
          <w:bCs/>
          <w:noProof/>
          <w:color w:val="000000"/>
          <w:lang w:val="en-US"/>
        </w:rPr>
        <w:t xml:space="preserve"> </w:t>
      </w:r>
      <w:r w:rsidR="002929E6" w:rsidRPr="0023010C">
        <w:rPr>
          <w:b/>
          <w:bCs/>
          <w:noProof/>
          <w:color w:val="000000"/>
          <w:lang w:val="en-US"/>
        </w:rPr>
        <w:t>Corresponding Author</w:t>
      </w:r>
    </w:p>
    <w:p w:rsidR="00F11340" w:rsidRPr="00387059" w:rsidRDefault="00F11340" w:rsidP="00217147">
      <w:pPr>
        <w:spacing w:before="60"/>
        <w:rPr>
          <w:color w:val="000000"/>
        </w:rPr>
      </w:pPr>
      <w:r w:rsidRPr="00387059">
        <w:rPr>
          <w:color w:val="000000"/>
        </w:rPr>
        <w:t>2. Mortazavi Nahid, GP, School of medicine, Kerman University of      Medical Sciences, Kerman, Iran,</w:t>
      </w:r>
    </w:p>
    <w:p w:rsidR="00F11340" w:rsidRPr="00387059" w:rsidRDefault="00F11340" w:rsidP="00217147">
      <w:pPr>
        <w:spacing w:before="60"/>
        <w:rPr>
          <w:color w:val="000000"/>
        </w:rPr>
      </w:pPr>
      <w:r w:rsidRPr="0023010C">
        <w:rPr>
          <w:b/>
          <w:bCs/>
          <w:noProof/>
          <w:color w:val="000000"/>
          <w:lang w:val="en-US"/>
        </w:rPr>
        <w:t>Phone</w:t>
      </w:r>
      <w:r w:rsidRPr="00387059">
        <w:rPr>
          <w:color w:val="000000"/>
        </w:rPr>
        <w:t xml:space="preserve"> </w:t>
      </w:r>
      <w:r w:rsidRPr="0023010C">
        <w:rPr>
          <w:b/>
          <w:bCs/>
          <w:noProof/>
          <w:color w:val="000000"/>
          <w:lang w:val="en-US"/>
        </w:rPr>
        <w:t>numbers</w:t>
      </w:r>
      <w:r w:rsidR="0024170A" w:rsidRPr="00387059">
        <w:rPr>
          <w:color w:val="000000"/>
        </w:rPr>
        <w:t>: 03433321660</w:t>
      </w:r>
    </w:p>
    <w:p w:rsidR="00F11340" w:rsidRDefault="00F11340" w:rsidP="00217147">
      <w:pPr>
        <w:spacing w:before="60"/>
        <w:rPr>
          <w:color w:val="000000"/>
        </w:rPr>
      </w:pPr>
      <w:r w:rsidRPr="0023010C">
        <w:rPr>
          <w:b/>
          <w:bCs/>
          <w:noProof/>
          <w:color w:val="000000"/>
          <w:lang w:val="en-US"/>
        </w:rPr>
        <w:t>E</w:t>
      </w:r>
      <w:r w:rsidRPr="00387059">
        <w:rPr>
          <w:color w:val="000000"/>
        </w:rPr>
        <w:t>-</w:t>
      </w:r>
      <w:r w:rsidR="0024170A" w:rsidRPr="0023010C">
        <w:rPr>
          <w:b/>
          <w:bCs/>
          <w:noProof/>
          <w:color w:val="000000"/>
          <w:lang w:val="en-US"/>
        </w:rPr>
        <w:t>mail</w:t>
      </w:r>
      <w:r w:rsidR="0024170A" w:rsidRPr="00387059">
        <w:rPr>
          <w:color w:val="000000"/>
        </w:rPr>
        <w:t xml:space="preserve"> </w:t>
      </w:r>
      <w:r w:rsidR="0024170A" w:rsidRPr="002929E6">
        <w:rPr>
          <w:b/>
          <w:bCs/>
          <w:color w:val="000000"/>
        </w:rPr>
        <w:t>address</w:t>
      </w:r>
      <w:r w:rsidR="0024170A" w:rsidRPr="00387059">
        <w:rPr>
          <w:color w:val="000000"/>
        </w:rPr>
        <w:t xml:space="preserve">: </w:t>
      </w:r>
      <w:hyperlink r:id="rId7" w:history="1">
        <w:r w:rsidRPr="00387059">
          <w:rPr>
            <w:color w:val="000000"/>
          </w:rPr>
          <w:t>ahmadipour@kmu.ac.ir</w:t>
        </w:r>
      </w:hyperlink>
    </w:p>
    <w:p w:rsidR="00FB5979" w:rsidRDefault="00FB5979" w:rsidP="00FB5979">
      <w:pPr>
        <w:spacing w:before="60"/>
        <w:outlineLvl w:val="0"/>
        <w:rPr>
          <w:color w:val="000000"/>
        </w:rPr>
      </w:pPr>
      <w:r w:rsidRPr="00AE77BB">
        <w:rPr>
          <w:b/>
          <w:bCs/>
          <w:color w:val="000000"/>
        </w:rPr>
        <w:t>Conflict of interest:</w:t>
      </w:r>
      <w:r>
        <w:rPr>
          <w:color w:val="000000"/>
        </w:rPr>
        <w:t xml:space="preserve"> </w:t>
      </w:r>
      <w:r w:rsidRPr="00387059">
        <w:rPr>
          <w:color w:val="000000"/>
        </w:rPr>
        <w:t>The authors have no conflict of interest</w:t>
      </w:r>
    </w:p>
    <w:p w:rsidR="00FB5979" w:rsidRPr="00FB5979" w:rsidRDefault="00FB5979" w:rsidP="00FB5979">
      <w:pPr>
        <w:spacing w:before="60"/>
        <w:outlineLvl w:val="0"/>
        <w:rPr>
          <w:b/>
          <w:bCs/>
          <w:color w:val="000000"/>
        </w:rPr>
      </w:pPr>
      <w:r>
        <w:rPr>
          <w:b/>
          <w:bCs/>
          <w:color w:val="000000"/>
        </w:rPr>
        <w:t>F</w:t>
      </w:r>
      <w:r w:rsidRPr="00FB5979">
        <w:rPr>
          <w:b/>
          <w:bCs/>
          <w:color w:val="000000"/>
        </w:rPr>
        <w:t>unding support</w:t>
      </w:r>
      <w:r>
        <w:rPr>
          <w:b/>
          <w:bCs/>
          <w:color w:val="000000"/>
        </w:rPr>
        <w:t xml:space="preserve">: </w:t>
      </w:r>
      <w:r w:rsidRPr="00F11340">
        <w:t>Kerman University of Medical Sciences</w:t>
      </w:r>
      <w:r w:rsidRPr="00F11340">
        <w:rPr>
          <w:color w:val="000000"/>
        </w:rPr>
        <w:t xml:space="preserve"> </w:t>
      </w:r>
      <w:r>
        <w:rPr>
          <w:color w:val="000000"/>
        </w:rPr>
        <w:t>supported</w:t>
      </w:r>
      <w:r w:rsidRPr="00F11340">
        <w:rPr>
          <w:color w:val="000000"/>
        </w:rPr>
        <w:t xml:space="preserve"> this study</w:t>
      </w:r>
      <w:r>
        <w:rPr>
          <w:b/>
          <w:bCs/>
          <w:color w:val="000000"/>
        </w:rPr>
        <w:t>.</w:t>
      </w:r>
    </w:p>
    <w:p w:rsidR="00FB5979" w:rsidRPr="00FB5979" w:rsidRDefault="00FB5979" w:rsidP="00FB5979">
      <w:pPr>
        <w:jc w:val="both"/>
        <w:rPr>
          <w:b/>
          <w:bCs/>
          <w:color w:val="000000"/>
        </w:rPr>
      </w:pPr>
    </w:p>
    <w:p w:rsidR="00FB5979" w:rsidRDefault="00FB5979" w:rsidP="00FB5979">
      <w:pPr>
        <w:spacing w:before="60"/>
        <w:outlineLvl w:val="0"/>
        <w:rPr>
          <w:color w:val="000000"/>
        </w:rPr>
      </w:pPr>
    </w:p>
    <w:p w:rsidR="00FB5979" w:rsidRPr="00387059" w:rsidRDefault="00FB5979" w:rsidP="00217147">
      <w:pPr>
        <w:spacing w:before="60"/>
        <w:rPr>
          <w:color w:val="000000"/>
        </w:rPr>
      </w:pPr>
    </w:p>
    <w:p w:rsidR="00790CC5" w:rsidRDefault="00790CC5" w:rsidP="00217147">
      <w:pPr>
        <w:spacing w:before="60"/>
        <w:ind w:firstLine="720"/>
        <w:rPr>
          <w:b/>
          <w:bCs/>
          <w:noProof/>
          <w:color w:val="000000"/>
          <w:lang w:val="en-US"/>
        </w:rPr>
      </w:pPr>
    </w:p>
    <w:p w:rsidR="00F11340" w:rsidRPr="00387059" w:rsidRDefault="00F11340" w:rsidP="00217147">
      <w:pPr>
        <w:spacing w:before="60"/>
        <w:ind w:firstLine="720"/>
        <w:rPr>
          <w:color w:val="000000"/>
        </w:rPr>
      </w:pPr>
      <w:r w:rsidRPr="00387059">
        <w:rPr>
          <w:color w:val="000000"/>
        </w:rPr>
        <w:t xml:space="preserve"> </w:t>
      </w:r>
    </w:p>
    <w:p w:rsidR="00F11340" w:rsidRDefault="00F11340"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AE77BB" w:rsidRDefault="00AE77BB"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156FDA" w:rsidRDefault="00156FDA"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156FDA" w:rsidRDefault="00156FDA"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790CC5" w:rsidRDefault="00790CC5"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790CC5" w:rsidRDefault="00790CC5"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790CC5" w:rsidRDefault="00790CC5"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156FDA" w:rsidRDefault="00156FDA"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217147" w:rsidRDefault="00217147"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5E5A92" w:rsidRDefault="005E5A92"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5E5A92" w:rsidRDefault="005E5A92"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5E5A92" w:rsidRDefault="005E5A92"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5E5A92" w:rsidRDefault="005E5A92"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5E5A92" w:rsidRDefault="005E5A92"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5E5A92" w:rsidRDefault="005E5A92" w:rsidP="00217147">
      <w:pPr>
        <w:pStyle w:val="ListParagraph"/>
        <w:bidi w:val="0"/>
        <w:spacing w:after="0" w:line="240" w:lineRule="auto"/>
        <w:jc w:val="both"/>
        <w:rPr>
          <w:rFonts w:ascii="Times New Roman" w:eastAsia="Times New Roman" w:hAnsi="Times New Roman" w:cs="Times New Roman"/>
          <w:color w:val="000000"/>
          <w:sz w:val="24"/>
          <w:szCs w:val="24"/>
          <w:lang w:val="en-GB" w:bidi="ar-SA"/>
        </w:rPr>
      </w:pPr>
    </w:p>
    <w:p w:rsidR="00AF4047" w:rsidRPr="00331388" w:rsidRDefault="00331388" w:rsidP="00217147">
      <w:pPr>
        <w:spacing w:before="60"/>
        <w:jc w:val="both"/>
        <w:outlineLvl w:val="0"/>
        <w:rPr>
          <w:b/>
          <w:bCs/>
        </w:rPr>
      </w:pPr>
      <w:r w:rsidRPr="00331388">
        <w:rPr>
          <w:b/>
          <w:bCs/>
        </w:rPr>
        <w:t xml:space="preserve">Medical error and its related factors </w:t>
      </w:r>
      <w:r w:rsidR="00156FDA" w:rsidRPr="00156FDA">
        <w:rPr>
          <w:b/>
          <w:bCs/>
        </w:rPr>
        <w:t xml:space="preserve">during internship and residency </w:t>
      </w:r>
      <w:r w:rsidRPr="00331388">
        <w:rPr>
          <w:b/>
          <w:bCs/>
        </w:rPr>
        <w:t>in Kerman</w:t>
      </w:r>
      <w:r>
        <w:rPr>
          <w:b/>
          <w:bCs/>
        </w:rPr>
        <w:t xml:space="preserve"> University of Medical Sciences</w:t>
      </w:r>
      <w:r w:rsidRPr="00331388">
        <w:rPr>
          <w:b/>
          <w:bCs/>
        </w:rPr>
        <w:t>, 2013</w:t>
      </w:r>
    </w:p>
    <w:p w:rsidR="00AF4047" w:rsidRPr="004E3418" w:rsidRDefault="00AF4047" w:rsidP="00217147">
      <w:pPr>
        <w:spacing w:before="60"/>
        <w:jc w:val="both"/>
        <w:outlineLvl w:val="0"/>
        <w:rPr>
          <w:b/>
          <w:bCs/>
        </w:rPr>
      </w:pPr>
      <w:r w:rsidRPr="004E3418">
        <w:rPr>
          <w:b/>
          <w:bCs/>
        </w:rPr>
        <w:t>Abstract:</w:t>
      </w:r>
    </w:p>
    <w:p w:rsidR="00AF4047" w:rsidRDefault="00331388" w:rsidP="005C73F7">
      <w:pPr>
        <w:spacing w:before="60"/>
        <w:jc w:val="both"/>
      </w:pPr>
      <w:r w:rsidRPr="008E2909">
        <w:t xml:space="preserve">It is difficult to determine the real incidence of </w:t>
      </w:r>
      <w:r w:rsidR="00D330B9" w:rsidRPr="008E2909">
        <w:t xml:space="preserve">medical </w:t>
      </w:r>
      <w:r w:rsidRPr="008E2909">
        <w:t>errors</w:t>
      </w:r>
      <w:r w:rsidR="009603AD">
        <w:t>,</w:t>
      </w:r>
      <w:r w:rsidRPr="008E2909">
        <w:t xml:space="preserve"> due to lack of precise definition and failure to report </w:t>
      </w:r>
      <w:r w:rsidR="009603AD">
        <w:t>it</w:t>
      </w:r>
      <w:r w:rsidRPr="008E2909">
        <w:t xml:space="preserve"> in some circumstances</w:t>
      </w:r>
      <w:r w:rsidRPr="00331388">
        <w:t>.</w:t>
      </w:r>
      <w:r w:rsidR="00D53D04">
        <w:t xml:space="preserve"> </w:t>
      </w:r>
      <w:r w:rsidR="00D53D04" w:rsidRPr="008E2909">
        <w:t>This research was a cross sectional study carried out in Kerman University of Medical Sciences</w:t>
      </w:r>
      <w:r w:rsidR="00D330B9">
        <w:t>, IRAN,</w:t>
      </w:r>
      <w:r w:rsidR="00D53D04" w:rsidRPr="008E2909">
        <w:t xml:space="preserve"> 2013.</w:t>
      </w:r>
      <w:r w:rsidRPr="00331388">
        <w:t xml:space="preserve"> </w:t>
      </w:r>
      <w:r w:rsidR="00D330B9">
        <w:t xml:space="preserve">Participants </w:t>
      </w:r>
      <w:r w:rsidRPr="008E2909">
        <w:t>selected through census method. Data collected using a questionnaire containing demographic data and questions about t</w:t>
      </w:r>
      <w:r w:rsidR="009331D5">
        <w:t>he experience of medical errors</w:t>
      </w:r>
      <w:r w:rsidR="005E5A92">
        <w:t xml:space="preserve">. </w:t>
      </w:r>
      <w:r w:rsidRPr="008E2909">
        <w:t>Data analyzed by SPSS 19.</w:t>
      </w:r>
      <w:r w:rsidR="009331D5">
        <w:t xml:space="preserve"> </w:t>
      </w:r>
      <w:r w:rsidRPr="008E2909">
        <w:t xml:space="preserve">Two hundred seventy participants experienced medical errors. There was no significant difference in the frequency of errors between interns and residents. The most common error was misdiagnosis and errors related to history taking and physical examination among residents and interns respectively. Experience of medical error is common </w:t>
      </w:r>
      <w:r w:rsidR="00DA5722">
        <w:t>in clinical setting</w:t>
      </w:r>
      <w:r w:rsidRPr="008E2909">
        <w:t>. Education systems should enhance the competency of interns and residents to prevent the occurrence of any error as well as development of a positive attitude to help them to deal with medical error.</w:t>
      </w:r>
    </w:p>
    <w:p w:rsidR="005E5A92" w:rsidRPr="00331388" w:rsidRDefault="005E5A92" w:rsidP="00217147">
      <w:pPr>
        <w:jc w:val="both"/>
      </w:pPr>
    </w:p>
    <w:p w:rsidR="00BF2443" w:rsidRDefault="00AF4047" w:rsidP="00217147">
      <w:pPr>
        <w:spacing w:before="60"/>
        <w:jc w:val="both"/>
        <w:outlineLvl w:val="0"/>
        <w:rPr>
          <w:b/>
          <w:bCs/>
        </w:rPr>
      </w:pPr>
      <w:r w:rsidRPr="004E3418">
        <w:rPr>
          <w:b/>
          <w:bCs/>
        </w:rPr>
        <w:t>Key-words</w:t>
      </w:r>
      <w:r w:rsidRPr="00331388">
        <w:t>:</w:t>
      </w:r>
      <w:r w:rsidR="00331388" w:rsidRPr="00331388">
        <w:t xml:space="preserve"> </w:t>
      </w:r>
      <w:r w:rsidR="00331388" w:rsidRPr="008E2909">
        <w:t>clinical setting, interns</w:t>
      </w:r>
      <w:r w:rsidR="00C27252">
        <w:t>hip</w:t>
      </w:r>
      <w:r w:rsidR="00331388" w:rsidRPr="008E2909">
        <w:t>, medical error, residen</w:t>
      </w:r>
      <w:r w:rsidR="00C27252">
        <w:t>cy</w:t>
      </w:r>
      <w:r w:rsidR="00BF2443" w:rsidRPr="00BF2443">
        <w:rPr>
          <w:b/>
          <w:bCs/>
        </w:rPr>
        <w:t xml:space="preserve"> </w:t>
      </w:r>
    </w:p>
    <w:p w:rsidR="00B720E8" w:rsidRPr="00B720E8" w:rsidRDefault="00AF4047" w:rsidP="00217147">
      <w:pPr>
        <w:pStyle w:val="ListParagraph"/>
        <w:autoSpaceDE w:val="0"/>
        <w:autoSpaceDN w:val="0"/>
        <w:bidi w:val="0"/>
        <w:adjustRightInd w:val="0"/>
        <w:spacing w:after="0" w:line="240" w:lineRule="auto"/>
        <w:jc w:val="both"/>
        <w:rPr>
          <w:rFonts w:ascii="Times New Roman" w:hAnsi="Times New Roman" w:cs="Times New Roman"/>
          <w:sz w:val="24"/>
          <w:szCs w:val="24"/>
        </w:rPr>
      </w:pPr>
      <w:r>
        <w:rPr>
          <w:rFonts w:ascii="Arial" w:hAnsi="Arial"/>
          <w:color w:val="000000"/>
        </w:rPr>
        <w:br w:type="page"/>
      </w:r>
    </w:p>
    <w:p w:rsidR="00B720E8" w:rsidRDefault="00AF4047" w:rsidP="00217147">
      <w:pPr>
        <w:autoSpaceDE w:val="0"/>
        <w:autoSpaceDN w:val="0"/>
        <w:adjustRightInd w:val="0"/>
        <w:jc w:val="both"/>
      </w:pPr>
      <w:r w:rsidRPr="00790CC5">
        <w:rPr>
          <w:b/>
          <w:bCs/>
        </w:rPr>
        <w:lastRenderedPageBreak/>
        <w:t>Introduction</w:t>
      </w:r>
      <w:r w:rsidRPr="00790CC5">
        <w:rPr>
          <w:rFonts w:ascii="Arial" w:hAnsi="Arial"/>
          <w:b/>
          <w:bCs/>
          <w:color w:val="000000"/>
        </w:rPr>
        <w:t>:</w:t>
      </w:r>
      <w:r w:rsidR="00B720E8" w:rsidRPr="00790CC5">
        <w:t xml:space="preserve"> Medical error considered as the failure of a planned action to be completed as intended. The lack of a precise definition and the fact that all medical errors may not be reported makes it difficult to determine the real incidence</w:t>
      </w:r>
      <w:r w:rsidR="00172C38" w:rsidRPr="00790CC5">
        <w:rPr>
          <w:vertAlign w:val="superscript"/>
        </w:rPr>
        <w:t>1</w:t>
      </w:r>
      <w:r w:rsidR="00172C38" w:rsidRPr="00790CC5">
        <w:t>.</w:t>
      </w:r>
      <w:r w:rsidR="00B720E8" w:rsidRPr="00790CC5">
        <w:t xml:space="preserve"> </w:t>
      </w:r>
      <w:r w:rsidR="00B720E8" w:rsidRPr="00790CC5">
        <w:rPr>
          <w:rStyle w:val="highlight2"/>
        </w:rPr>
        <w:t>Medical error</w:t>
      </w:r>
      <w:r w:rsidR="00B720E8" w:rsidRPr="00790CC5">
        <w:t xml:space="preserve"> has important consequences which are underestimated and consequently without real targeted corrective measures</w:t>
      </w:r>
      <w:r w:rsidR="00172C38" w:rsidRPr="00790CC5">
        <w:rPr>
          <w:vertAlign w:val="superscript"/>
        </w:rPr>
        <w:t>2</w:t>
      </w:r>
      <w:r w:rsidR="00B720E8" w:rsidRPr="00790CC5">
        <w:t xml:space="preserve">. Adverse events (AEs) during hospital admission affect nearly one out of </w:t>
      </w:r>
      <w:r w:rsidR="000323C9" w:rsidRPr="00790CC5">
        <w:t>ten</w:t>
      </w:r>
      <w:r w:rsidR="00B720E8" w:rsidRPr="00790CC5">
        <w:t xml:space="preserve"> patients. A substantial part of these events are preventable</w:t>
      </w:r>
      <w:r w:rsidR="00172C38" w:rsidRPr="00790CC5">
        <w:rPr>
          <w:vertAlign w:val="superscript"/>
        </w:rPr>
        <w:t>3</w:t>
      </w:r>
      <w:r w:rsidR="00B720E8" w:rsidRPr="00790CC5">
        <w:t xml:space="preserve">. The reported rates of </w:t>
      </w:r>
      <w:bookmarkStart w:id="0" w:name="OLE_LINK1"/>
      <w:bookmarkStart w:id="1" w:name="OLE_LINK2"/>
      <w:r w:rsidR="00B720E8" w:rsidRPr="00790CC5">
        <w:t>AEs</w:t>
      </w:r>
      <w:bookmarkEnd w:id="0"/>
      <w:bookmarkEnd w:id="1"/>
      <w:r w:rsidR="00B720E8" w:rsidRPr="00790CC5">
        <w:t xml:space="preserve"> vary remarkably (0.0037-39.0%) because of different definitions, different detection methods and different settings</w:t>
      </w:r>
      <w:r w:rsidR="001D7C21" w:rsidRPr="00790CC5">
        <w:rPr>
          <w:vertAlign w:val="superscript"/>
        </w:rPr>
        <w:t>4</w:t>
      </w:r>
      <w:r w:rsidR="00B720E8" w:rsidRPr="00790CC5">
        <w:t>. Incidence, medical outcome and costs of AEs warrant this issue to be high on any countries health care agenda</w:t>
      </w:r>
      <w:r w:rsidR="001D7C21" w:rsidRPr="00790CC5">
        <w:rPr>
          <w:vertAlign w:val="superscript"/>
        </w:rPr>
        <w:t>4</w:t>
      </w:r>
      <w:r w:rsidR="001D7C21" w:rsidRPr="00790CC5">
        <w:t>.</w:t>
      </w:r>
    </w:p>
    <w:p w:rsidR="00217147" w:rsidRPr="00790CC5" w:rsidRDefault="00217147" w:rsidP="00217147">
      <w:pPr>
        <w:autoSpaceDE w:val="0"/>
        <w:autoSpaceDN w:val="0"/>
        <w:adjustRightInd w:val="0"/>
        <w:jc w:val="both"/>
      </w:pPr>
    </w:p>
    <w:p w:rsidR="00B720E8" w:rsidRDefault="00B720E8" w:rsidP="00217147">
      <w:pPr>
        <w:autoSpaceDE w:val="0"/>
        <w:autoSpaceDN w:val="0"/>
        <w:adjustRightInd w:val="0"/>
        <w:jc w:val="both"/>
      </w:pPr>
      <w:r w:rsidRPr="00790CC5">
        <w:t xml:space="preserve">The Dutch Patient Safety Research </w:t>
      </w:r>
      <w:r w:rsidR="0024170A" w:rsidRPr="00790CC5">
        <w:t>Program</w:t>
      </w:r>
      <w:r w:rsidRPr="00790CC5">
        <w:t xml:space="preserve"> showed that adverse events (AEs) affect 5.7% of patients in Dutch hospitals and lead to permanent disability, morbidity and even mortality. Forty percent of these AEs were judged preventable by good clinical practice. The estimates of the total preventable direct medical costs of AEs indicate that they form a substantial part (1%) of the expenses of the national health care budget</w:t>
      </w:r>
      <w:r w:rsidR="00310ABB" w:rsidRPr="00790CC5">
        <w:rPr>
          <w:vertAlign w:val="superscript"/>
        </w:rPr>
        <w:t>5</w:t>
      </w:r>
      <w:r w:rsidRPr="00790CC5">
        <w:t>. Incidence of death in patients with AEs was 4.4%. Age over 65 was associated with a higher incidence of preventable AEs</w:t>
      </w:r>
      <w:r w:rsidR="00310ABB" w:rsidRPr="00790CC5">
        <w:rPr>
          <w:vertAlign w:val="superscript"/>
        </w:rPr>
        <w:t>6</w:t>
      </w:r>
      <w:r w:rsidRPr="00790CC5">
        <w:t xml:space="preserve">. </w:t>
      </w:r>
    </w:p>
    <w:p w:rsidR="00217147" w:rsidRPr="00790CC5" w:rsidRDefault="00217147" w:rsidP="00217147">
      <w:pPr>
        <w:autoSpaceDE w:val="0"/>
        <w:autoSpaceDN w:val="0"/>
        <w:adjustRightInd w:val="0"/>
        <w:jc w:val="both"/>
      </w:pPr>
    </w:p>
    <w:p w:rsidR="00B720E8" w:rsidRDefault="00B720E8" w:rsidP="00217147">
      <w:pPr>
        <w:autoSpaceDE w:val="0"/>
        <w:autoSpaceDN w:val="0"/>
        <w:adjustRightInd w:val="0"/>
        <w:jc w:val="both"/>
      </w:pPr>
      <w:r w:rsidRPr="00790CC5">
        <w:t>Other factors can  cause medical error, include poor communication between physician and patient, misdiagnosis, physicians with less experience, working in extremely busy setting, and in complicated cases</w:t>
      </w:r>
      <w:r w:rsidR="00FC5B98" w:rsidRPr="00790CC5">
        <w:rPr>
          <w:vertAlign w:val="superscript"/>
        </w:rPr>
        <w:t>1</w:t>
      </w:r>
      <w:r w:rsidRPr="00790CC5">
        <w:t xml:space="preserve">. Aranaz Andre´s and colleagues suggested a knowledge-based culture may be better than </w:t>
      </w:r>
      <w:r w:rsidR="0024170A" w:rsidRPr="00790CC5">
        <w:t>a guilt</w:t>
      </w:r>
      <w:r w:rsidRPr="00790CC5">
        <w:t xml:space="preserve">-based culture for preventing AEs. Knowing which types of AEs </w:t>
      </w:r>
      <w:r w:rsidR="0024170A" w:rsidRPr="00790CC5">
        <w:t>is</w:t>
      </w:r>
      <w:r w:rsidRPr="00790CC5">
        <w:t xml:space="preserve"> avoidable and identifying the predictive factors that are associated with AEs will allow us to develop strategies to improve the safety of health care</w:t>
      </w:r>
      <w:r w:rsidR="00CA57A6" w:rsidRPr="00790CC5">
        <w:rPr>
          <w:vertAlign w:val="superscript"/>
        </w:rPr>
        <w:t>6</w:t>
      </w:r>
      <w:r w:rsidRPr="00790CC5">
        <w:t>. Due to the load of clinical services done by medical interns and residents, their errors can cause harm to patients so our  aim was to study the frequency and related factors of medical errors among medical interns and residents in Kerman University of Medical Sciences</w:t>
      </w:r>
      <w:r w:rsidR="0001074B" w:rsidRPr="00790CC5">
        <w:t>.</w:t>
      </w: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Default="00217147" w:rsidP="00217147">
      <w:pPr>
        <w:autoSpaceDE w:val="0"/>
        <w:autoSpaceDN w:val="0"/>
        <w:adjustRightInd w:val="0"/>
        <w:jc w:val="both"/>
      </w:pPr>
    </w:p>
    <w:p w:rsidR="00217147" w:rsidRPr="00790CC5" w:rsidRDefault="00217147" w:rsidP="00217147">
      <w:pPr>
        <w:autoSpaceDE w:val="0"/>
        <w:autoSpaceDN w:val="0"/>
        <w:adjustRightInd w:val="0"/>
        <w:jc w:val="both"/>
      </w:pPr>
    </w:p>
    <w:p w:rsidR="00B720E8" w:rsidRPr="005B6C08" w:rsidRDefault="00B720E8" w:rsidP="00217147">
      <w:pPr>
        <w:pStyle w:val="ListParagraph"/>
        <w:autoSpaceDE w:val="0"/>
        <w:autoSpaceDN w:val="0"/>
        <w:bidi w:val="0"/>
        <w:adjustRightInd w:val="0"/>
        <w:spacing w:after="0" w:line="240" w:lineRule="auto"/>
        <w:jc w:val="both"/>
        <w:rPr>
          <w:rFonts w:ascii="Times New Roman" w:hAnsi="Times New Roman" w:cs="Times New Roman"/>
          <w:sz w:val="24"/>
          <w:szCs w:val="24"/>
        </w:rPr>
      </w:pPr>
      <w:r w:rsidRPr="008E2909">
        <w:rPr>
          <w:rFonts w:ascii="Times New Roman" w:eastAsia="Times New Roman" w:hAnsi="Times New Roman" w:cs="Times New Roman"/>
          <w:sz w:val="24"/>
          <w:szCs w:val="24"/>
        </w:rPr>
        <w:t>.</w:t>
      </w:r>
    </w:p>
    <w:p w:rsidR="00790CC5" w:rsidRDefault="00790CC5" w:rsidP="00217147">
      <w:pPr>
        <w:autoSpaceDE w:val="0"/>
        <w:autoSpaceDN w:val="0"/>
        <w:adjustRightInd w:val="0"/>
        <w:jc w:val="both"/>
        <w:rPr>
          <w:rFonts w:ascii="Arial" w:hAnsi="Arial"/>
          <w:color w:val="000000"/>
        </w:rPr>
      </w:pPr>
    </w:p>
    <w:p w:rsidR="00790CC5" w:rsidRDefault="00790CC5" w:rsidP="00217147">
      <w:pPr>
        <w:autoSpaceDE w:val="0"/>
        <w:autoSpaceDN w:val="0"/>
        <w:adjustRightInd w:val="0"/>
        <w:jc w:val="both"/>
        <w:rPr>
          <w:rFonts w:ascii="Arial" w:hAnsi="Arial"/>
          <w:color w:val="000000"/>
        </w:rPr>
      </w:pPr>
    </w:p>
    <w:p w:rsidR="00217147" w:rsidRDefault="00217147" w:rsidP="00217147">
      <w:pPr>
        <w:autoSpaceDE w:val="0"/>
        <w:autoSpaceDN w:val="0"/>
        <w:adjustRightInd w:val="0"/>
        <w:jc w:val="both"/>
        <w:rPr>
          <w:b/>
          <w:bCs/>
        </w:rPr>
      </w:pPr>
    </w:p>
    <w:p w:rsidR="00217147" w:rsidRDefault="00790CC5" w:rsidP="00217147">
      <w:pPr>
        <w:autoSpaceDE w:val="0"/>
        <w:autoSpaceDN w:val="0"/>
        <w:adjustRightInd w:val="0"/>
        <w:jc w:val="both"/>
      </w:pPr>
      <w:r>
        <w:rPr>
          <w:b/>
          <w:bCs/>
        </w:rPr>
        <w:lastRenderedPageBreak/>
        <w:t>M</w:t>
      </w:r>
      <w:r w:rsidR="00F11340" w:rsidRPr="00790CC5">
        <w:rPr>
          <w:b/>
          <w:bCs/>
        </w:rPr>
        <w:t>aterials</w:t>
      </w:r>
      <w:r w:rsidR="00AF4047" w:rsidRPr="00790CC5">
        <w:rPr>
          <w:b/>
          <w:bCs/>
        </w:rPr>
        <w:t xml:space="preserve"> and Methods:</w:t>
      </w:r>
    </w:p>
    <w:p w:rsidR="00217147" w:rsidRDefault="00217147" w:rsidP="00217147">
      <w:pPr>
        <w:autoSpaceDE w:val="0"/>
        <w:autoSpaceDN w:val="0"/>
        <w:adjustRightInd w:val="0"/>
        <w:jc w:val="both"/>
      </w:pPr>
    </w:p>
    <w:p w:rsidR="007565D8" w:rsidRDefault="0001074B" w:rsidP="007565D8">
      <w:pPr>
        <w:autoSpaceDE w:val="0"/>
        <w:autoSpaceDN w:val="0"/>
        <w:adjustRightInd w:val="0"/>
        <w:jc w:val="both"/>
        <w:rPr>
          <w:rtl/>
        </w:rPr>
      </w:pPr>
      <w:r w:rsidRPr="00790CC5">
        <w:t xml:space="preserve"> This research was a cross sectional study carried out in Kerman University of Medical Sciences during 2013. All medical interns and residents who were studying in Kerman University of Medical Sciences during 2013 selected through census method. Data were collected using a two section self administered questionnaire .The first section contained demographic data such as  age, gender, marital status, duration of studying and educational level(interns</w:t>
      </w:r>
      <w:r w:rsidR="00A0540A" w:rsidRPr="00790CC5">
        <w:t>hip</w:t>
      </w:r>
      <w:r w:rsidRPr="00790CC5">
        <w:t xml:space="preserve"> and residen</w:t>
      </w:r>
      <w:r w:rsidR="00A0540A" w:rsidRPr="00790CC5">
        <w:t>cy</w:t>
      </w:r>
      <w:r w:rsidRPr="00790CC5">
        <w:t>) .The second part included questions</w:t>
      </w:r>
      <w:r w:rsidR="001337D1" w:rsidRPr="00790CC5">
        <w:t xml:space="preserve"> extracted from the literature</w:t>
      </w:r>
      <w:r w:rsidRPr="00790CC5">
        <w:t xml:space="preserve"> </w:t>
      </w:r>
      <w:r w:rsidR="001337D1" w:rsidRPr="00790CC5">
        <w:t xml:space="preserve"> review  and were </w:t>
      </w:r>
      <w:r w:rsidRPr="00790CC5">
        <w:t>about the experience of medical errors, error type (related to history taking  , physical examination, diagnostic procedures, treatment, patient education and follow-up care), results of medical errors in patients and reaction to errors among participants(sadness, anger ,depression, fear,  increased  or decreased willingness to work and  forgetting ) .</w:t>
      </w:r>
    </w:p>
    <w:p w:rsidR="007565D8" w:rsidRDefault="007565D8" w:rsidP="007565D8">
      <w:pPr>
        <w:autoSpaceDE w:val="0"/>
        <w:autoSpaceDN w:val="0"/>
        <w:adjustRightInd w:val="0"/>
        <w:jc w:val="both"/>
        <w:rPr>
          <w:rtl/>
        </w:rPr>
      </w:pPr>
    </w:p>
    <w:p w:rsidR="0001074B" w:rsidRPr="00790CC5" w:rsidRDefault="0001074B" w:rsidP="007565D8">
      <w:pPr>
        <w:autoSpaceDE w:val="0"/>
        <w:autoSpaceDN w:val="0"/>
        <w:adjustRightInd w:val="0"/>
        <w:jc w:val="both"/>
      </w:pPr>
      <w:r w:rsidRPr="00790CC5">
        <w:t xml:space="preserve">The validity of the questionnaire was confirmed by a group of experts and its reliability determined using Cranach's alpha 0.8. The questionnaires were completed anonymously. Participants completed it freely .They were assured that the data will be used only for research purposes. Data analyzed by SPSS 19 using chi-square and logistic regression. </w:t>
      </w:r>
    </w:p>
    <w:p w:rsidR="0001074B" w:rsidRPr="0001074B" w:rsidRDefault="0001074B" w:rsidP="00217147">
      <w:pPr>
        <w:pStyle w:val="Default"/>
        <w:jc w:val="both"/>
        <w:rPr>
          <w:rFonts w:ascii="Times New Roman" w:eastAsia="Times New Roman" w:hAnsi="Times New Roman" w:cs="Times New Roman"/>
          <w:color w:val="auto"/>
        </w:rPr>
      </w:pPr>
    </w:p>
    <w:p w:rsidR="0001074B" w:rsidRDefault="0001074B" w:rsidP="00217147">
      <w:pPr>
        <w:autoSpaceDE w:val="0"/>
        <w:autoSpaceDN w:val="0"/>
        <w:adjustRightInd w:val="0"/>
        <w:ind w:left="360"/>
        <w:jc w:val="both"/>
      </w:pPr>
      <w:r w:rsidRPr="003229C8">
        <w:t xml:space="preserve"> </w:t>
      </w:r>
    </w:p>
    <w:p w:rsidR="0001074B" w:rsidRPr="00A37EEF" w:rsidRDefault="0001074B" w:rsidP="00217147">
      <w:pPr>
        <w:pStyle w:val="ListParagraph"/>
        <w:autoSpaceDE w:val="0"/>
        <w:autoSpaceDN w:val="0"/>
        <w:bidi w:val="0"/>
        <w:adjustRightInd w:val="0"/>
        <w:spacing w:after="0" w:line="240" w:lineRule="auto"/>
        <w:jc w:val="both"/>
        <w:rPr>
          <w:rFonts w:ascii="Times New Roman" w:eastAsia="Times New Roman" w:hAnsi="Times New Roman" w:cs="Times New Roman"/>
          <w:b/>
          <w:bCs/>
          <w:sz w:val="24"/>
          <w:szCs w:val="24"/>
        </w:rPr>
      </w:pPr>
      <w:r w:rsidRPr="00A37EEF">
        <w:rPr>
          <w:rFonts w:ascii="Times New Roman" w:eastAsia="Times New Roman" w:hAnsi="Times New Roman" w:cs="Times New Roman"/>
          <w:sz w:val="24"/>
          <w:szCs w:val="24"/>
        </w:rPr>
        <w:t xml:space="preserve"> </w:t>
      </w:r>
    </w:p>
    <w:p w:rsidR="0001074B" w:rsidRPr="003229C8" w:rsidRDefault="0001074B" w:rsidP="00217147">
      <w:pPr>
        <w:autoSpaceDE w:val="0"/>
        <w:autoSpaceDN w:val="0"/>
        <w:adjustRightInd w:val="0"/>
        <w:ind w:left="360"/>
        <w:jc w:val="both"/>
      </w:pPr>
    </w:p>
    <w:p w:rsidR="0001074B" w:rsidRDefault="0001074B" w:rsidP="00217147">
      <w:pPr>
        <w:autoSpaceDE w:val="0"/>
        <w:autoSpaceDN w:val="0"/>
        <w:adjustRightInd w:val="0"/>
        <w:ind w:left="360"/>
        <w:jc w:val="both"/>
      </w:pPr>
    </w:p>
    <w:p w:rsidR="00AF4047" w:rsidRDefault="00AF4047" w:rsidP="00217147">
      <w:pPr>
        <w:spacing w:before="60"/>
        <w:outlineLvl w:val="0"/>
        <w:rPr>
          <w:rFonts w:ascii="Arial" w:hAnsi="Arial"/>
          <w:color w:val="000000"/>
        </w:rPr>
      </w:pPr>
    </w:p>
    <w:p w:rsidR="00AF4047" w:rsidRDefault="00AF4047" w:rsidP="00217147">
      <w:pPr>
        <w:spacing w:before="60"/>
        <w:rPr>
          <w:rFonts w:ascii="Arial" w:hAnsi="Arial"/>
          <w:color w:val="000000"/>
        </w:rPr>
      </w:pPr>
    </w:p>
    <w:p w:rsidR="00AF4047" w:rsidRDefault="00AF4047" w:rsidP="00217147">
      <w:pPr>
        <w:spacing w:before="60"/>
        <w:rPr>
          <w:rFonts w:ascii="Arial" w:hAnsi="Arial"/>
          <w:color w:val="000000"/>
        </w:rPr>
      </w:pPr>
    </w:p>
    <w:p w:rsidR="00AF4047" w:rsidRDefault="00AF4047" w:rsidP="00217147">
      <w:pPr>
        <w:spacing w:before="60"/>
        <w:rPr>
          <w:rFonts w:ascii="Arial" w:hAnsi="Arial"/>
          <w:color w:val="000000"/>
        </w:rPr>
      </w:pPr>
    </w:p>
    <w:p w:rsidR="00AF4047" w:rsidRDefault="00AF4047" w:rsidP="00217147">
      <w:pPr>
        <w:spacing w:before="60"/>
        <w:rPr>
          <w:rFonts w:ascii="Arial" w:hAnsi="Arial"/>
          <w:color w:val="000000"/>
        </w:rPr>
      </w:pPr>
    </w:p>
    <w:p w:rsidR="00AF4047" w:rsidRDefault="00AF4047" w:rsidP="00217147">
      <w:pPr>
        <w:spacing w:before="60"/>
        <w:rPr>
          <w:rFonts w:ascii="Arial" w:hAnsi="Arial"/>
          <w:color w:val="000000"/>
        </w:rPr>
      </w:pPr>
    </w:p>
    <w:p w:rsidR="00AF4047" w:rsidRDefault="00AF40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217147" w:rsidRDefault="00217147" w:rsidP="00217147">
      <w:pPr>
        <w:spacing w:before="60"/>
        <w:rPr>
          <w:rFonts w:ascii="Arial" w:hAnsi="Arial"/>
          <w:color w:val="000000"/>
        </w:rPr>
      </w:pPr>
    </w:p>
    <w:p w:rsidR="00AF4047" w:rsidRDefault="00AF4047" w:rsidP="00217147">
      <w:pPr>
        <w:spacing w:before="60"/>
        <w:rPr>
          <w:rFonts w:ascii="Arial" w:hAnsi="Arial"/>
          <w:color w:val="000000"/>
        </w:rPr>
      </w:pPr>
    </w:p>
    <w:p w:rsidR="0001074B" w:rsidRDefault="00AF4047" w:rsidP="00217147">
      <w:pPr>
        <w:jc w:val="both"/>
      </w:pPr>
      <w:r w:rsidRPr="00347B9D">
        <w:rPr>
          <w:b/>
          <w:bCs/>
        </w:rPr>
        <w:t>Results:</w:t>
      </w:r>
      <w:r w:rsidR="0001074B" w:rsidRPr="00347B9D">
        <w:rPr>
          <w:b/>
          <w:bCs/>
        </w:rPr>
        <w:t xml:space="preserve"> </w:t>
      </w:r>
      <w:r w:rsidR="0001074B" w:rsidRPr="00347B9D">
        <w:t>Two hundred ninety three questionnaires were completed. One hundred thirty (51%)   participants were males, 111 (38%) interns, 164 (56%) married. Median age was 25 and 31 years and median time spent in the current level was 6 and 13 months for interns and residents respectively.  Two hundred seventy participants (92.5%) stated that t</w:t>
      </w:r>
      <w:r w:rsidR="002B1DB4" w:rsidRPr="00347B9D">
        <w:t>hey experienced medical errors during current level.</w:t>
      </w:r>
    </w:p>
    <w:p w:rsidR="00217147" w:rsidRPr="00347B9D" w:rsidRDefault="00217147" w:rsidP="00217147">
      <w:pPr>
        <w:jc w:val="both"/>
      </w:pPr>
    </w:p>
    <w:p w:rsidR="0001074B" w:rsidRPr="00347B9D" w:rsidRDefault="0001074B" w:rsidP="00217147">
      <w:pPr>
        <w:jc w:val="both"/>
      </w:pPr>
      <w:r w:rsidRPr="00347B9D">
        <w:t>There was no significant difference in the self reported frequency of errors between interns and residents, males a</w:t>
      </w:r>
      <w:r w:rsidR="00217147">
        <w:t>nd females</w:t>
      </w:r>
      <w:r w:rsidR="002B1DB4" w:rsidRPr="00347B9D">
        <w:t>,</w:t>
      </w:r>
      <w:r w:rsidRPr="00347B9D">
        <w:t xml:space="preserve"> married and single participants </w:t>
      </w:r>
      <w:r w:rsidRPr="00AE77BB">
        <w:rPr>
          <w:i/>
          <w:iCs/>
        </w:rPr>
        <w:t>(PV&gt;0.05</w:t>
      </w:r>
      <w:r w:rsidRPr="00347B9D">
        <w:t xml:space="preserve">). Table one shows factors related to medical errors experience using logistic regression model. According to this table only increasing the time spent in the current level increases the likelihood of medical error </w:t>
      </w:r>
      <w:r w:rsidRPr="00AE77BB">
        <w:rPr>
          <w:i/>
          <w:iCs/>
        </w:rPr>
        <w:t>(PV = 0.02).</w:t>
      </w:r>
    </w:p>
    <w:p w:rsidR="0001074B" w:rsidRDefault="0001074B" w:rsidP="00217147">
      <w:pPr>
        <w:jc w:val="both"/>
      </w:pPr>
      <w:r w:rsidRPr="00347B9D">
        <w:t xml:space="preserve">Among residents the most common error was misdiagnosis (54%), </w:t>
      </w:r>
      <w:r w:rsidR="0024170A" w:rsidRPr="00347B9D">
        <w:t>and then</w:t>
      </w:r>
      <w:r w:rsidRPr="00347B9D">
        <w:t xml:space="preserve"> error related to treatment (49%), history taking and physical examination (48.5), follow-up care (22%) and patient education (18.34%). Errors related to history taking and physical examination (75.24%) was the most common type among interns follow by misdiagnosis (43.56%), error related to treatment (36.6%), follow-up care (31%) and patient education (13%). There was more than one item selection so; the total is more than one hundred percent.</w:t>
      </w:r>
    </w:p>
    <w:p w:rsidR="00217147" w:rsidRPr="00347B9D" w:rsidRDefault="00217147" w:rsidP="00217147">
      <w:pPr>
        <w:jc w:val="both"/>
      </w:pPr>
    </w:p>
    <w:p w:rsidR="0001074B" w:rsidRDefault="0001074B" w:rsidP="00217147">
      <w:pPr>
        <w:jc w:val="both"/>
      </w:pPr>
      <w:r w:rsidRPr="00347B9D">
        <w:t>The most common reaction among residents was sadness (68%), and then increased willingness to work (32%), fear (23.6%), decreased willingness to work (13.5%), forgetting (13%), depression (12%) and anger (5.3%). Depression (73.2%) was the most common reaction among inters then sadness (57.4%), fear (30%), increased willingness to work (30%), decreased willingness to wor</w:t>
      </w:r>
      <w:r w:rsidR="00217147">
        <w:t xml:space="preserve">k (12%), forgetting (11%), and </w:t>
      </w:r>
      <w:r w:rsidRPr="00347B9D">
        <w:t>anger (2%).</w:t>
      </w:r>
      <w:r w:rsidR="00217147">
        <w:t xml:space="preserve"> </w:t>
      </w:r>
      <w:r w:rsidRPr="00347B9D">
        <w:t>Three percent of interns and 1.2 % of residents who experienced medical error stated their errors caused serious, permanent and even life threatening injury for the patient , 20 % of interns and 48 % of residents said their error caused injury but it was not serious and life-threatening and the remaining said their error did not cause any complication for the patient.</w:t>
      </w: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4170A" w:rsidRDefault="0024170A" w:rsidP="00217147">
      <w:pPr>
        <w:jc w:val="both"/>
      </w:pPr>
    </w:p>
    <w:p w:rsidR="00217147" w:rsidRDefault="00217147" w:rsidP="00217147">
      <w:pPr>
        <w:jc w:val="both"/>
        <w:rPr>
          <w:rFonts w:ascii="Arial" w:hAnsi="Arial"/>
          <w:color w:val="000000"/>
        </w:rPr>
      </w:pPr>
    </w:p>
    <w:p w:rsidR="00217147" w:rsidRDefault="00217147" w:rsidP="00217147">
      <w:pPr>
        <w:jc w:val="both"/>
        <w:rPr>
          <w:rFonts w:ascii="Arial" w:hAnsi="Arial"/>
          <w:color w:val="000000"/>
        </w:rPr>
      </w:pPr>
    </w:p>
    <w:p w:rsidR="00EB6728" w:rsidRPr="00347B9D" w:rsidRDefault="00AF4047" w:rsidP="00217147">
      <w:pPr>
        <w:jc w:val="both"/>
        <w:rPr>
          <w:b/>
          <w:bCs/>
          <w:sz w:val="28"/>
          <w:szCs w:val="28"/>
        </w:rPr>
      </w:pPr>
      <w:r w:rsidRPr="00347B9D">
        <w:rPr>
          <w:b/>
          <w:bCs/>
        </w:rPr>
        <w:lastRenderedPageBreak/>
        <w:t>Discussion</w:t>
      </w:r>
      <w:r w:rsidRPr="00347B9D">
        <w:rPr>
          <w:rFonts w:ascii="Arial" w:hAnsi="Arial"/>
          <w:b/>
          <w:bCs/>
          <w:color w:val="000000"/>
        </w:rPr>
        <w:t>:</w:t>
      </w:r>
      <w:r w:rsidR="00EB6728" w:rsidRPr="00347B9D">
        <w:t xml:space="preserve"> Our study revealed that the frequency of self reported medical errors was high (92.5 %). Kroll et al found that junior doctors commonly make and witness errors, some of which are serious</w:t>
      </w:r>
      <w:r w:rsidR="002B1DB4" w:rsidRPr="00347B9D">
        <w:rPr>
          <w:vertAlign w:val="superscript"/>
        </w:rPr>
        <w:t>7</w:t>
      </w:r>
      <w:r w:rsidR="00EB6728" w:rsidRPr="00347B9D">
        <w:t xml:space="preserve">. In a study in Zabol carried out on </w:t>
      </w:r>
      <w:r w:rsidR="0024170A" w:rsidRPr="00347B9D">
        <w:t>general physicians, 72.5</w:t>
      </w:r>
      <w:r w:rsidR="00EB6728" w:rsidRPr="00347B9D">
        <w:t xml:space="preserve"> % of them have committed medical error</w:t>
      </w:r>
      <w:r w:rsidR="002B1DB4" w:rsidRPr="00347B9D">
        <w:rPr>
          <w:vertAlign w:val="superscript"/>
        </w:rPr>
        <w:t>8</w:t>
      </w:r>
      <w:r w:rsidR="00EB6728" w:rsidRPr="00347B9D">
        <w:t xml:space="preserve">.  </w:t>
      </w:r>
    </w:p>
    <w:p w:rsidR="00EB6728" w:rsidRDefault="00EB6728" w:rsidP="00217147">
      <w:pPr>
        <w:jc w:val="both"/>
      </w:pPr>
      <w:r w:rsidRPr="00347B9D">
        <w:t>In Mohsenzadeh and colleagues study , the most medical errors  was seen  among healthcare workers, followed by  interns, nurses ,  general practitioners and specialists</w:t>
      </w:r>
      <w:r w:rsidR="001739D5" w:rsidRPr="00347B9D">
        <w:rPr>
          <w:vertAlign w:val="superscript"/>
        </w:rPr>
        <w:t>9</w:t>
      </w:r>
      <w:r w:rsidRPr="00347B9D">
        <w:t>. Our study showed no significant difference in the self reported frequency of errors between interns and residents, males and females and married and single participants. It could possibly indicate that medical errors regardless of gender, marital status and educational level might happen. According to our results increasing the time spent in the current level increases the likelihood of medical error. More contact with patients in addition to causes more experience, on the other hand can also increase the likelihood of error.</w:t>
      </w:r>
    </w:p>
    <w:p w:rsidR="00217147" w:rsidRPr="00347B9D" w:rsidRDefault="00217147" w:rsidP="00217147">
      <w:pPr>
        <w:jc w:val="both"/>
      </w:pPr>
    </w:p>
    <w:p w:rsidR="00EB6728" w:rsidRDefault="00EB6728" w:rsidP="00217147">
      <w:pPr>
        <w:jc w:val="both"/>
      </w:pPr>
      <w:r w:rsidRPr="00347B9D">
        <w:t xml:space="preserve">Misdiagnosis and errors related to history taking and physical examination were the most common type of error among residents and interns, respectively. More responsibility for the diagnosis and treatment of patients in residents could lead to higher frequency of this type of error among them. Because interns are not directly in contact with patients and work under the supervision of the residents, this type of errors are less likely among them. Khorramabad study found the most common type of medical errors </w:t>
      </w:r>
      <w:r w:rsidR="0024170A" w:rsidRPr="00347B9D">
        <w:t>was</w:t>
      </w:r>
      <w:r w:rsidRPr="00347B9D">
        <w:t xml:space="preserve"> related to medication orders</w:t>
      </w:r>
      <w:r w:rsidR="005127F9" w:rsidRPr="00347B9D">
        <w:rPr>
          <w:vertAlign w:val="superscript"/>
        </w:rPr>
        <w:t>9</w:t>
      </w:r>
      <w:r w:rsidRPr="00347B9D">
        <w:t>.</w:t>
      </w:r>
    </w:p>
    <w:p w:rsidR="00217147" w:rsidRPr="00347B9D" w:rsidRDefault="00217147" w:rsidP="00217147">
      <w:pPr>
        <w:jc w:val="both"/>
      </w:pPr>
    </w:p>
    <w:p w:rsidR="00EB6728" w:rsidRDefault="00EB6728" w:rsidP="00217147">
      <w:pPr>
        <w:jc w:val="both"/>
      </w:pPr>
      <w:r w:rsidRPr="00347B9D">
        <w:t xml:space="preserve">Despite the high frequency of medical errors, according to our participants report, only a small percentage of them (1.2-3%) stated that their errors caused serious, permanent and even life threatening injury for the patient. In Andrew and colleagues study, 32% of surgical interns and 60%surgical residents stated that their errors caused serious and even life threatening injury for the patient </w:t>
      </w:r>
      <w:r w:rsidR="00EF5AB2" w:rsidRPr="00347B9D">
        <w:rPr>
          <w:vertAlign w:val="superscript"/>
        </w:rPr>
        <w:t>10</w:t>
      </w:r>
      <w:r w:rsidRPr="00347B9D">
        <w:t>. Compared to Andrew study, in our study, the frequency of serious consequences following error was lower. This difference may be because of different setting in two studies. Our study carried out in all clinical departments, but Andrew study reported the consequences of errors in surgery department. In this setting the probability of error is higher and the consequences of error may be more serious.</w:t>
      </w:r>
    </w:p>
    <w:p w:rsidR="00217147" w:rsidRPr="00347B9D" w:rsidRDefault="00217147" w:rsidP="00217147">
      <w:pPr>
        <w:jc w:val="both"/>
      </w:pPr>
    </w:p>
    <w:p w:rsidR="00AF4047" w:rsidRDefault="00EB6728" w:rsidP="00217147">
      <w:pPr>
        <w:jc w:val="both"/>
      </w:pPr>
      <w:r w:rsidRPr="00347B9D">
        <w:t>Juniors deliver a large part of the clinical service in hospitals without proper supervision. They may not recognize signs of deterioration or clinical urgency, so, patients may suffer serious consequences. If they are to gain experience and deliver good patient care, current support and supervision systems must change</w:t>
      </w:r>
      <w:r w:rsidR="00CE2168" w:rsidRPr="00347B9D">
        <w:rPr>
          <w:vertAlign w:val="superscript"/>
        </w:rPr>
        <w:t>7</w:t>
      </w:r>
      <w:r w:rsidRPr="00347B9D">
        <w:t>. It is education systems responsibility to train medical student about medical errors, how to deal with it and the timely reporting value, but in most medical curricula, there is no training on this issue.</w:t>
      </w:r>
      <w:r w:rsidR="00217147">
        <w:t xml:space="preserve"> </w:t>
      </w:r>
      <w:r w:rsidRPr="00347B9D">
        <w:t>Medical error is a common and sensitive issue, because it's related to patients' life and property. A lot of time and money spent on it in the health system.</w:t>
      </w:r>
      <w:r w:rsidRPr="00347B9D">
        <w:rPr>
          <w:color w:val="000000"/>
        </w:rPr>
        <w:t xml:space="preserve"> So, education systems should enhance the competency of the students to prevent the occurrence of any error as well as development of a positive attitude to help them to deal with medical error.</w:t>
      </w:r>
      <w:r w:rsidRPr="00347B9D">
        <w:t xml:space="preserve"> It's clear that authorities and policy makers have critical role in </w:t>
      </w:r>
      <w:r w:rsidRPr="00347B9D">
        <w:rPr>
          <w:color w:val="000000"/>
        </w:rPr>
        <w:t>the Legislation to create a sense of moral and legal security for health care personnel that makes timely disclosure of errors to patients and supervisors.</w:t>
      </w:r>
    </w:p>
    <w:p w:rsidR="00217147" w:rsidRPr="00347B9D" w:rsidRDefault="00217147" w:rsidP="00217147">
      <w:pPr>
        <w:jc w:val="both"/>
      </w:pPr>
    </w:p>
    <w:p w:rsidR="00F11340" w:rsidRDefault="00F11340" w:rsidP="00217147">
      <w:pPr>
        <w:jc w:val="both"/>
        <w:rPr>
          <w:color w:val="000000"/>
        </w:rPr>
      </w:pPr>
      <w:r w:rsidRPr="00F11340">
        <w:rPr>
          <w:b/>
          <w:bCs/>
          <w:color w:val="000000"/>
        </w:rPr>
        <w:t>Acknowledgement:</w:t>
      </w:r>
      <w:r w:rsidRPr="00F11340">
        <w:rPr>
          <w:color w:val="000000"/>
        </w:rPr>
        <w:t xml:space="preserve"> The authors acknowledge their gratitude to all </w:t>
      </w:r>
      <w:r w:rsidRPr="00F11340">
        <w:t xml:space="preserve">interns and residents </w:t>
      </w:r>
      <w:r w:rsidRPr="00F11340">
        <w:rPr>
          <w:color w:val="000000"/>
        </w:rPr>
        <w:t xml:space="preserve">for participation </w:t>
      </w:r>
      <w:r w:rsidRPr="00F11340">
        <w:t>and Kerman University of Medical Sciences</w:t>
      </w:r>
      <w:r w:rsidRPr="00F11340">
        <w:rPr>
          <w:color w:val="000000"/>
        </w:rPr>
        <w:t xml:space="preserve"> for supporting this study.</w:t>
      </w:r>
    </w:p>
    <w:p w:rsidR="00AE77BB" w:rsidRDefault="00AE77BB" w:rsidP="00217147">
      <w:pPr>
        <w:jc w:val="both"/>
        <w:rPr>
          <w:color w:val="000000"/>
        </w:rPr>
      </w:pPr>
    </w:p>
    <w:p w:rsidR="00F11340" w:rsidRPr="00AC229F" w:rsidRDefault="00F11340" w:rsidP="00217147">
      <w:pPr>
        <w:pStyle w:val="ListParagraph"/>
        <w:bidi w:val="0"/>
        <w:spacing w:after="0" w:line="240" w:lineRule="auto"/>
        <w:ind w:left="360" w:firstLine="360"/>
        <w:jc w:val="both"/>
        <w:rPr>
          <w:rFonts w:ascii="Times New Roman" w:eastAsia="Times New Roman" w:hAnsi="Times New Roman" w:cs="Times New Roman"/>
          <w:sz w:val="24"/>
          <w:szCs w:val="24"/>
        </w:rPr>
      </w:pPr>
    </w:p>
    <w:p w:rsidR="00AF4047" w:rsidRDefault="00AF4047" w:rsidP="00217147">
      <w:pPr>
        <w:spacing w:before="60"/>
        <w:outlineLvl w:val="0"/>
        <w:rPr>
          <w:rFonts w:ascii="Arial" w:hAnsi="Arial"/>
          <w:color w:val="000000"/>
        </w:rPr>
      </w:pPr>
      <w:r>
        <w:rPr>
          <w:rFonts w:ascii="Arial" w:hAnsi="Arial"/>
          <w:color w:val="000000"/>
        </w:rPr>
        <w:br w:type="page"/>
      </w:r>
      <w:r w:rsidRPr="00EC0466">
        <w:rPr>
          <w:b/>
          <w:bCs/>
          <w:lang w:val="en-US" w:bidi="fa-IR"/>
        </w:rPr>
        <w:lastRenderedPageBreak/>
        <w:t>References</w:t>
      </w:r>
      <w:r>
        <w:rPr>
          <w:rFonts w:ascii="Arial" w:hAnsi="Arial"/>
          <w:color w:val="000000"/>
        </w:rPr>
        <w:t>:</w:t>
      </w:r>
    </w:p>
    <w:p w:rsidR="00476F0D" w:rsidRDefault="00476F0D" w:rsidP="00217147">
      <w:pPr>
        <w:spacing w:before="60"/>
        <w:outlineLvl w:val="0"/>
        <w:rPr>
          <w:rFonts w:ascii="Arial" w:hAnsi="Arial"/>
          <w:color w:val="000000"/>
        </w:rPr>
      </w:pPr>
    </w:p>
    <w:p w:rsidR="00EC0466" w:rsidRPr="00F50DF0"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F50DF0">
        <w:rPr>
          <w:rFonts w:ascii="Times New Roman" w:eastAsia="Times New Roman" w:hAnsi="Times New Roman" w:cs="Times New Roman"/>
          <w:sz w:val="24"/>
          <w:szCs w:val="24"/>
        </w:rPr>
        <w:t>Katsi VK,</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Boudoulas KD, Lytrivi ID, Masoura C,Tsioufis C, Vlasseros I,et</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 xml:space="preserve">al </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Medical Error in Clinical Practice: “Errare H</w:t>
      </w:r>
      <w:r w:rsidR="00347B9D">
        <w:rPr>
          <w:rFonts w:ascii="Times New Roman" w:eastAsia="Times New Roman" w:hAnsi="Times New Roman" w:cs="Times New Roman"/>
          <w:sz w:val="24"/>
          <w:szCs w:val="24"/>
        </w:rPr>
        <w:t>umanum Est”. Hellenic J Cardiol</w:t>
      </w:r>
      <w:r w:rsidRPr="00F50DF0">
        <w:rPr>
          <w:rFonts w:ascii="Times New Roman" w:eastAsia="Times New Roman" w:hAnsi="Times New Roman" w:cs="Times New Roman"/>
          <w:sz w:val="24"/>
          <w:szCs w:val="24"/>
        </w:rPr>
        <w:t xml:space="preserve"> 2013 54(2):131-5.</w:t>
      </w:r>
    </w:p>
    <w:p w:rsidR="00EC0466" w:rsidRPr="00F50DF0"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F50DF0">
        <w:rPr>
          <w:rFonts w:ascii="Times New Roman" w:eastAsia="Times New Roman" w:hAnsi="Times New Roman" w:cs="Times New Roman"/>
          <w:sz w:val="24"/>
          <w:szCs w:val="24"/>
        </w:rPr>
        <w:t>Nazac A, Poudensan P,</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Barraquet A, Dufour M,</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Godreau M, Larre C,</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et al. Medical error: Analysis of their type, their consequences and impact of the mortality and morbidity meetings in midwifery (APERIF network maternities). J Gynecol Obstet Biol Reprod 2014;2315</w:t>
      </w:r>
      <w:r>
        <w:rPr>
          <w:rFonts w:ascii="Times New Roman" w:eastAsia="Times New Roman" w:hAnsi="Times New Roman" w:cs="Times New Roman"/>
          <w:sz w:val="24"/>
          <w:szCs w:val="24"/>
        </w:rPr>
        <w:t xml:space="preserve"> </w:t>
      </w:r>
      <w:r w:rsidRPr="00F50DF0">
        <w:rPr>
          <w:rFonts w:ascii="Times New Roman" w:eastAsia="Times New Roman" w:hAnsi="Times New Roman" w:cs="Times New Roman"/>
          <w:sz w:val="24"/>
          <w:szCs w:val="24"/>
        </w:rPr>
        <w:t>(14).</w:t>
      </w:r>
    </w:p>
    <w:p w:rsidR="00EC0466" w:rsidRPr="00212BBC"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212BBC">
        <w:rPr>
          <w:rFonts w:ascii="Times New Roman" w:eastAsia="Times New Roman" w:hAnsi="Times New Roman" w:cs="Times New Roman"/>
          <w:sz w:val="24"/>
          <w:szCs w:val="24"/>
        </w:rPr>
        <w:t>Vries EN</w:t>
      </w:r>
      <w:r>
        <w:rPr>
          <w:rFonts w:ascii="Times New Roman" w:eastAsia="Times New Roman" w:hAnsi="Times New Roman" w:cs="Times New Roman"/>
          <w:sz w:val="24"/>
          <w:szCs w:val="24"/>
        </w:rPr>
        <w:t xml:space="preserve">, </w:t>
      </w:r>
      <w:r w:rsidRPr="00212BBC">
        <w:rPr>
          <w:rFonts w:ascii="Times New Roman" w:eastAsia="Times New Roman" w:hAnsi="Times New Roman" w:cs="Times New Roman"/>
          <w:sz w:val="24"/>
          <w:szCs w:val="24"/>
        </w:rPr>
        <w:t xml:space="preserve"> Ramrattan MA</w:t>
      </w:r>
      <w:r>
        <w:rPr>
          <w:rFonts w:ascii="Times New Roman" w:eastAsia="Times New Roman" w:hAnsi="Times New Roman" w:cs="Times New Roman"/>
          <w:sz w:val="24"/>
          <w:szCs w:val="24"/>
        </w:rPr>
        <w:t xml:space="preserve">, </w:t>
      </w:r>
      <w:r w:rsidRPr="00212BBC">
        <w:rPr>
          <w:rFonts w:ascii="Times New Roman" w:eastAsia="Times New Roman" w:hAnsi="Times New Roman" w:cs="Times New Roman"/>
          <w:sz w:val="24"/>
          <w:szCs w:val="24"/>
        </w:rPr>
        <w:t>Smorenburg SM</w:t>
      </w:r>
      <w:r>
        <w:rPr>
          <w:rFonts w:ascii="Times New Roman" w:eastAsia="Times New Roman" w:hAnsi="Times New Roman" w:cs="Times New Roman"/>
          <w:sz w:val="24"/>
          <w:szCs w:val="24"/>
        </w:rPr>
        <w:t xml:space="preserve">, </w:t>
      </w:r>
      <w:r w:rsidRPr="00212BBC">
        <w:rPr>
          <w:rFonts w:ascii="Times New Roman" w:eastAsia="Times New Roman" w:hAnsi="Times New Roman" w:cs="Times New Roman"/>
          <w:sz w:val="24"/>
          <w:szCs w:val="24"/>
        </w:rPr>
        <w:t>Gouma DJ</w:t>
      </w:r>
      <w:r>
        <w:rPr>
          <w:rFonts w:ascii="Times New Roman" w:eastAsia="Times New Roman" w:hAnsi="Times New Roman" w:cs="Times New Roman"/>
          <w:sz w:val="24"/>
          <w:szCs w:val="24"/>
        </w:rPr>
        <w:t xml:space="preserve">, </w:t>
      </w:r>
      <w:r w:rsidRPr="00212BBC">
        <w:rPr>
          <w:rFonts w:ascii="Times New Roman" w:eastAsia="Times New Roman" w:hAnsi="Times New Roman" w:cs="Times New Roman"/>
          <w:sz w:val="24"/>
          <w:szCs w:val="24"/>
        </w:rPr>
        <w:t>Boermeester MA</w:t>
      </w:r>
      <w:r>
        <w:rPr>
          <w:rFonts w:ascii="Times New Roman" w:eastAsia="Times New Roman" w:hAnsi="Times New Roman" w:cs="Times New Roman"/>
          <w:sz w:val="24"/>
          <w:szCs w:val="24"/>
        </w:rPr>
        <w:t>.</w:t>
      </w:r>
      <w:r w:rsidRPr="00212BBC">
        <w:rPr>
          <w:rFonts w:ascii="Times New Roman" w:eastAsia="Times New Roman" w:hAnsi="Times New Roman" w:cs="Times New Roman"/>
          <w:sz w:val="24"/>
          <w:szCs w:val="24"/>
        </w:rPr>
        <w:t>The incidence and nature of in-hospital adverse events: a systemat</w:t>
      </w:r>
      <w:r w:rsidR="00347B9D">
        <w:rPr>
          <w:rFonts w:ascii="Times New Roman" w:eastAsia="Times New Roman" w:hAnsi="Times New Roman" w:cs="Times New Roman"/>
          <w:sz w:val="24"/>
          <w:szCs w:val="24"/>
        </w:rPr>
        <w:t>ic review. Qual Saf Health Care</w:t>
      </w:r>
      <w:r w:rsidRPr="00212BBC">
        <w:rPr>
          <w:rFonts w:ascii="Times New Roman" w:eastAsia="Times New Roman" w:hAnsi="Times New Roman" w:cs="Times New Roman"/>
          <w:sz w:val="24"/>
          <w:szCs w:val="24"/>
        </w:rPr>
        <w:t xml:space="preserve"> 2008 17(3):216-23.</w:t>
      </w:r>
    </w:p>
    <w:p w:rsidR="00EC0466"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A75D31">
        <w:rPr>
          <w:rFonts w:ascii="Times New Roman" w:eastAsia="Times New Roman" w:hAnsi="Times New Roman" w:cs="Times New Roman"/>
          <w:sz w:val="24"/>
          <w:szCs w:val="24"/>
        </w:rPr>
        <w:t>on Laue NC, Schwappach DL, Koeck CM.The epidemiology of medical errors: a review of the literat</w:t>
      </w:r>
      <w:r w:rsidR="00347B9D">
        <w:rPr>
          <w:rFonts w:ascii="Times New Roman" w:eastAsia="Times New Roman" w:hAnsi="Times New Roman" w:cs="Times New Roman"/>
          <w:sz w:val="24"/>
          <w:szCs w:val="24"/>
        </w:rPr>
        <w:t>ure. Wien Klin Wochenschr</w:t>
      </w:r>
      <w:r w:rsidRPr="00A75D31">
        <w:rPr>
          <w:rFonts w:ascii="Times New Roman" w:eastAsia="Times New Roman" w:hAnsi="Times New Roman" w:cs="Times New Roman"/>
          <w:sz w:val="24"/>
          <w:szCs w:val="24"/>
        </w:rPr>
        <w:t xml:space="preserve"> 2003 115(10):318-25.</w:t>
      </w:r>
    </w:p>
    <w:p w:rsidR="00EC0466"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A75D31">
        <w:rPr>
          <w:rFonts w:ascii="Times New Roman" w:eastAsia="Times New Roman" w:hAnsi="Times New Roman" w:cs="Times New Roman"/>
          <w:sz w:val="24"/>
          <w:szCs w:val="24"/>
        </w:rPr>
        <w:t>Hoonhout LH,</w:t>
      </w:r>
      <w:r>
        <w:rPr>
          <w:rFonts w:ascii="Times New Roman" w:eastAsia="Times New Roman" w:hAnsi="Times New Roman" w:cs="Times New Roman"/>
          <w:sz w:val="24"/>
          <w:szCs w:val="24"/>
        </w:rPr>
        <w:t xml:space="preserve"> </w:t>
      </w:r>
      <w:r w:rsidRPr="00A75D31">
        <w:rPr>
          <w:rFonts w:ascii="Times New Roman" w:eastAsia="Times New Roman" w:hAnsi="Times New Roman" w:cs="Times New Roman"/>
          <w:sz w:val="24"/>
          <w:szCs w:val="24"/>
        </w:rPr>
        <w:t>de Bruijne MC, Wagner C, Zegers M,</w:t>
      </w:r>
      <w:r>
        <w:rPr>
          <w:rFonts w:ascii="Times New Roman" w:eastAsia="Times New Roman" w:hAnsi="Times New Roman" w:cs="Times New Roman"/>
          <w:sz w:val="24"/>
          <w:szCs w:val="24"/>
        </w:rPr>
        <w:t xml:space="preserve"> </w:t>
      </w:r>
      <w:r w:rsidRPr="00A75D31">
        <w:rPr>
          <w:rFonts w:ascii="Times New Roman" w:eastAsia="Times New Roman" w:hAnsi="Times New Roman" w:cs="Times New Roman"/>
          <w:sz w:val="24"/>
          <w:szCs w:val="24"/>
        </w:rPr>
        <w:t>Waaijman R, Spreeuwenberg P,</w:t>
      </w:r>
      <w:r>
        <w:rPr>
          <w:rFonts w:ascii="Times New Roman" w:eastAsia="Times New Roman" w:hAnsi="Times New Roman" w:cs="Times New Roman"/>
          <w:sz w:val="24"/>
          <w:szCs w:val="24"/>
        </w:rPr>
        <w:t xml:space="preserve"> </w:t>
      </w:r>
      <w:r w:rsidRPr="00A75D31">
        <w:rPr>
          <w:rFonts w:ascii="Times New Roman" w:eastAsia="Times New Roman" w:hAnsi="Times New Roman" w:cs="Times New Roman"/>
          <w:sz w:val="24"/>
          <w:szCs w:val="24"/>
        </w:rPr>
        <w:t>et al. Direct medical costs of adverse events in Dutc</w:t>
      </w:r>
      <w:r w:rsidR="00347B9D">
        <w:rPr>
          <w:rFonts w:ascii="Times New Roman" w:eastAsia="Times New Roman" w:hAnsi="Times New Roman" w:cs="Times New Roman"/>
          <w:sz w:val="24"/>
          <w:szCs w:val="24"/>
        </w:rPr>
        <w:t>h hospitals. MC Health Serv Res</w:t>
      </w:r>
      <w:r w:rsidRPr="00A75D31">
        <w:rPr>
          <w:rFonts w:ascii="Times New Roman" w:eastAsia="Times New Roman" w:hAnsi="Times New Roman" w:cs="Times New Roman"/>
          <w:sz w:val="24"/>
          <w:szCs w:val="24"/>
        </w:rPr>
        <w:t xml:space="preserve"> 2009 9:27.</w:t>
      </w:r>
    </w:p>
    <w:p w:rsidR="00EC0466"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C648A2">
        <w:rPr>
          <w:rFonts w:ascii="Times New Roman" w:eastAsia="Times New Roman" w:hAnsi="Times New Roman" w:cs="Times New Roman"/>
          <w:sz w:val="24"/>
          <w:szCs w:val="24"/>
        </w:rPr>
        <w:t>Aranaz-Andrés JM,  Aibar-Remón C,  Vitaller-Burillo J, Requena-Puche J, Terol-García E, Kelley E, Gea-Velazquez de Castro MT, ENEAS work group.</w:t>
      </w:r>
      <w:r>
        <w:rPr>
          <w:rFonts w:ascii="Times New Roman" w:eastAsia="Times New Roman" w:hAnsi="Times New Roman" w:cs="Times New Roman"/>
          <w:sz w:val="24"/>
          <w:szCs w:val="24"/>
        </w:rPr>
        <w:t xml:space="preserve"> </w:t>
      </w:r>
      <w:r w:rsidRPr="00C648A2">
        <w:rPr>
          <w:rFonts w:ascii="Times New Roman" w:eastAsia="Times New Roman" w:hAnsi="Times New Roman" w:cs="Times New Roman"/>
          <w:sz w:val="24"/>
          <w:szCs w:val="24"/>
        </w:rPr>
        <w:t>Impact and preventability of adverse events in Spanish public hospitals: results of the Spanish National Study of Adverse Events (ENEAS). International Journal for Quality in Health Care</w:t>
      </w:r>
      <w:r w:rsidR="00347B9D">
        <w:rPr>
          <w:rFonts w:ascii="Times New Roman" w:eastAsia="Times New Roman" w:hAnsi="Times New Roman" w:cs="Times New Roman"/>
          <w:sz w:val="24"/>
          <w:szCs w:val="24"/>
        </w:rPr>
        <w:t xml:space="preserve"> </w:t>
      </w:r>
      <w:r w:rsidRPr="00C648A2">
        <w:rPr>
          <w:rFonts w:ascii="Times New Roman" w:eastAsia="Times New Roman" w:hAnsi="Times New Roman" w:cs="Times New Roman"/>
          <w:sz w:val="24"/>
          <w:szCs w:val="24"/>
        </w:rPr>
        <w:t>2009;21(6):408–14.</w:t>
      </w:r>
    </w:p>
    <w:p w:rsidR="00EC0466"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535FD3">
        <w:rPr>
          <w:rFonts w:ascii="Times New Roman" w:eastAsia="Times New Roman" w:hAnsi="Times New Roman" w:cs="Times New Roman"/>
          <w:sz w:val="24"/>
          <w:szCs w:val="24"/>
        </w:rPr>
        <w:t>Kroll L, Singleton A, Collier J, Rees Jones I. Learning not to take it seriously: junio</w:t>
      </w:r>
      <w:r w:rsidR="00570C2F">
        <w:rPr>
          <w:rFonts w:ascii="Times New Roman" w:eastAsia="Times New Roman" w:hAnsi="Times New Roman" w:cs="Times New Roman"/>
          <w:sz w:val="24"/>
          <w:szCs w:val="24"/>
        </w:rPr>
        <w:t>r doct</w:t>
      </w:r>
      <w:r w:rsidR="00347B9D">
        <w:rPr>
          <w:rFonts w:ascii="Times New Roman" w:eastAsia="Times New Roman" w:hAnsi="Times New Roman" w:cs="Times New Roman"/>
          <w:sz w:val="24"/>
          <w:szCs w:val="24"/>
        </w:rPr>
        <w:t xml:space="preserve">ors’ accounts of error. Med Edu </w:t>
      </w:r>
      <w:r w:rsidRPr="00535FD3">
        <w:rPr>
          <w:rFonts w:ascii="Times New Roman" w:eastAsia="Times New Roman" w:hAnsi="Times New Roman" w:cs="Times New Roman"/>
          <w:sz w:val="24"/>
          <w:szCs w:val="24"/>
        </w:rPr>
        <w:t>2008;</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42:982–90.</w:t>
      </w:r>
    </w:p>
    <w:p w:rsidR="00EC0466" w:rsidRPr="00535FD3"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535FD3">
        <w:rPr>
          <w:rFonts w:ascii="Times New Roman" w:eastAsia="Times New Roman" w:hAnsi="Times New Roman" w:cs="Times New Roman"/>
          <w:sz w:val="24"/>
          <w:szCs w:val="24"/>
        </w:rPr>
        <w:t>Shamsaii M, Faraji O, Ramazani A, Hedaiati P</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The viewpoints of Zabol’s General Practitioners</w:t>
      </w:r>
      <w:r w:rsidR="00347B9D">
        <w:rPr>
          <w:rFonts w:ascii="Times New Roman" w:eastAsia="Times New Roman" w:hAnsi="Times New Roman" w:cs="Times New Roman"/>
          <w:sz w:val="24"/>
          <w:szCs w:val="24"/>
        </w:rPr>
        <w:t xml:space="preserve"> about medical errors in 2010. </w:t>
      </w:r>
      <w:r w:rsidRPr="00535FD3">
        <w:rPr>
          <w:rFonts w:ascii="Times New Roman" w:eastAsia="Times New Roman" w:hAnsi="Times New Roman" w:cs="Times New Roman"/>
          <w:sz w:val="24"/>
          <w:szCs w:val="24"/>
        </w:rPr>
        <w:t xml:space="preserve"> Hospital 2012;</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39</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(4):1-6.</w:t>
      </w:r>
      <w:r>
        <w:rPr>
          <w:rFonts w:ascii="Times New Roman" w:eastAsia="Times New Roman" w:hAnsi="Times New Roman" w:cs="Times New Roman"/>
          <w:sz w:val="24"/>
          <w:szCs w:val="24"/>
        </w:rPr>
        <w:t>[In Persian].</w:t>
      </w:r>
    </w:p>
    <w:p w:rsidR="00EC0466" w:rsidRPr="00E35FFB"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535FD3">
        <w:rPr>
          <w:rFonts w:ascii="Times New Roman" w:eastAsia="Times New Roman" w:hAnsi="Times New Roman" w:cs="Times New Roman"/>
          <w:sz w:val="24"/>
          <w:szCs w:val="24"/>
        </w:rPr>
        <w:t>Mohsenzadeh A,  Rezapour A . Frequency of medical errors in hospitalized children in khorramabad Madani hospital during six months in 2008. Ya</w:t>
      </w:r>
      <w:r w:rsidR="00347B9D">
        <w:rPr>
          <w:rFonts w:ascii="Times New Roman" w:eastAsia="Times New Roman" w:hAnsi="Times New Roman" w:cs="Times New Roman"/>
          <w:sz w:val="24"/>
          <w:szCs w:val="24"/>
        </w:rPr>
        <w:t>fete</w:t>
      </w:r>
      <w:r w:rsidRPr="00535FD3">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(4):31.</w:t>
      </w:r>
      <w:r w:rsidRPr="00E35FFB">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w:t>
      </w:r>
      <w:r>
        <w:rPr>
          <w:rFonts w:ascii="Times New Roman" w:eastAsia="Times New Roman" w:hAnsi="Times New Roman" w:cs="Times New Roman"/>
          <w:sz w:val="24"/>
          <w:szCs w:val="24"/>
        </w:rPr>
        <w:t>[In Persian].</w:t>
      </w:r>
    </w:p>
    <w:p w:rsidR="00AF4047" w:rsidRDefault="00EC0466" w:rsidP="00217147">
      <w:pPr>
        <w:pStyle w:val="ListParagraph"/>
        <w:numPr>
          <w:ilvl w:val="0"/>
          <w:numId w:val="7"/>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535FD3">
        <w:rPr>
          <w:rFonts w:ascii="Times New Roman" w:eastAsia="Times New Roman" w:hAnsi="Times New Roman" w:cs="Times New Roman"/>
          <w:sz w:val="24"/>
          <w:szCs w:val="24"/>
        </w:rPr>
        <w:t>Andrew A, Thomas H, Melissa J.The Attitu</w:t>
      </w:r>
      <w:r>
        <w:rPr>
          <w:rFonts w:ascii="Times New Roman" w:eastAsia="Times New Roman" w:hAnsi="Times New Roman" w:cs="Times New Roman"/>
          <w:sz w:val="24"/>
          <w:szCs w:val="24"/>
        </w:rPr>
        <w:t xml:space="preserve">des and Experiences of Trainees </w:t>
      </w:r>
      <w:r w:rsidRPr="00535FD3">
        <w:rPr>
          <w:rFonts w:ascii="Times New Roman" w:eastAsia="Times New Roman" w:hAnsi="Times New Roman" w:cs="Times New Roman"/>
          <w:sz w:val="24"/>
          <w:szCs w:val="24"/>
        </w:rPr>
        <w:t>Regarding Disclosing Medic</w:t>
      </w:r>
      <w:r w:rsidR="00570C2F">
        <w:rPr>
          <w:rFonts w:ascii="Times New Roman" w:eastAsia="Times New Roman" w:hAnsi="Times New Roman" w:cs="Times New Roman"/>
          <w:sz w:val="24"/>
          <w:szCs w:val="24"/>
        </w:rPr>
        <w:t>al Errors to Patients. Acad Med</w:t>
      </w:r>
      <w:r w:rsidRPr="00535FD3">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w:t>
      </w:r>
      <w:r w:rsidRPr="00535FD3">
        <w:rPr>
          <w:rFonts w:ascii="Times New Roman" w:eastAsia="Times New Roman" w:hAnsi="Times New Roman" w:cs="Times New Roman"/>
          <w:sz w:val="24"/>
          <w:szCs w:val="24"/>
        </w:rPr>
        <w:t>83(3).</w:t>
      </w:r>
    </w:p>
    <w:p w:rsidR="00A2504C" w:rsidRDefault="00A2504C" w:rsidP="0021714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9C3E7E" w:rsidRDefault="009C3E7E" w:rsidP="009C3E7E">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890CB7" w:rsidRPr="008E2909" w:rsidRDefault="00890CB7" w:rsidP="00890CB7">
      <w:pPr>
        <w:jc w:val="center"/>
      </w:pPr>
      <w:r w:rsidRPr="005D62CA">
        <w:rPr>
          <w:b/>
          <w:bCs/>
        </w:rPr>
        <w:t>Table 1:</w:t>
      </w:r>
      <w:r w:rsidRPr="008E2909">
        <w:t xml:space="preserve"> factors related to medical errors experience </w:t>
      </w:r>
      <w:r>
        <w:t>among medical interns and residents</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9"/>
        <w:gridCol w:w="1391"/>
        <w:gridCol w:w="1072"/>
        <w:gridCol w:w="1134"/>
        <w:gridCol w:w="1276"/>
        <w:gridCol w:w="939"/>
        <w:gridCol w:w="1720"/>
      </w:tblGrid>
      <w:tr w:rsidR="00890CB7" w:rsidRPr="008E2909" w:rsidTr="00164951">
        <w:trPr>
          <w:trHeight w:val="1127"/>
          <w:jc w:val="center"/>
        </w:trPr>
        <w:tc>
          <w:tcPr>
            <w:tcW w:w="2640" w:type="dxa"/>
            <w:gridSpan w:val="2"/>
          </w:tcPr>
          <w:p w:rsidR="00890CB7" w:rsidRPr="00A2504C" w:rsidRDefault="00890CB7" w:rsidP="00164951">
            <w:pPr>
              <w:tabs>
                <w:tab w:val="center" w:pos="4153"/>
                <w:tab w:val="right" w:pos="8306"/>
              </w:tabs>
              <w:autoSpaceDE w:val="0"/>
              <w:autoSpaceDN w:val="0"/>
              <w:adjustRightInd w:val="0"/>
              <w:jc w:val="center"/>
              <w:rPr>
                <w:b/>
                <w:bCs/>
                <w:rtl/>
              </w:rPr>
            </w:pPr>
            <w:r w:rsidRPr="00A2504C">
              <w:rPr>
                <w:b/>
                <w:bCs/>
              </w:rPr>
              <w:t>95% C.I. for EXP(B)</w:t>
            </w:r>
          </w:p>
        </w:tc>
        <w:tc>
          <w:tcPr>
            <w:tcW w:w="1072" w:type="dxa"/>
            <w:vMerge w:val="restart"/>
          </w:tcPr>
          <w:p w:rsidR="00890CB7" w:rsidRPr="00A2504C" w:rsidRDefault="00890CB7" w:rsidP="00164951">
            <w:pPr>
              <w:tabs>
                <w:tab w:val="center" w:pos="4153"/>
                <w:tab w:val="right" w:pos="8306"/>
              </w:tabs>
              <w:autoSpaceDE w:val="0"/>
              <w:autoSpaceDN w:val="0"/>
              <w:adjustRightInd w:val="0"/>
              <w:jc w:val="center"/>
              <w:rPr>
                <w:b/>
                <w:bCs/>
              </w:rPr>
            </w:pPr>
          </w:p>
          <w:p w:rsidR="00890CB7" w:rsidRPr="00A2504C" w:rsidRDefault="00890CB7" w:rsidP="00164951">
            <w:pPr>
              <w:tabs>
                <w:tab w:val="center" w:pos="4153"/>
                <w:tab w:val="right" w:pos="8306"/>
              </w:tabs>
              <w:autoSpaceDE w:val="0"/>
              <w:autoSpaceDN w:val="0"/>
              <w:adjustRightInd w:val="0"/>
              <w:jc w:val="center"/>
              <w:rPr>
                <w:b/>
                <w:bCs/>
                <w:rtl/>
              </w:rPr>
            </w:pPr>
            <w:r w:rsidRPr="00A2504C">
              <w:rPr>
                <w:b/>
                <w:bCs/>
              </w:rPr>
              <w:t>Exp(B)</w:t>
            </w:r>
          </w:p>
        </w:tc>
        <w:tc>
          <w:tcPr>
            <w:tcW w:w="1134" w:type="dxa"/>
            <w:vMerge w:val="restart"/>
          </w:tcPr>
          <w:p w:rsidR="00890CB7" w:rsidRPr="00A2504C" w:rsidRDefault="00890CB7" w:rsidP="00164951">
            <w:pPr>
              <w:tabs>
                <w:tab w:val="center" w:pos="4153"/>
                <w:tab w:val="right" w:pos="8306"/>
              </w:tabs>
              <w:autoSpaceDE w:val="0"/>
              <w:autoSpaceDN w:val="0"/>
              <w:adjustRightInd w:val="0"/>
              <w:jc w:val="center"/>
              <w:rPr>
                <w:b/>
                <w:bCs/>
              </w:rPr>
            </w:pPr>
          </w:p>
          <w:p w:rsidR="00890CB7" w:rsidRPr="00A2504C" w:rsidRDefault="00890CB7" w:rsidP="00164951">
            <w:pPr>
              <w:tabs>
                <w:tab w:val="center" w:pos="4153"/>
                <w:tab w:val="right" w:pos="8306"/>
              </w:tabs>
              <w:autoSpaceDE w:val="0"/>
              <w:autoSpaceDN w:val="0"/>
              <w:adjustRightInd w:val="0"/>
              <w:jc w:val="center"/>
              <w:rPr>
                <w:b/>
                <w:bCs/>
              </w:rPr>
            </w:pPr>
            <w:r w:rsidRPr="00A2504C">
              <w:rPr>
                <w:b/>
                <w:bCs/>
              </w:rPr>
              <w:t>pvalue</w:t>
            </w:r>
          </w:p>
        </w:tc>
        <w:tc>
          <w:tcPr>
            <w:tcW w:w="1276" w:type="dxa"/>
            <w:vMerge w:val="restart"/>
            <w:tcBorders>
              <w:right w:val="single" w:sz="4" w:space="0" w:color="auto"/>
            </w:tcBorders>
          </w:tcPr>
          <w:p w:rsidR="00890CB7" w:rsidRPr="00A2504C" w:rsidRDefault="00890CB7" w:rsidP="00164951">
            <w:pPr>
              <w:tabs>
                <w:tab w:val="center" w:pos="4153"/>
                <w:tab w:val="right" w:pos="8306"/>
              </w:tabs>
              <w:autoSpaceDE w:val="0"/>
              <w:autoSpaceDN w:val="0"/>
              <w:adjustRightInd w:val="0"/>
              <w:jc w:val="center"/>
              <w:rPr>
                <w:b/>
                <w:bCs/>
              </w:rPr>
            </w:pPr>
          </w:p>
          <w:p w:rsidR="00890CB7" w:rsidRPr="00A2504C" w:rsidRDefault="00890CB7" w:rsidP="00164951">
            <w:pPr>
              <w:tabs>
                <w:tab w:val="center" w:pos="4153"/>
                <w:tab w:val="right" w:pos="8306"/>
              </w:tabs>
              <w:autoSpaceDE w:val="0"/>
              <w:autoSpaceDN w:val="0"/>
              <w:adjustRightInd w:val="0"/>
              <w:jc w:val="center"/>
              <w:rPr>
                <w:b/>
                <w:bCs/>
                <w:rtl/>
              </w:rPr>
            </w:pPr>
            <w:r w:rsidRPr="00A2504C">
              <w:rPr>
                <w:b/>
                <w:bCs/>
              </w:rPr>
              <w:t>S.E</w:t>
            </w:r>
          </w:p>
        </w:tc>
        <w:tc>
          <w:tcPr>
            <w:tcW w:w="939" w:type="dxa"/>
            <w:vMerge w:val="restart"/>
            <w:tcBorders>
              <w:left w:val="single" w:sz="4" w:space="0" w:color="auto"/>
              <w:right w:val="single" w:sz="4" w:space="0" w:color="auto"/>
            </w:tcBorders>
          </w:tcPr>
          <w:p w:rsidR="00890CB7" w:rsidRPr="00A2504C" w:rsidRDefault="00890CB7" w:rsidP="00164951">
            <w:pPr>
              <w:tabs>
                <w:tab w:val="center" w:pos="4153"/>
                <w:tab w:val="right" w:pos="8306"/>
              </w:tabs>
              <w:autoSpaceDE w:val="0"/>
              <w:autoSpaceDN w:val="0"/>
              <w:adjustRightInd w:val="0"/>
              <w:jc w:val="center"/>
              <w:rPr>
                <w:b/>
                <w:bCs/>
              </w:rPr>
            </w:pPr>
          </w:p>
          <w:p w:rsidR="00890CB7" w:rsidRPr="00A2504C" w:rsidRDefault="00890CB7" w:rsidP="00164951">
            <w:pPr>
              <w:tabs>
                <w:tab w:val="center" w:pos="4153"/>
                <w:tab w:val="right" w:pos="8306"/>
              </w:tabs>
              <w:autoSpaceDE w:val="0"/>
              <w:autoSpaceDN w:val="0"/>
              <w:adjustRightInd w:val="0"/>
              <w:jc w:val="center"/>
              <w:rPr>
                <w:b/>
                <w:bCs/>
                <w:rtl/>
              </w:rPr>
            </w:pPr>
            <w:r w:rsidRPr="00A2504C">
              <w:rPr>
                <w:b/>
                <w:bCs/>
              </w:rPr>
              <w:t>B</w:t>
            </w:r>
          </w:p>
          <w:p w:rsidR="00890CB7" w:rsidRPr="00A2504C" w:rsidRDefault="00890CB7" w:rsidP="00164951">
            <w:pPr>
              <w:tabs>
                <w:tab w:val="center" w:pos="4153"/>
                <w:tab w:val="right" w:pos="8306"/>
              </w:tabs>
              <w:jc w:val="center"/>
              <w:rPr>
                <w:b/>
                <w:bCs/>
                <w:rtl/>
              </w:rPr>
            </w:pPr>
          </w:p>
        </w:tc>
        <w:tc>
          <w:tcPr>
            <w:tcW w:w="1720" w:type="dxa"/>
            <w:vMerge w:val="restart"/>
            <w:tcBorders>
              <w:left w:val="single" w:sz="4" w:space="0" w:color="auto"/>
            </w:tcBorders>
          </w:tcPr>
          <w:p w:rsidR="00890CB7" w:rsidRPr="00A2504C" w:rsidRDefault="00890CB7" w:rsidP="00164951">
            <w:pPr>
              <w:tabs>
                <w:tab w:val="center" w:pos="4153"/>
                <w:tab w:val="right" w:pos="8306"/>
              </w:tabs>
              <w:jc w:val="center"/>
              <w:rPr>
                <w:b/>
                <w:bCs/>
              </w:rPr>
            </w:pPr>
          </w:p>
          <w:p w:rsidR="00890CB7" w:rsidRPr="00A2504C" w:rsidRDefault="00890CB7" w:rsidP="00164951">
            <w:pPr>
              <w:tabs>
                <w:tab w:val="center" w:pos="4153"/>
                <w:tab w:val="right" w:pos="8306"/>
              </w:tabs>
              <w:jc w:val="center"/>
              <w:rPr>
                <w:b/>
                <w:bCs/>
              </w:rPr>
            </w:pPr>
            <w:r w:rsidRPr="00A2504C">
              <w:rPr>
                <w:b/>
                <w:bCs/>
              </w:rPr>
              <w:t xml:space="preserve">Variables </w:t>
            </w:r>
          </w:p>
        </w:tc>
      </w:tr>
      <w:tr w:rsidR="00890CB7" w:rsidRPr="008E2909" w:rsidTr="00164951">
        <w:trPr>
          <w:jc w:val="center"/>
        </w:trPr>
        <w:tc>
          <w:tcPr>
            <w:tcW w:w="1249" w:type="dxa"/>
            <w:vAlign w:val="bottom"/>
          </w:tcPr>
          <w:p w:rsidR="00890CB7" w:rsidRPr="00A2504C" w:rsidRDefault="00890CB7" w:rsidP="00164951">
            <w:pPr>
              <w:tabs>
                <w:tab w:val="center" w:pos="4153"/>
                <w:tab w:val="right" w:pos="8306"/>
              </w:tabs>
              <w:autoSpaceDE w:val="0"/>
              <w:autoSpaceDN w:val="0"/>
              <w:adjustRightInd w:val="0"/>
              <w:ind w:left="60" w:right="60"/>
              <w:jc w:val="center"/>
              <w:rPr>
                <w:b/>
                <w:bCs/>
                <w:color w:val="000000"/>
              </w:rPr>
            </w:pPr>
            <w:r w:rsidRPr="00A2504C">
              <w:rPr>
                <w:b/>
                <w:bCs/>
              </w:rPr>
              <w:t>Lower</w:t>
            </w:r>
          </w:p>
        </w:tc>
        <w:tc>
          <w:tcPr>
            <w:tcW w:w="1391" w:type="dxa"/>
            <w:vAlign w:val="bottom"/>
          </w:tcPr>
          <w:p w:rsidR="00890CB7" w:rsidRPr="00A2504C" w:rsidRDefault="00890CB7" w:rsidP="00164951">
            <w:pPr>
              <w:tabs>
                <w:tab w:val="center" w:pos="4153"/>
                <w:tab w:val="right" w:pos="8306"/>
              </w:tabs>
              <w:autoSpaceDE w:val="0"/>
              <w:autoSpaceDN w:val="0"/>
              <w:adjustRightInd w:val="0"/>
              <w:ind w:left="60" w:right="60"/>
              <w:jc w:val="center"/>
              <w:rPr>
                <w:b/>
                <w:bCs/>
                <w:color w:val="000000"/>
                <w:rtl/>
              </w:rPr>
            </w:pPr>
            <w:r w:rsidRPr="00A2504C">
              <w:rPr>
                <w:b/>
                <w:bCs/>
              </w:rPr>
              <w:t>Upper</w:t>
            </w:r>
          </w:p>
        </w:tc>
        <w:tc>
          <w:tcPr>
            <w:tcW w:w="1072" w:type="dxa"/>
            <w:vMerge/>
          </w:tcPr>
          <w:p w:rsidR="00890CB7" w:rsidRPr="00A2504C" w:rsidRDefault="00890CB7" w:rsidP="00164951">
            <w:pPr>
              <w:tabs>
                <w:tab w:val="center" w:pos="4153"/>
                <w:tab w:val="right" w:pos="8306"/>
              </w:tabs>
              <w:autoSpaceDE w:val="0"/>
              <w:autoSpaceDN w:val="0"/>
              <w:adjustRightInd w:val="0"/>
              <w:jc w:val="center"/>
              <w:rPr>
                <w:b/>
                <w:bCs/>
                <w:rtl/>
              </w:rPr>
            </w:pPr>
          </w:p>
        </w:tc>
        <w:tc>
          <w:tcPr>
            <w:tcW w:w="1134" w:type="dxa"/>
            <w:vMerge/>
          </w:tcPr>
          <w:p w:rsidR="00890CB7" w:rsidRPr="00A2504C" w:rsidRDefault="00890CB7" w:rsidP="00164951">
            <w:pPr>
              <w:tabs>
                <w:tab w:val="center" w:pos="4153"/>
                <w:tab w:val="right" w:pos="8306"/>
              </w:tabs>
              <w:autoSpaceDE w:val="0"/>
              <w:autoSpaceDN w:val="0"/>
              <w:adjustRightInd w:val="0"/>
              <w:jc w:val="center"/>
              <w:rPr>
                <w:b/>
                <w:bCs/>
              </w:rPr>
            </w:pPr>
          </w:p>
        </w:tc>
        <w:tc>
          <w:tcPr>
            <w:tcW w:w="1276" w:type="dxa"/>
            <w:vMerge/>
            <w:tcBorders>
              <w:right w:val="single" w:sz="4" w:space="0" w:color="auto"/>
            </w:tcBorders>
          </w:tcPr>
          <w:p w:rsidR="00890CB7" w:rsidRPr="00A2504C" w:rsidRDefault="00890CB7" w:rsidP="00164951">
            <w:pPr>
              <w:tabs>
                <w:tab w:val="center" w:pos="4153"/>
                <w:tab w:val="right" w:pos="8306"/>
              </w:tabs>
              <w:autoSpaceDE w:val="0"/>
              <w:autoSpaceDN w:val="0"/>
              <w:adjustRightInd w:val="0"/>
              <w:jc w:val="center"/>
              <w:rPr>
                <w:b/>
                <w:bCs/>
              </w:rPr>
            </w:pPr>
          </w:p>
        </w:tc>
        <w:tc>
          <w:tcPr>
            <w:tcW w:w="939" w:type="dxa"/>
            <w:vMerge/>
            <w:tcBorders>
              <w:left w:val="single" w:sz="4" w:space="0" w:color="auto"/>
              <w:right w:val="single" w:sz="4" w:space="0" w:color="auto"/>
            </w:tcBorders>
          </w:tcPr>
          <w:p w:rsidR="00890CB7" w:rsidRPr="00A2504C" w:rsidRDefault="00890CB7" w:rsidP="00164951">
            <w:pPr>
              <w:tabs>
                <w:tab w:val="center" w:pos="4153"/>
                <w:tab w:val="right" w:pos="8306"/>
              </w:tabs>
              <w:autoSpaceDE w:val="0"/>
              <w:autoSpaceDN w:val="0"/>
              <w:adjustRightInd w:val="0"/>
              <w:jc w:val="center"/>
              <w:rPr>
                <w:b/>
                <w:bCs/>
              </w:rPr>
            </w:pPr>
          </w:p>
        </w:tc>
        <w:tc>
          <w:tcPr>
            <w:tcW w:w="1720" w:type="dxa"/>
            <w:vMerge/>
            <w:tcBorders>
              <w:left w:val="single" w:sz="4" w:space="0" w:color="auto"/>
            </w:tcBorders>
          </w:tcPr>
          <w:p w:rsidR="00890CB7" w:rsidRPr="00A2504C" w:rsidRDefault="00890CB7" w:rsidP="00164951">
            <w:pPr>
              <w:tabs>
                <w:tab w:val="center" w:pos="4153"/>
                <w:tab w:val="right" w:pos="8306"/>
              </w:tabs>
              <w:autoSpaceDE w:val="0"/>
              <w:autoSpaceDN w:val="0"/>
              <w:adjustRightInd w:val="0"/>
              <w:jc w:val="center"/>
              <w:rPr>
                <w:b/>
                <w:bCs/>
              </w:rPr>
            </w:pPr>
          </w:p>
        </w:tc>
      </w:tr>
      <w:tr w:rsidR="00890CB7" w:rsidRPr="008E2909" w:rsidTr="00164951">
        <w:trPr>
          <w:jc w:val="center"/>
        </w:trPr>
        <w:tc>
          <w:tcPr>
            <w:tcW w:w="124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1.34</w:t>
            </w:r>
          </w:p>
        </w:tc>
        <w:tc>
          <w:tcPr>
            <w:tcW w:w="1391" w:type="dxa"/>
          </w:tcPr>
          <w:p w:rsidR="00890CB7" w:rsidRPr="00CD1236" w:rsidRDefault="00890CB7" w:rsidP="00164951">
            <w:pPr>
              <w:tabs>
                <w:tab w:val="center" w:pos="4153"/>
                <w:tab w:val="right" w:pos="8306"/>
              </w:tabs>
              <w:autoSpaceDE w:val="0"/>
              <w:autoSpaceDN w:val="0"/>
              <w:adjustRightInd w:val="0"/>
              <w:jc w:val="center"/>
              <w:rPr>
                <w:rFonts w:cs="Arabic Transparent"/>
                <w:rtl/>
              </w:rPr>
            </w:pPr>
            <w:r w:rsidRPr="00CD1236">
              <w:rPr>
                <w:rFonts w:cs="Arabic Transparent"/>
              </w:rPr>
              <w:t>0.84</w:t>
            </w:r>
          </w:p>
        </w:tc>
        <w:tc>
          <w:tcPr>
            <w:tcW w:w="1072" w:type="dxa"/>
          </w:tcPr>
          <w:p w:rsidR="00890CB7" w:rsidRPr="00CD1236" w:rsidRDefault="00890CB7" w:rsidP="00164951">
            <w:pPr>
              <w:tabs>
                <w:tab w:val="center" w:pos="4153"/>
                <w:tab w:val="right" w:pos="8306"/>
              </w:tabs>
              <w:autoSpaceDE w:val="0"/>
              <w:autoSpaceDN w:val="0"/>
              <w:adjustRightInd w:val="0"/>
              <w:jc w:val="center"/>
              <w:rPr>
                <w:rFonts w:cs="Arabic Transparent"/>
                <w:rtl/>
              </w:rPr>
            </w:pPr>
            <w:r w:rsidRPr="00CD1236">
              <w:rPr>
                <w:rFonts w:cs="Arabic Transparent"/>
              </w:rPr>
              <w:t>1.07</w:t>
            </w:r>
          </w:p>
        </w:tc>
        <w:tc>
          <w:tcPr>
            <w:tcW w:w="1134"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0.31</w:t>
            </w:r>
          </w:p>
        </w:tc>
        <w:tc>
          <w:tcPr>
            <w:tcW w:w="1276"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0.12</w:t>
            </w:r>
          </w:p>
        </w:tc>
        <w:tc>
          <w:tcPr>
            <w:tcW w:w="93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0.65</w:t>
            </w:r>
          </w:p>
        </w:tc>
        <w:tc>
          <w:tcPr>
            <w:tcW w:w="1720" w:type="dxa"/>
          </w:tcPr>
          <w:p w:rsidR="00890CB7" w:rsidRPr="008E2909" w:rsidRDefault="00890CB7" w:rsidP="00164951">
            <w:pPr>
              <w:tabs>
                <w:tab w:val="center" w:pos="4153"/>
                <w:tab w:val="right" w:pos="8306"/>
              </w:tabs>
              <w:autoSpaceDE w:val="0"/>
              <w:autoSpaceDN w:val="0"/>
              <w:adjustRightInd w:val="0"/>
              <w:jc w:val="center"/>
            </w:pPr>
            <w:r w:rsidRPr="008E2909">
              <w:t>age</w:t>
            </w:r>
          </w:p>
        </w:tc>
      </w:tr>
      <w:tr w:rsidR="00890CB7" w:rsidRPr="008E2909" w:rsidTr="00164951">
        <w:trPr>
          <w:jc w:val="center"/>
        </w:trPr>
        <w:tc>
          <w:tcPr>
            <w:tcW w:w="124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2.1</w:t>
            </w:r>
          </w:p>
        </w:tc>
        <w:tc>
          <w:tcPr>
            <w:tcW w:w="1391"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0.30</w:t>
            </w:r>
          </w:p>
        </w:tc>
        <w:tc>
          <w:tcPr>
            <w:tcW w:w="1072" w:type="dxa"/>
          </w:tcPr>
          <w:p w:rsidR="00890CB7" w:rsidRPr="00CD1236" w:rsidRDefault="00890CB7" w:rsidP="00164951">
            <w:pPr>
              <w:tabs>
                <w:tab w:val="center" w:pos="4153"/>
                <w:tab w:val="right" w:pos="8306"/>
              </w:tabs>
              <w:autoSpaceDE w:val="0"/>
              <w:autoSpaceDN w:val="0"/>
              <w:adjustRightInd w:val="0"/>
              <w:jc w:val="center"/>
              <w:rPr>
                <w:rFonts w:cs="Arabic Transparent"/>
                <w:rtl/>
              </w:rPr>
            </w:pPr>
            <w:r w:rsidRPr="00CD1236">
              <w:rPr>
                <w:rFonts w:cs="Arabic Transparent"/>
              </w:rPr>
              <w:t>0.80</w:t>
            </w:r>
          </w:p>
        </w:tc>
        <w:tc>
          <w:tcPr>
            <w:tcW w:w="1134"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0.65</w:t>
            </w:r>
          </w:p>
        </w:tc>
        <w:tc>
          <w:tcPr>
            <w:tcW w:w="1276"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0.49</w:t>
            </w:r>
          </w:p>
        </w:tc>
        <w:tc>
          <w:tcPr>
            <w:tcW w:w="93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-0.27</w:t>
            </w:r>
          </w:p>
        </w:tc>
        <w:tc>
          <w:tcPr>
            <w:tcW w:w="1720" w:type="dxa"/>
          </w:tcPr>
          <w:p w:rsidR="00890CB7" w:rsidRPr="008E2909" w:rsidRDefault="00890CB7" w:rsidP="00164951">
            <w:pPr>
              <w:tabs>
                <w:tab w:val="center" w:pos="4153"/>
                <w:tab w:val="right" w:pos="8306"/>
              </w:tabs>
              <w:autoSpaceDE w:val="0"/>
              <w:autoSpaceDN w:val="0"/>
              <w:adjustRightInd w:val="0"/>
              <w:jc w:val="center"/>
            </w:pPr>
            <w:r w:rsidRPr="008E2909">
              <w:t>sex</w:t>
            </w:r>
          </w:p>
        </w:tc>
      </w:tr>
      <w:tr w:rsidR="00890CB7" w:rsidRPr="008E2909" w:rsidTr="00164951">
        <w:trPr>
          <w:jc w:val="center"/>
        </w:trPr>
        <w:tc>
          <w:tcPr>
            <w:tcW w:w="124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4.39</w:t>
            </w:r>
          </w:p>
        </w:tc>
        <w:tc>
          <w:tcPr>
            <w:tcW w:w="1391" w:type="dxa"/>
          </w:tcPr>
          <w:p w:rsidR="00890CB7" w:rsidRPr="00CD1236" w:rsidRDefault="00890CB7" w:rsidP="00164951">
            <w:pPr>
              <w:tabs>
                <w:tab w:val="left" w:pos="240"/>
                <w:tab w:val="center" w:pos="549"/>
                <w:tab w:val="center" w:pos="4153"/>
                <w:tab w:val="right" w:pos="8306"/>
              </w:tabs>
              <w:autoSpaceDE w:val="0"/>
              <w:autoSpaceDN w:val="0"/>
              <w:adjustRightInd w:val="0"/>
              <w:jc w:val="center"/>
              <w:rPr>
                <w:rFonts w:cs="Arabic Transparent"/>
                <w:rtl/>
              </w:rPr>
            </w:pPr>
            <w:r w:rsidRPr="00CD1236">
              <w:rPr>
                <w:rFonts w:cs="Arabic Transparent"/>
              </w:rPr>
              <w:t>0.19</w:t>
            </w:r>
          </w:p>
        </w:tc>
        <w:tc>
          <w:tcPr>
            <w:tcW w:w="1072"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0.92</w:t>
            </w:r>
          </w:p>
        </w:tc>
        <w:tc>
          <w:tcPr>
            <w:tcW w:w="1134"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0.92</w:t>
            </w:r>
          </w:p>
        </w:tc>
        <w:tc>
          <w:tcPr>
            <w:tcW w:w="1276"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0.79</w:t>
            </w:r>
          </w:p>
        </w:tc>
        <w:tc>
          <w:tcPr>
            <w:tcW w:w="93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-0.77</w:t>
            </w:r>
          </w:p>
        </w:tc>
        <w:tc>
          <w:tcPr>
            <w:tcW w:w="1720" w:type="dxa"/>
          </w:tcPr>
          <w:p w:rsidR="00890CB7" w:rsidRPr="008E2909" w:rsidRDefault="00890CB7" w:rsidP="00164951">
            <w:pPr>
              <w:tabs>
                <w:tab w:val="center" w:pos="4153"/>
                <w:tab w:val="right" w:pos="8306"/>
              </w:tabs>
              <w:autoSpaceDE w:val="0"/>
              <w:autoSpaceDN w:val="0"/>
              <w:adjustRightInd w:val="0"/>
              <w:jc w:val="center"/>
            </w:pPr>
            <w:r w:rsidRPr="008E2909">
              <w:t>level</w:t>
            </w:r>
          </w:p>
        </w:tc>
      </w:tr>
      <w:tr w:rsidR="00890CB7" w:rsidRPr="008E2909" w:rsidTr="00164951">
        <w:trPr>
          <w:jc w:val="center"/>
        </w:trPr>
        <w:tc>
          <w:tcPr>
            <w:tcW w:w="124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1.14</w:t>
            </w:r>
          </w:p>
        </w:tc>
        <w:tc>
          <w:tcPr>
            <w:tcW w:w="1391" w:type="dxa"/>
          </w:tcPr>
          <w:p w:rsidR="00890CB7" w:rsidRPr="00CD1236" w:rsidRDefault="00890CB7" w:rsidP="00164951">
            <w:pPr>
              <w:tabs>
                <w:tab w:val="left" w:pos="240"/>
                <w:tab w:val="center" w:pos="549"/>
                <w:tab w:val="center" w:pos="4153"/>
                <w:tab w:val="right" w:pos="8306"/>
              </w:tabs>
              <w:autoSpaceDE w:val="0"/>
              <w:autoSpaceDN w:val="0"/>
              <w:adjustRightInd w:val="0"/>
              <w:jc w:val="center"/>
              <w:rPr>
                <w:rFonts w:cs="Arabic Transparent"/>
                <w:rtl/>
              </w:rPr>
            </w:pPr>
            <w:r w:rsidRPr="00CD1236">
              <w:rPr>
                <w:rFonts w:cs="Arabic Transparent"/>
              </w:rPr>
              <w:t>1.01</w:t>
            </w:r>
          </w:p>
        </w:tc>
        <w:tc>
          <w:tcPr>
            <w:tcW w:w="1072" w:type="dxa"/>
          </w:tcPr>
          <w:p w:rsidR="00890CB7" w:rsidRPr="00CD1236" w:rsidRDefault="00890CB7" w:rsidP="00164951">
            <w:pPr>
              <w:tabs>
                <w:tab w:val="center" w:pos="4153"/>
                <w:tab w:val="right" w:pos="8306"/>
              </w:tabs>
              <w:autoSpaceDE w:val="0"/>
              <w:autoSpaceDN w:val="0"/>
              <w:adjustRightInd w:val="0"/>
              <w:jc w:val="center"/>
              <w:rPr>
                <w:rFonts w:cs="Arabic Transparent"/>
                <w:rtl/>
              </w:rPr>
            </w:pPr>
            <w:r w:rsidRPr="00CD1236">
              <w:rPr>
                <w:rFonts w:cs="Arabic Transparent"/>
              </w:rPr>
              <w:t>1.07</w:t>
            </w:r>
          </w:p>
        </w:tc>
        <w:tc>
          <w:tcPr>
            <w:tcW w:w="1134"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0.02**</w:t>
            </w:r>
          </w:p>
        </w:tc>
        <w:tc>
          <w:tcPr>
            <w:tcW w:w="1276"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0.30</w:t>
            </w:r>
          </w:p>
        </w:tc>
        <w:tc>
          <w:tcPr>
            <w:tcW w:w="939" w:type="dxa"/>
          </w:tcPr>
          <w:p w:rsidR="00890CB7" w:rsidRPr="00CD1236" w:rsidRDefault="00890CB7" w:rsidP="00164951">
            <w:pPr>
              <w:tabs>
                <w:tab w:val="center" w:pos="4153"/>
                <w:tab w:val="right" w:pos="8306"/>
              </w:tabs>
              <w:autoSpaceDE w:val="0"/>
              <w:autoSpaceDN w:val="0"/>
              <w:adjustRightInd w:val="0"/>
              <w:jc w:val="center"/>
              <w:rPr>
                <w:rFonts w:cs="Arabic Transparent"/>
              </w:rPr>
            </w:pPr>
            <w:r w:rsidRPr="00CD1236">
              <w:rPr>
                <w:rFonts w:cs="Arabic Transparent"/>
              </w:rPr>
              <w:t>0.71</w:t>
            </w:r>
          </w:p>
        </w:tc>
        <w:tc>
          <w:tcPr>
            <w:tcW w:w="1720" w:type="dxa"/>
          </w:tcPr>
          <w:p w:rsidR="00890CB7" w:rsidRPr="008E2909" w:rsidRDefault="00890CB7" w:rsidP="00164951">
            <w:pPr>
              <w:tabs>
                <w:tab w:val="center" w:pos="4153"/>
                <w:tab w:val="right" w:pos="8306"/>
              </w:tabs>
              <w:autoSpaceDE w:val="0"/>
              <w:autoSpaceDN w:val="0"/>
              <w:adjustRightInd w:val="0"/>
              <w:jc w:val="center"/>
            </w:pPr>
            <w:r w:rsidRPr="008E2909">
              <w:t>time spent in the current level</w:t>
            </w:r>
          </w:p>
        </w:tc>
      </w:tr>
    </w:tbl>
    <w:p w:rsidR="00890CB7" w:rsidRPr="00104DB1" w:rsidRDefault="00890CB7" w:rsidP="00890CB7">
      <w:pPr>
        <w:jc w:val="both"/>
      </w:pPr>
      <w:r w:rsidRPr="008E2909">
        <w:t xml:space="preserve">  ** p value&lt;</w:t>
      </w:r>
      <w:r w:rsidRPr="006A7E9B">
        <w:rPr>
          <w:rFonts w:cs="Arabic Transparent"/>
        </w:rPr>
        <w:t>0.05</w:t>
      </w:r>
    </w:p>
    <w:p w:rsidR="00890CB7" w:rsidRDefault="00890CB7" w:rsidP="00890CB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A2504C" w:rsidRDefault="00A2504C" w:rsidP="0021714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A2504C" w:rsidRDefault="00A2504C" w:rsidP="0021714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A2504C" w:rsidRDefault="00A2504C" w:rsidP="0021714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A2504C" w:rsidRDefault="00A2504C" w:rsidP="0021714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p w:rsidR="00A2504C" w:rsidRDefault="00A2504C" w:rsidP="00217147">
      <w:pPr>
        <w:pStyle w:val="ListParagraph"/>
        <w:autoSpaceDE w:val="0"/>
        <w:autoSpaceDN w:val="0"/>
        <w:bidi w:val="0"/>
        <w:adjustRightInd w:val="0"/>
        <w:spacing w:after="0" w:line="240" w:lineRule="auto"/>
        <w:jc w:val="both"/>
        <w:rPr>
          <w:rFonts w:ascii="Times New Roman" w:eastAsia="Times New Roman" w:hAnsi="Times New Roman" w:cs="Times New Roman"/>
          <w:sz w:val="24"/>
          <w:szCs w:val="24"/>
        </w:rPr>
      </w:pPr>
    </w:p>
    <w:sectPr w:rsidR="00A2504C" w:rsidSect="005D6036">
      <w:footerReference w:type="default" r:id="rId8"/>
      <w:pgSz w:w="11906" w:h="16838" w:code="9"/>
      <w:pgMar w:top="1008" w:right="1008" w:bottom="1008" w:left="100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166" w:rsidRDefault="00B90166">
      <w:r>
        <w:separator/>
      </w:r>
    </w:p>
  </w:endnote>
  <w:endnote w:type="continuationSeparator" w:id="1">
    <w:p w:rsidR="00B90166" w:rsidRDefault="00B901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Arabic Transparent">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466" w:rsidRDefault="00597700">
    <w:pPr>
      <w:pStyle w:val="Footer"/>
      <w:jc w:val="right"/>
    </w:pPr>
    <w:fldSimple w:instr=" PAGE   \* MERGEFORMAT ">
      <w:r w:rsidR="009C3E7E">
        <w:rPr>
          <w:noProof/>
        </w:rPr>
        <w:t>8</w:t>
      </w:r>
    </w:fldSimple>
  </w:p>
  <w:p w:rsidR="00EC0466" w:rsidRDefault="00EC04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166" w:rsidRDefault="00B90166">
      <w:r>
        <w:separator/>
      </w:r>
    </w:p>
  </w:footnote>
  <w:footnote w:type="continuationSeparator" w:id="1">
    <w:p w:rsidR="00B90166" w:rsidRDefault="00B901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A5312"/>
    <w:multiLevelType w:val="hybridMultilevel"/>
    <w:tmpl w:val="6DEA3D9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8DD3379"/>
    <w:multiLevelType w:val="hybridMultilevel"/>
    <w:tmpl w:val="30B26AAA"/>
    <w:lvl w:ilvl="0" w:tplc="65D8923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C7B12"/>
    <w:multiLevelType w:val="hybridMultilevel"/>
    <w:tmpl w:val="09DA3E5C"/>
    <w:lvl w:ilvl="0" w:tplc="41C2155A">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A22196"/>
    <w:multiLevelType w:val="hybridMultilevel"/>
    <w:tmpl w:val="F274F54A"/>
    <w:lvl w:ilvl="0" w:tplc="7980B1D0">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4">
    <w:nsid w:val="713D7324"/>
    <w:multiLevelType w:val="multilevel"/>
    <w:tmpl w:val="09BA7606"/>
    <w:lvl w:ilvl="0">
      <w:start w:val="1"/>
      <w:numFmt w:val="decimal"/>
      <w:lvlText w:val="%1."/>
      <w:lvlJc w:val="left"/>
      <w:pPr>
        <w:ind w:left="360" w:hanging="360"/>
      </w:pPr>
      <w:rPr>
        <w:rFonts w:eastAsia="Times New Roman" w:hint="default"/>
        <w:b/>
        <w:sz w:val="28"/>
      </w:rPr>
    </w:lvl>
    <w:lvl w:ilvl="1">
      <w:start w:val="1"/>
      <w:numFmt w:val="decimal"/>
      <w:isLgl/>
      <w:lvlText w:val="%1.%2."/>
      <w:lvlJc w:val="left"/>
      <w:pPr>
        <w:ind w:left="765" w:hanging="405"/>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680" w:hanging="1800"/>
      </w:pPr>
      <w:rPr>
        <w:rFonts w:hint="default"/>
        <w:b w:val="0"/>
      </w:rPr>
    </w:lvl>
  </w:abstractNum>
  <w:abstractNum w:abstractNumId="5">
    <w:nsid w:val="765455B7"/>
    <w:multiLevelType w:val="hybridMultilevel"/>
    <w:tmpl w:val="CEA8789A"/>
    <w:lvl w:ilvl="0" w:tplc="0409000F">
      <w:start w:val="1"/>
      <w:numFmt w:val="decimal"/>
      <w:lvlText w:val="%1."/>
      <w:lvlJc w:val="left"/>
      <w:pPr>
        <w:tabs>
          <w:tab w:val="num" w:pos="720"/>
        </w:tabs>
        <w:ind w:left="720" w:hanging="36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footnotePr>
    <w:footnote w:id="0"/>
    <w:footnote w:id="1"/>
  </w:footnotePr>
  <w:endnotePr>
    <w:endnote w:id="0"/>
    <w:endnote w:id="1"/>
  </w:endnotePr>
  <w:compat/>
  <w:rsids>
    <w:rsidRoot w:val="00FB2A6E"/>
    <w:rsid w:val="000019BF"/>
    <w:rsid w:val="0001074B"/>
    <w:rsid w:val="000239E0"/>
    <w:rsid w:val="00026B48"/>
    <w:rsid w:val="000323C9"/>
    <w:rsid w:val="0007588C"/>
    <w:rsid w:val="001337D1"/>
    <w:rsid w:val="00156FDA"/>
    <w:rsid w:val="00172C38"/>
    <w:rsid w:val="001739D5"/>
    <w:rsid w:val="001D7C21"/>
    <w:rsid w:val="00217147"/>
    <w:rsid w:val="0024170A"/>
    <w:rsid w:val="002929E6"/>
    <w:rsid w:val="002B1DB4"/>
    <w:rsid w:val="002E39F7"/>
    <w:rsid w:val="002F45E2"/>
    <w:rsid w:val="00310ABB"/>
    <w:rsid w:val="00331388"/>
    <w:rsid w:val="00347B9D"/>
    <w:rsid w:val="003E5D38"/>
    <w:rsid w:val="00476F0D"/>
    <w:rsid w:val="00494193"/>
    <w:rsid w:val="004E3418"/>
    <w:rsid w:val="005127F9"/>
    <w:rsid w:val="00570C2F"/>
    <w:rsid w:val="0058780E"/>
    <w:rsid w:val="00597700"/>
    <w:rsid w:val="005C73F7"/>
    <w:rsid w:val="005D6036"/>
    <w:rsid w:val="005E5A92"/>
    <w:rsid w:val="006A7E9B"/>
    <w:rsid w:val="006C6AD9"/>
    <w:rsid w:val="007565D8"/>
    <w:rsid w:val="00790CC5"/>
    <w:rsid w:val="00890CB7"/>
    <w:rsid w:val="009331D5"/>
    <w:rsid w:val="009603AD"/>
    <w:rsid w:val="00994768"/>
    <w:rsid w:val="009A6CDC"/>
    <w:rsid w:val="009C3E7E"/>
    <w:rsid w:val="00A0540A"/>
    <w:rsid w:val="00A106B6"/>
    <w:rsid w:val="00A2504C"/>
    <w:rsid w:val="00A90FE4"/>
    <w:rsid w:val="00AC229F"/>
    <w:rsid w:val="00AE77BB"/>
    <w:rsid w:val="00AF4047"/>
    <w:rsid w:val="00B720E8"/>
    <w:rsid w:val="00B90166"/>
    <w:rsid w:val="00BD02C5"/>
    <w:rsid w:val="00BF2443"/>
    <w:rsid w:val="00C27252"/>
    <w:rsid w:val="00C4403B"/>
    <w:rsid w:val="00CA57A6"/>
    <w:rsid w:val="00CD1236"/>
    <w:rsid w:val="00CE2168"/>
    <w:rsid w:val="00D330B9"/>
    <w:rsid w:val="00D53D04"/>
    <w:rsid w:val="00D84AC0"/>
    <w:rsid w:val="00DA5722"/>
    <w:rsid w:val="00EB6728"/>
    <w:rsid w:val="00EC0466"/>
    <w:rsid w:val="00ED1DDF"/>
    <w:rsid w:val="00EF5AB2"/>
    <w:rsid w:val="00F11340"/>
    <w:rsid w:val="00F66174"/>
    <w:rsid w:val="00FB2A6E"/>
    <w:rsid w:val="00FB5979"/>
    <w:rsid w:val="00FC5B98"/>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036"/>
    <w:rPr>
      <w:sz w:val="24"/>
      <w:szCs w:val="24"/>
      <w:lang w:val="en-GB" w:bidi="ar-SA"/>
    </w:rPr>
  </w:style>
  <w:style w:type="paragraph" w:styleId="Heading3">
    <w:name w:val="heading 3"/>
    <w:basedOn w:val="Normal"/>
    <w:next w:val="Normal"/>
    <w:qFormat/>
    <w:rsid w:val="005D6036"/>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paragraph" w:styleId="Heading4">
    <w:name w:val="heading 4"/>
    <w:basedOn w:val="Normal"/>
    <w:next w:val="Normal"/>
    <w:qFormat/>
    <w:rsid w:val="005D6036"/>
    <w:pPr>
      <w:keepNext/>
      <w:spacing w:before="120" w:after="60" w:line="280" w:lineRule="exact"/>
      <w:jc w:val="both"/>
      <w:outlineLvl w:val="3"/>
    </w:pPr>
    <w:rPr>
      <w:rFonts w:ascii="Souvenir Lt BT" w:hAnsi="Souvenir Lt BT"/>
      <w:b/>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036"/>
    <w:pPr>
      <w:tabs>
        <w:tab w:val="center" w:pos="4153"/>
        <w:tab w:val="right" w:pos="8306"/>
      </w:tabs>
    </w:pPr>
  </w:style>
  <w:style w:type="paragraph" w:styleId="Footer">
    <w:name w:val="footer"/>
    <w:basedOn w:val="Normal"/>
    <w:link w:val="FooterChar"/>
    <w:uiPriority w:val="99"/>
    <w:rsid w:val="005D6036"/>
    <w:pPr>
      <w:tabs>
        <w:tab w:val="center" w:pos="4153"/>
        <w:tab w:val="right" w:pos="8306"/>
      </w:tabs>
    </w:pPr>
  </w:style>
  <w:style w:type="paragraph" w:styleId="NormalWeb">
    <w:name w:val="Normal (Web)"/>
    <w:basedOn w:val="Normal"/>
    <w:rsid w:val="005D6036"/>
    <w:pPr>
      <w:spacing w:before="100" w:beforeAutospacing="1" w:after="100" w:afterAutospacing="1"/>
      <w:ind w:firstLine="216"/>
    </w:pPr>
    <w:rPr>
      <w:rFonts w:ascii="Souvenir Lt BT" w:hAnsi="Souvenir Lt BT"/>
    </w:rPr>
  </w:style>
  <w:style w:type="character" w:styleId="Emphasis">
    <w:name w:val="Emphasis"/>
    <w:basedOn w:val="DefaultParagraphFont"/>
    <w:qFormat/>
    <w:rsid w:val="005D6036"/>
    <w:rPr>
      <w:i/>
    </w:rPr>
  </w:style>
  <w:style w:type="character" w:styleId="Hyperlink">
    <w:name w:val="Hyperlink"/>
    <w:basedOn w:val="DefaultParagraphFont"/>
    <w:rsid w:val="005D6036"/>
    <w:rPr>
      <w:color w:val="0000FF"/>
      <w:u w:val="single"/>
    </w:rPr>
  </w:style>
  <w:style w:type="character" w:styleId="FollowedHyperlink">
    <w:name w:val="FollowedHyperlink"/>
    <w:basedOn w:val="DefaultParagraphFont"/>
    <w:rsid w:val="005D6036"/>
    <w:rPr>
      <w:color w:val="800080"/>
      <w:u w:val="single"/>
    </w:rPr>
  </w:style>
  <w:style w:type="paragraph" w:styleId="DocumentMap">
    <w:name w:val="Document Map"/>
    <w:basedOn w:val="Normal"/>
    <w:semiHidden/>
    <w:rsid w:val="005D6036"/>
    <w:pPr>
      <w:shd w:val="clear" w:color="auto" w:fill="000080"/>
    </w:pPr>
    <w:rPr>
      <w:rFonts w:ascii="Tahoma" w:hAnsi="Tahoma" w:cs="Tahoma"/>
    </w:rPr>
  </w:style>
  <w:style w:type="paragraph" w:styleId="FootnoteText">
    <w:name w:val="footnote text"/>
    <w:basedOn w:val="Normal"/>
    <w:semiHidden/>
    <w:rsid w:val="005D6036"/>
    <w:pPr>
      <w:spacing w:line="280" w:lineRule="exact"/>
      <w:ind w:firstLine="216"/>
      <w:jc w:val="both"/>
    </w:pPr>
    <w:rPr>
      <w:rFonts w:ascii="Souvenir Lt BT" w:hAnsi="Souvenir Lt BT"/>
      <w:sz w:val="20"/>
      <w:szCs w:val="20"/>
    </w:rPr>
  </w:style>
  <w:style w:type="character" w:styleId="CommentReference">
    <w:name w:val="annotation reference"/>
    <w:basedOn w:val="DefaultParagraphFont"/>
    <w:semiHidden/>
    <w:rsid w:val="005D6036"/>
    <w:rPr>
      <w:sz w:val="16"/>
      <w:szCs w:val="16"/>
    </w:rPr>
  </w:style>
  <w:style w:type="paragraph" w:styleId="CommentText">
    <w:name w:val="annotation text"/>
    <w:basedOn w:val="Normal"/>
    <w:semiHidden/>
    <w:rsid w:val="005D6036"/>
    <w:rPr>
      <w:sz w:val="20"/>
      <w:szCs w:val="20"/>
    </w:rPr>
  </w:style>
  <w:style w:type="paragraph" w:styleId="BalloonText">
    <w:name w:val="Balloon Text"/>
    <w:basedOn w:val="Normal"/>
    <w:semiHidden/>
    <w:rsid w:val="00FB2A6E"/>
    <w:rPr>
      <w:rFonts w:ascii="Tahoma" w:hAnsi="Tahoma" w:cs="Tahoma"/>
      <w:sz w:val="16"/>
      <w:szCs w:val="16"/>
    </w:rPr>
  </w:style>
  <w:style w:type="paragraph" w:styleId="CommentSubject">
    <w:name w:val="annotation subject"/>
    <w:basedOn w:val="CommentText"/>
    <w:next w:val="CommentText"/>
    <w:semiHidden/>
    <w:rsid w:val="00FB2A6E"/>
    <w:rPr>
      <w:b/>
      <w:bCs/>
    </w:rPr>
  </w:style>
  <w:style w:type="character" w:customStyle="1" w:styleId="highlight2">
    <w:name w:val="highlight2"/>
    <w:basedOn w:val="DefaultParagraphFont"/>
    <w:rsid w:val="00331388"/>
  </w:style>
  <w:style w:type="paragraph" w:styleId="ListParagraph">
    <w:name w:val="List Paragraph"/>
    <w:basedOn w:val="Normal"/>
    <w:uiPriority w:val="34"/>
    <w:qFormat/>
    <w:rsid w:val="00B720E8"/>
    <w:pPr>
      <w:bidi/>
      <w:spacing w:after="200" w:line="276" w:lineRule="auto"/>
      <w:ind w:left="720"/>
      <w:contextualSpacing/>
    </w:pPr>
    <w:rPr>
      <w:rFonts w:ascii="Calibri" w:eastAsia="Calibri" w:hAnsi="Calibri" w:cs="Arial"/>
      <w:sz w:val="22"/>
      <w:szCs w:val="22"/>
      <w:lang w:val="en-US" w:bidi="fa-IR"/>
    </w:rPr>
  </w:style>
  <w:style w:type="paragraph" w:customStyle="1" w:styleId="Default">
    <w:name w:val="Default"/>
    <w:rsid w:val="0001074B"/>
    <w:pPr>
      <w:autoSpaceDE w:val="0"/>
      <w:autoSpaceDN w:val="0"/>
      <w:adjustRightInd w:val="0"/>
    </w:pPr>
    <w:rPr>
      <w:rFonts w:ascii="CapitoliumNews" w:eastAsia="Calibri" w:hAnsi="CapitoliumNews" w:cs="CapitoliumNews"/>
      <w:color w:val="000000"/>
      <w:sz w:val="24"/>
      <w:szCs w:val="24"/>
    </w:rPr>
  </w:style>
  <w:style w:type="character" w:customStyle="1" w:styleId="FooterChar">
    <w:name w:val="Footer Char"/>
    <w:basedOn w:val="DefaultParagraphFont"/>
    <w:link w:val="Footer"/>
    <w:uiPriority w:val="99"/>
    <w:rsid w:val="00EC0466"/>
    <w:rPr>
      <w:sz w:val="24"/>
      <w:szCs w:val="24"/>
      <w:lang w:val="en-GB" w:bidi="ar-SA"/>
    </w:rPr>
  </w:style>
  <w:style w:type="character" w:customStyle="1" w:styleId="shorttext">
    <w:name w:val="short_text"/>
    <w:basedOn w:val="DefaultParagraphFont"/>
    <w:rsid w:val="001337D1"/>
  </w:style>
  <w:style w:type="character" w:customStyle="1" w:styleId="hps">
    <w:name w:val="hps"/>
    <w:basedOn w:val="DefaultParagraphFont"/>
    <w:rsid w:val="001337D1"/>
  </w:style>
  <w:style w:type="table" w:styleId="TableGrid">
    <w:name w:val="Table Grid"/>
    <w:basedOn w:val="TableNormal"/>
    <w:uiPriority w:val="59"/>
    <w:rsid w:val="00A2504C"/>
    <w:rPr>
      <w:rFonts w:ascii="Calibri" w:eastAsia="Calibri"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hmadipour@kmu.ac.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Type of article: Original</vt:lpstr>
    </vt:vector>
  </TitlesOfParts>
  <Company>DKPH</Company>
  <LinksUpToDate>false</LinksUpToDate>
  <CharactersWithSpaces>13406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article: Original</dc:title>
  <dc:subject/>
  <dc:creator>DKPH</dc:creator>
  <cp:keywords/>
  <dc:description/>
  <cp:lastModifiedBy>Home</cp:lastModifiedBy>
  <cp:revision>18</cp:revision>
  <dcterms:created xsi:type="dcterms:W3CDTF">2015-03-08T15:57:00Z</dcterms:created>
  <dcterms:modified xsi:type="dcterms:W3CDTF">2015-03-10T05:25:00Z</dcterms:modified>
</cp:coreProperties>
</file>