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2C" w:rsidRPr="00B04967" w:rsidRDefault="00937D2C" w:rsidP="00937D2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04967">
        <w:rPr>
          <w:rFonts w:ascii="Times New Roman" w:hAnsi="Times New Roman" w:cs="Times New Roman"/>
          <w:b/>
          <w:sz w:val="28"/>
          <w:szCs w:val="28"/>
        </w:rPr>
        <w:t>How do Ethics Committee members and Medical Researchers view public engagement in the ethical conduct of biobanking research?  Perspectives from India</w:t>
      </w:r>
    </w:p>
    <w:p w:rsidR="00937D2C" w:rsidRPr="00B7072F" w:rsidRDefault="00937D2C" w:rsidP="00937D2C">
      <w:pPr>
        <w:rPr>
          <w:rFonts w:ascii="Times New Roman" w:hAnsi="Times New Roman" w:cs="Times New Roman"/>
          <w:sz w:val="24"/>
          <w:szCs w:val="24"/>
        </w:rPr>
      </w:pPr>
      <w:r w:rsidRPr="00B7072F">
        <w:rPr>
          <w:rFonts w:ascii="Times New Roman" w:hAnsi="Times New Roman" w:cs="Times New Roman"/>
          <w:sz w:val="24"/>
          <w:szCs w:val="24"/>
        </w:rPr>
        <w:t xml:space="preserve">Manjulika Vaz </w:t>
      </w: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7072F">
        <w:rPr>
          <w:rFonts w:ascii="Times New Roman" w:hAnsi="Times New Roman" w:cs="Times New Roman"/>
          <w:sz w:val="24"/>
          <w:szCs w:val="24"/>
        </w:rPr>
        <w:t xml:space="preserve">, MarioVaz </w:t>
      </w: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B7072F">
        <w:rPr>
          <w:rFonts w:ascii="Times New Roman" w:hAnsi="Times New Roman" w:cs="Times New Roman"/>
          <w:sz w:val="24"/>
          <w:szCs w:val="24"/>
        </w:rPr>
        <w:t xml:space="preserve"> Srinivasan  K</w:t>
      </w: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>3,</w:t>
      </w:r>
    </w:p>
    <w:p w:rsidR="00937D2C" w:rsidRPr="00B7072F" w:rsidRDefault="00937D2C" w:rsidP="00937D2C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7072F">
        <w:rPr>
          <w:rFonts w:ascii="Times New Roman" w:hAnsi="Times New Roman" w:cs="Times New Roman"/>
          <w:sz w:val="24"/>
          <w:szCs w:val="24"/>
        </w:rPr>
        <w:t xml:space="preserve">Health and Humanities, St John’s Research Institute, </w:t>
      </w: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7072F">
        <w:rPr>
          <w:rFonts w:ascii="Times New Roman" w:hAnsi="Times New Roman" w:cs="Times New Roman"/>
          <w:sz w:val="24"/>
          <w:szCs w:val="24"/>
        </w:rPr>
        <w:t xml:space="preserve"> Department of Physiology, St John’s Medical College, Bangalore 560 034, India, </w:t>
      </w:r>
      <w:r w:rsidRPr="00B7072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7072F">
        <w:rPr>
          <w:rFonts w:ascii="Times New Roman" w:hAnsi="Times New Roman" w:cs="Times New Roman"/>
          <w:sz w:val="24"/>
          <w:szCs w:val="24"/>
        </w:rPr>
        <w:t>Department of Psychiatry, St John’s Medical College, Bangalore 560 034, Karnataka.</w:t>
      </w:r>
    </w:p>
    <w:p w:rsidR="00937D2C" w:rsidRDefault="00937D2C" w:rsidP="001D51F5">
      <w:pPr>
        <w:rPr>
          <w:rFonts w:ascii="Times New Roman" w:hAnsi="Times New Roman" w:cs="Times New Roman"/>
          <w:sz w:val="24"/>
          <w:szCs w:val="24"/>
        </w:rPr>
      </w:pPr>
    </w:p>
    <w:p w:rsidR="00937D2C" w:rsidRDefault="00937D2C" w:rsidP="001D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TABLES </w:t>
      </w:r>
    </w:p>
    <w:p w:rsidR="001D51F5" w:rsidRDefault="00B46656" w:rsidP="001D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on ‘public perceptions</w:t>
      </w:r>
      <w:r w:rsidR="009A63C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A63C6">
        <w:rPr>
          <w:rFonts w:ascii="Times New Roman" w:hAnsi="Times New Roman" w:cs="Times New Roman"/>
          <w:sz w:val="24"/>
          <w:szCs w:val="24"/>
        </w:rPr>
        <w:t xml:space="preserve">the ethical issues in </w:t>
      </w:r>
      <w:r>
        <w:rPr>
          <w:rFonts w:ascii="Times New Roman" w:hAnsi="Times New Roman" w:cs="Times New Roman"/>
          <w:sz w:val="24"/>
          <w:szCs w:val="24"/>
        </w:rPr>
        <w:t>biobanking research</w:t>
      </w:r>
      <w:r w:rsidR="009A63C6">
        <w:rPr>
          <w:rFonts w:ascii="Times New Roman" w:hAnsi="Times New Roman" w:cs="Times New Roman"/>
          <w:sz w:val="24"/>
          <w:szCs w:val="24"/>
        </w:rPr>
        <w:t xml:space="preserve"> w</w:t>
      </w:r>
      <w:r w:rsidR="001A455F">
        <w:rPr>
          <w:rFonts w:ascii="Times New Roman" w:hAnsi="Times New Roman" w:cs="Times New Roman"/>
          <w:sz w:val="24"/>
          <w:szCs w:val="24"/>
        </w:rPr>
        <w:t>ere</w:t>
      </w:r>
      <w:r w:rsidR="009A63C6">
        <w:rPr>
          <w:rFonts w:ascii="Times New Roman" w:hAnsi="Times New Roman" w:cs="Times New Roman"/>
          <w:sz w:val="24"/>
          <w:szCs w:val="24"/>
        </w:rPr>
        <w:t xml:space="preserve"> sourced from the following studies which were from different countries and used different types of methodology</w:t>
      </w:r>
      <w:r w:rsidR="001A4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55F">
        <w:rPr>
          <w:rFonts w:ascii="Times New Roman" w:hAnsi="Times New Roman" w:cs="Times New Roman"/>
          <w:sz w:val="24"/>
          <w:szCs w:val="24"/>
        </w:rPr>
        <w:t>The table below provides the sources</w:t>
      </w:r>
      <w:r w:rsidR="00185C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686" w:type="dxa"/>
        <w:tblInd w:w="198" w:type="dxa"/>
        <w:tblLook w:val="04A0" w:firstRow="1" w:lastRow="0" w:firstColumn="1" w:lastColumn="0" w:noHBand="0" w:noVBand="1"/>
      </w:tblPr>
      <w:tblGrid>
        <w:gridCol w:w="2070"/>
        <w:gridCol w:w="2126"/>
        <w:gridCol w:w="1782"/>
        <w:gridCol w:w="1791"/>
        <w:gridCol w:w="1917"/>
      </w:tblGrid>
      <w:tr w:rsidR="001D51F5" w:rsidRPr="00257B07" w:rsidTr="007F1D89">
        <w:trPr>
          <w:trHeight w:val="953"/>
        </w:trPr>
        <w:tc>
          <w:tcPr>
            <w:tcW w:w="2070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Country</w:t>
            </w: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AE"/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>Methodology</w:t>
            </w: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AF"/>
            </w: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126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>N. America (US, Canada)</w:t>
            </w:r>
          </w:p>
        </w:tc>
        <w:tc>
          <w:tcPr>
            <w:tcW w:w="1782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>Europe (including UK)</w:t>
            </w:r>
          </w:p>
        </w:tc>
        <w:tc>
          <w:tcPr>
            <w:tcW w:w="1791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>Australia/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New Zealand</w:t>
            </w:r>
          </w:p>
        </w:tc>
        <w:tc>
          <w:tcPr>
            <w:tcW w:w="1917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>Asia / Africa</w:t>
            </w:r>
          </w:p>
        </w:tc>
      </w:tr>
      <w:tr w:rsidR="001D51F5" w:rsidRPr="00257B07" w:rsidTr="007F1D89">
        <w:tc>
          <w:tcPr>
            <w:tcW w:w="2070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Qualitative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(Focus Groups/ In-depth Interviews)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507B" w:rsidRDefault="00D5507B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Public Deliberation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1D51F5" w:rsidRDefault="001D51F5" w:rsidP="00D5507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Simon CM et al 2011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 xml:space="preserve"> Iowa, USA), Luque et al 2012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Florida, USA, Reddy DS,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 xml:space="preserve"> USA</w:t>
            </w:r>
            <w:r w:rsidR="00D5507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Tauali`i, M 2014</w:t>
            </w:r>
            <w:r w:rsidR="00D5507B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Hawaii</w:t>
            </w:r>
            <w:r w:rsidR="00D550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D51F5" w:rsidRPr="00257B07" w:rsidRDefault="001D51F5" w:rsidP="00D5507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O’Doherty et al 2012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 xml:space="preserve"> BC Canada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(21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D51F5" w:rsidRPr="00257B07" w:rsidRDefault="001D51F5" w:rsidP="00D5507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Bombard et al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 xml:space="preserve"> Ontario, Canada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(22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782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Haddow 2007, Scotland, UK, Levitt, Weldon 2005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Tutton 2007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UK 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Scott et al 2005 (New Zealand)</w:t>
            </w:r>
          </w:p>
          <w:p w:rsidR="001D51F5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5C10" w:rsidRPr="00257B07" w:rsidRDefault="006D5C10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Molster et al 2012 (Perth, W. Australia)</w:t>
            </w:r>
          </w:p>
        </w:tc>
        <w:tc>
          <w:tcPr>
            <w:tcW w:w="1917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Asai et al Igbe &amp; Adebamowo, 2012 (Nigeria), Hate K et al 2015 (India) Vaz et al 2015 (India)</w:t>
            </w:r>
          </w:p>
        </w:tc>
      </w:tr>
      <w:tr w:rsidR="001D51F5" w:rsidRPr="00257B07" w:rsidTr="007F1D89">
        <w:tc>
          <w:tcPr>
            <w:tcW w:w="2070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Quantitative </w:t>
            </w: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(Surveys – online, face to face)</w:t>
            </w:r>
          </w:p>
        </w:tc>
        <w:tc>
          <w:tcPr>
            <w:tcW w:w="2126" w:type="dxa"/>
          </w:tcPr>
          <w:p w:rsidR="001D51F5" w:rsidRPr="00257B07" w:rsidRDefault="001D51F5" w:rsidP="00F35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Kaufman et al 2009, (USA), Master et al, 2013 (Ontario, Canada) Page et al 2016 (Alberta, Canada), Erwin D et al (NY, USA, 2013)</w:t>
            </w:r>
          </w:p>
        </w:tc>
        <w:tc>
          <w:tcPr>
            <w:tcW w:w="1782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Goodson &amp; Vernon 2004 (UK); Hoeyer et al 2004, Johnson et al 2008 (Sweden) Lewis et al 2013 (mixed methods –pan UK)</w:t>
            </w:r>
          </w:p>
        </w:tc>
        <w:tc>
          <w:tcPr>
            <w:tcW w:w="1791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Ahram et al, 2013 (Jordan) Ahram et al, 2014 (Jordan)</w:t>
            </w:r>
          </w:p>
        </w:tc>
      </w:tr>
      <w:tr w:rsidR="001D51F5" w:rsidRPr="00257B07" w:rsidTr="007F1D89">
        <w:tc>
          <w:tcPr>
            <w:tcW w:w="2070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Triangulation </w:t>
            </w:r>
            <w:r w:rsidRPr="006773A7">
              <w:rPr>
                <w:rFonts w:ascii="Times New Roman" w:hAnsi="Times New Roman" w:cs="Times New Roman"/>
                <w:sz w:val="20"/>
                <w:szCs w:val="20"/>
              </w:rPr>
              <w:t xml:space="preserve">(studies comparing  multiple perspectives including multiple studies such 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</w:t>
            </w:r>
            <w:r w:rsidRPr="00873952">
              <w:rPr>
                <w:rFonts w:ascii="Times New Roman" w:hAnsi="Times New Roman" w:cs="Times New Roman"/>
                <w:sz w:val="20"/>
                <w:szCs w:val="20"/>
              </w:rPr>
              <w:t>eviews</w:t>
            </w:r>
            <w:r w:rsidRPr="006773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Goddard 2007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Virani, Longstaff 2015 (BC, Canada)</w:t>
            </w:r>
          </w:p>
        </w:tc>
        <w:tc>
          <w:tcPr>
            <w:tcW w:w="1782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Hoyer K, 2010 (Denmark)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Machado, Silva 2015 (Portugal)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D’Abramo et al 2015 (Germany)</w:t>
            </w:r>
          </w:p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Tupsela et al 2016 (Denmark)</w:t>
            </w:r>
          </w:p>
        </w:tc>
        <w:tc>
          <w:tcPr>
            <w:tcW w:w="1791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1D51F5" w:rsidRPr="00257B07" w:rsidRDefault="001D51F5" w:rsidP="007F1D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B07">
              <w:rPr>
                <w:rFonts w:ascii="Times New Roman" w:hAnsi="Times New Roman" w:cs="Times New Roman"/>
                <w:sz w:val="20"/>
                <w:szCs w:val="20"/>
              </w:rPr>
              <w:t>Gottweis et al 2011 (Korea, China, across the word)</w:t>
            </w:r>
          </w:p>
        </w:tc>
      </w:tr>
    </w:tbl>
    <w:p w:rsidR="001D51F5" w:rsidRDefault="001D51F5" w:rsidP="001D51F5">
      <w:pPr>
        <w:jc w:val="center"/>
      </w:pPr>
      <w:r>
        <w:rPr>
          <w:u w:val="single"/>
        </w:rPr>
        <w:lastRenderedPageBreak/>
        <w:t xml:space="preserve">Table </w:t>
      </w:r>
      <w:r w:rsidR="00F352EB">
        <w:rPr>
          <w:u w:val="single"/>
        </w:rPr>
        <w:t>*</w:t>
      </w:r>
      <w:r>
        <w:rPr>
          <w:u w:val="single"/>
        </w:rPr>
        <w:t xml:space="preserve">: </w:t>
      </w:r>
      <w:r>
        <w:t>Studies reviewed on public perceptions of biobanks / biobanking research</w:t>
      </w:r>
    </w:p>
    <w:p w:rsidR="00971436" w:rsidRPr="00C2057D" w:rsidRDefault="00C2057D" w:rsidP="00C2057D">
      <w:pPr>
        <w:rPr>
          <w:rFonts w:ascii="Times New Roman" w:hAnsi="Times New Roman" w:cs="Times New Roman"/>
          <w:b/>
          <w:sz w:val="24"/>
          <w:szCs w:val="24"/>
        </w:rPr>
      </w:pPr>
      <w:r w:rsidRPr="00C2057D">
        <w:rPr>
          <w:rFonts w:ascii="Times New Roman" w:hAnsi="Times New Roman" w:cs="Times New Roman"/>
          <w:b/>
          <w:sz w:val="24"/>
          <w:szCs w:val="24"/>
        </w:rPr>
        <w:t>Meta themes towards a new construct for public engagement</w:t>
      </w:r>
      <w:r w:rsidR="00971436" w:rsidRPr="00C205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436" w:rsidRPr="006105D2" w:rsidRDefault="00971436" w:rsidP="00971436">
      <w:p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 xml:space="preserve">The meta themes and unified concepts that we see emerging from the primary data are a dynamic movement from specific issues of biobanking to larger ethical premises which constitutes the need for public engagement.  Table </w:t>
      </w:r>
      <w:r w:rsidR="00C2057D">
        <w:rPr>
          <w:rFonts w:ascii="Times New Roman" w:hAnsi="Times New Roman" w:cs="Times New Roman"/>
          <w:sz w:val="24"/>
          <w:szCs w:val="24"/>
        </w:rPr>
        <w:t>*</w:t>
      </w:r>
      <w:r w:rsidRPr="006105D2">
        <w:rPr>
          <w:rFonts w:ascii="Times New Roman" w:hAnsi="Times New Roman" w:cs="Times New Roman"/>
          <w:sz w:val="24"/>
          <w:szCs w:val="24"/>
        </w:rPr>
        <w:t xml:space="preserve"> below shows this as a linear progression.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71436" w:rsidTr="006005C5">
        <w:tc>
          <w:tcPr>
            <w:tcW w:w="2394" w:type="dxa"/>
          </w:tcPr>
          <w:p w:rsidR="00971436" w:rsidRPr="00174BA0" w:rsidRDefault="00971436" w:rsidP="006005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4BA0">
              <w:rPr>
                <w:rFonts w:ascii="Times New Roman" w:hAnsi="Times New Roman" w:cs="Times New Roman"/>
                <w:b/>
              </w:rPr>
              <w:t>Theme</w:t>
            </w:r>
          </w:p>
        </w:tc>
        <w:tc>
          <w:tcPr>
            <w:tcW w:w="2394" w:type="dxa"/>
          </w:tcPr>
          <w:p w:rsidR="00971436" w:rsidRPr="00174BA0" w:rsidRDefault="00971436" w:rsidP="006005C5">
            <w:pPr>
              <w:rPr>
                <w:rFonts w:ascii="Times New Roman" w:hAnsi="Times New Roman" w:cs="Times New Roman"/>
                <w:b/>
              </w:rPr>
            </w:pPr>
            <w:r w:rsidRPr="00174BA0">
              <w:rPr>
                <w:rFonts w:ascii="Times New Roman" w:hAnsi="Times New Roman" w:cs="Times New Roman"/>
                <w:b/>
              </w:rPr>
              <w:t xml:space="preserve">Key Public Perception </w:t>
            </w:r>
          </w:p>
        </w:tc>
        <w:tc>
          <w:tcPr>
            <w:tcW w:w="2394" w:type="dxa"/>
          </w:tcPr>
          <w:p w:rsidR="00971436" w:rsidRPr="00174BA0" w:rsidRDefault="00971436" w:rsidP="006005C5">
            <w:pPr>
              <w:rPr>
                <w:rFonts w:ascii="Times New Roman" w:hAnsi="Times New Roman" w:cs="Times New Roman"/>
                <w:b/>
              </w:rPr>
            </w:pPr>
            <w:r w:rsidRPr="00174BA0">
              <w:rPr>
                <w:rFonts w:ascii="Times New Roman" w:hAnsi="Times New Roman" w:cs="Times New Roman"/>
                <w:b/>
              </w:rPr>
              <w:t>Key MR / EC Perception</w:t>
            </w:r>
          </w:p>
        </w:tc>
        <w:tc>
          <w:tcPr>
            <w:tcW w:w="2394" w:type="dxa"/>
          </w:tcPr>
          <w:p w:rsidR="00971436" w:rsidRPr="00174BA0" w:rsidRDefault="00971436" w:rsidP="006005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4BA0">
              <w:rPr>
                <w:rFonts w:ascii="Times New Roman" w:hAnsi="Times New Roman" w:cs="Times New Roman"/>
                <w:b/>
              </w:rPr>
              <w:t>Meta Theme</w:t>
            </w:r>
          </w:p>
        </w:tc>
      </w:tr>
      <w:tr w:rsidR="00971436" w:rsidTr="006005C5">
        <w:tc>
          <w:tcPr>
            <w:tcW w:w="2394" w:type="dxa"/>
          </w:tcPr>
          <w:p w:rsidR="00971436" w:rsidRPr="00310BDE" w:rsidRDefault="00971436" w:rsidP="009714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Expectations of Biobanking Research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Societal Benefit – individual Therapeutic benefit 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Scientific Benefit – Individual/ Private party benefit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to ‘Two Way Altruism’ – Public contributes to science and science gives back to public in tangible ways.</w:t>
            </w:r>
          </w:p>
        </w:tc>
      </w:tr>
      <w:tr w:rsidR="00971436" w:rsidTr="006005C5">
        <w:tc>
          <w:tcPr>
            <w:tcW w:w="2394" w:type="dxa"/>
          </w:tcPr>
          <w:p w:rsidR="00971436" w:rsidRPr="00CE7960" w:rsidRDefault="00971436" w:rsidP="009714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 / Fears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Overcome by transparency and credibility of the researcher and institution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Adhering to regulations, Paternalistic approach to fears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Accountability of researchers to the public </w:t>
            </w:r>
          </w:p>
        </w:tc>
      </w:tr>
      <w:tr w:rsidR="00971436" w:rsidTr="006005C5">
        <w:tc>
          <w:tcPr>
            <w:tcW w:w="2394" w:type="dxa"/>
          </w:tcPr>
          <w:p w:rsidR="00971436" w:rsidRPr="000D0959" w:rsidRDefault="00971436" w:rsidP="009714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Autonomy and Consent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Willing to give up control if motives of the researcher, the implications of the research, and the impact on the greater good are communicated over time.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Driven by principlist, liberalistic, individualistic  regulations 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Consultative processes and open, ongoing communication, listening to participants and the public.</w:t>
            </w:r>
          </w:p>
        </w:tc>
      </w:tr>
      <w:tr w:rsidR="00971436" w:rsidTr="006005C5">
        <w:tc>
          <w:tcPr>
            <w:tcW w:w="2394" w:type="dxa"/>
          </w:tcPr>
          <w:p w:rsidR="00971436" w:rsidRPr="008A1E49" w:rsidRDefault="00971436" w:rsidP="009714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Engagement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Sharing of new information, new knowledge back to the public; Have a say in the governance of the biobank, and in policy implications of results.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role. Need public to be educated and aware of research, the purpose of their involvement. Media can be involved.</w:t>
            </w:r>
          </w:p>
        </w:tc>
        <w:tc>
          <w:tcPr>
            <w:tcW w:w="2394" w:type="dxa"/>
          </w:tcPr>
          <w:p w:rsidR="00971436" w:rsidRDefault="00971436" w:rsidP="0060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– Researcher –Institution – ECs joint stakeholders.</w:t>
            </w:r>
          </w:p>
        </w:tc>
      </w:tr>
    </w:tbl>
    <w:p w:rsidR="00971436" w:rsidRDefault="00971436" w:rsidP="009714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C2057D">
        <w:rPr>
          <w:rFonts w:ascii="Times New Roman" w:hAnsi="Times New Roman" w:cs="Times New Roman"/>
        </w:rPr>
        <w:t>*</w:t>
      </w:r>
      <w:r w:rsidR="00133D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Meta themes towards a new construct for public engagement </w:t>
      </w:r>
    </w:p>
    <w:p w:rsidR="00971436" w:rsidRPr="006105D2" w:rsidRDefault="00971436" w:rsidP="00971436">
      <w:p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>This progression constitutes:</w:t>
      </w:r>
    </w:p>
    <w:p w:rsidR="00971436" w:rsidRPr="006105D2" w:rsidRDefault="00971436" w:rsidP="00971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>A moving away from an individual focus to a focus on the ‘collective’, the family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05D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6105D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71436" w:rsidRPr="006105D2" w:rsidRDefault="00971436" w:rsidP="00971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 xml:space="preserve">Informed consent not from the limited lens of individual autonomy but from the  direction of researcher accountability;  </w:t>
      </w:r>
    </w:p>
    <w:p w:rsidR="00971436" w:rsidRPr="006105D2" w:rsidRDefault="00971436" w:rsidP="00971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 xml:space="preserve">A move from a limited, positivist set of ethics rules  to an openness and transparency of research expectations, purpose, limitations and implications; </w:t>
      </w:r>
    </w:p>
    <w:p w:rsidR="00971436" w:rsidRPr="006105D2" w:rsidRDefault="00971436" w:rsidP="00971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5D2">
        <w:rPr>
          <w:rFonts w:ascii="Times New Roman" w:hAnsi="Times New Roman" w:cs="Times New Roman"/>
          <w:sz w:val="24"/>
          <w:szCs w:val="24"/>
        </w:rPr>
        <w:t xml:space="preserve">A consultative process of public opinion being heard and not just being informed. </w:t>
      </w:r>
    </w:p>
    <w:p w:rsidR="00971436" w:rsidRPr="00F82EDF" w:rsidRDefault="00971436" w:rsidP="00971436">
      <w:pPr>
        <w:rPr>
          <w:rFonts w:ascii="Times New Roman" w:hAnsi="Times New Roman" w:cs="Times New Roman"/>
        </w:rPr>
      </w:pPr>
      <w:r w:rsidRPr="006105D2">
        <w:rPr>
          <w:rFonts w:ascii="Times New Roman" w:hAnsi="Times New Roman" w:cs="Times New Roman"/>
          <w:sz w:val="24"/>
          <w:szCs w:val="24"/>
        </w:rPr>
        <w:t>The overarching value being propounded is one of ‘trustworthiness’. This has been diagrammatically represented in Figure 1</w:t>
      </w:r>
      <w:r w:rsidRPr="00F82EDF">
        <w:rPr>
          <w:rFonts w:ascii="Times New Roman" w:hAnsi="Times New Roman" w:cs="Times New Roman"/>
        </w:rPr>
        <w:t>.</w:t>
      </w:r>
    </w:p>
    <w:p w:rsidR="00971436" w:rsidRDefault="00971436" w:rsidP="00971436">
      <w:r w:rsidRPr="00B92CDA">
        <w:object w:dxaOrig="7177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5pt;height:269.2pt" o:ole="">
            <v:imagedata r:id="rId6" o:title=""/>
          </v:shape>
          <o:OLEObject Type="Embed" ProgID="PowerPoint.Slide.12" ShapeID="_x0000_i1025" DrawAspect="Content" ObjectID="_1555244437" r:id="rId7"/>
        </w:object>
      </w:r>
    </w:p>
    <w:p w:rsidR="00971436" w:rsidRDefault="00971436" w:rsidP="00971436">
      <w:pPr>
        <w:jc w:val="center"/>
      </w:pPr>
      <w:r>
        <w:t xml:space="preserve">Figure 1: Ethical premises for public engagement in biomedical research </w:t>
      </w:r>
    </w:p>
    <w:p w:rsidR="009E0886" w:rsidRDefault="009E0886"/>
    <w:sectPr w:rsidR="009E0886" w:rsidSect="009E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00BC"/>
    <w:multiLevelType w:val="hybridMultilevel"/>
    <w:tmpl w:val="9D1E0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1832AB"/>
    <w:multiLevelType w:val="hybridMultilevel"/>
    <w:tmpl w:val="D77684DA"/>
    <w:lvl w:ilvl="0" w:tplc="34D436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7568F9"/>
    <w:multiLevelType w:val="hybridMultilevel"/>
    <w:tmpl w:val="B2666B42"/>
    <w:lvl w:ilvl="0" w:tplc="973A3048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F5"/>
    <w:rsid w:val="00133DF4"/>
    <w:rsid w:val="00173FD4"/>
    <w:rsid w:val="00185CB6"/>
    <w:rsid w:val="001A455F"/>
    <w:rsid w:val="001D51F5"/>
    <w:rsid w:val="00223F1B"/>
    <w:rsid w:val="003F1438"/>
    <w:rsid w:val="006A061A"/>
    <w:rsid w:val="006D5C10"/>
    <w:rsid w:val="007446E7"/>
    <w:rsid w:val="00937D2C"/>
    <w:rsid w:val="00971436"/>
    <w:rsid w:val="009A63C6"/>
    <w:rsid w:val="009E0886"/>
    <w:rsid w:val="00B46656"/>
    <w:rsid w:val="00C2057D"/>
    <w:rsid w:val="00D5507B"/>
    <w:rsid w:val="00DE774E"/>
    <w:rsid w:val="00E14E74"/>
    <w:rsid w:val="00F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40" w:lineRule="atLeast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F5"/>
    <w:pPr>
      <w:autoSpaceDE w:val="0"/>
      <w:autoSpaceDN w:val="0"/>
      <w:adjustRightInd w:val="0"/>
      <w:spacing w:before="0" w:after="200" w:line="276" w:lineRule="auto"/>
      <w:ind w:left="0"/>
      <w:jc w:val="left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1F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5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1F5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40" w:lineRule="atLeast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F5"/>
    <w:pPr>
      <w:autoSpaceDE w:val="0"/>
      <w:autoSpaceDN w:val="0"/>
      <w:adjustRightInd w:val="0"/>
      <w:spacing w:before="0" w:after="200" w:line="276" w:lineRule="auto"/>
      <w:ind w:left="0"/>
      <w:jc w:val="left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1F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5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1F5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manjulikavaz</dc:creator>
  <cp:lastModifiedBy>Admin</cp:lastModifiedBy>
  <cp:revision>2</cp:revision>
  <dcterms:created xsi:type="dcterms:W3CDTF">2017-05-02T10:04:00Z</dcterms:created>
  <dcterms:modified xsi:type="dcterms:W3CDTF">2017-05-02T10:04:00Z</dcterms:modified>
</cp:coreProperties>
</file>