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E63" w:rsidRDefault="00BD3E63">
      <w:pPr>
        <w:pStyle w:val="BodyText"/>
        <w:spacing w:line="480" w:lineRule="auto"/>
        <w:rPr>
          <w:rFonts w:ascii="Times New Roman" w:eastAsia="Times New Roman" w:hAnsi="Times New Roman" w:cs="Times New Roman"/>
          <w:b/>
          <w:bCs/>
          <w:sz w:val="24"/>
          <w:szCs w:val="24"/>
        </w:rPr>
      </w:pPr>
      <w:bookmarkStart w:id="0" w:name="_GoBack"/>
      <w:bookmarkEnd w:id="0"/>
    </w:p>
    <w:p w:rsidR="00BD3E63" w:rsidRDefault="0068010E">
      <w:pPr>
        <w:pStyle w:val="BodyText"/>
        <w:spacing w:line="480" w:lineRule="auto"/>
        <w:rPr>
          <w:rFonts w:ascii="Times New Roman" w:eastAsia="Times New Roman" w:hAnsi="Times New Roman" w:cs="Times New Roman"/>
          <w:b/>
          <w:bCs/>
          <w:sz w:val="24"/>
          <w:szCs w:val="24"/>
        </w:rPr>
      </w:pPr>
      <w:r>
        <w:rPr>
          <w:rFonts w:ascii="Times New Roman" w:hAnsi="Times New Roman"/>
          <w:b/>
          <w:bCs/>
          <w:sz w:val="24"/>
          <w:szCs w:val="24"/>
        </w:rPr>
        <w:t>Declarations of conflict of interest are still inadequate</w:t>
      </w:r>
    </w:p>
    <w:p w:rsidR="006546D3" w:rsidRPr="007268CD" w:rsidRDefault="006546D3" w:rsidP="006546D3">
      <w:pPr>
        <w:pStyle w:val="BodyText"/>
        <w:rPr>
          <w:rFonts w:ascii="Times New Roman" w:eastAsia="Times New Roman" w:hAnsi="Times New Roman" w:cs="Times New Roman"/>
          <w:sz w:val="24"/>
          <w:szCs w:val="24"/>
        </w:rPr>
      </w:pPr>
      <w:r w:rsidRPr="007268CD">
        <w:rPr>
          <w:rFonts w:ascii="Times New Roman" w:eastAsia="Times New Roman" w:hAnsi="Times New Roman" w:cs="Times New Roman"/>
          <w:sz w:val="24"/>
          <w:szCs w:val="24"/>
        </w:rPr>
        <w:t xml:space="preserve">Lars H Breimer, MA PhD BM </w:t>
      </w:r>
      <w:proofErr w:type="spellStart"/>
      <w:r w:rsidRPr="007268CD">
        <w:rPr>
          <w:rFonts w:ascii="Times New Roman" w:eastAsia="Times New Roman" w:hAnsi="Times New Roman" w:cs="Times New Roman"/>
          <w:sz w:val="24"/>
          <w:szCs w:val="24"/>
        </w:rPr>
        <w:t>BCh</w:t>
      </w:r>
      <w:proofErr w:type="spellEnd"/>
      <w:r w:rsidRPr="007268CD">
        <w:rPr>
          <w:rFonts w:ascii="Times New Roman" w:eastAsia="Times New Roman" w:hAnsi="Times New Roman" w:cs="Times New Roman"/>
          <w:sz w:val="24"/>
          <w:szCs w:val="24"/>
        </w:rPr>
        <w:t xml:space="preserve"> </w:t>
      </w:r>
      <w:proofErr w:type="spellStart"/>
      <w:r w:rsidRPr="007268CD">
        <w:rPr>
          <w:rFonts w:ascii="Times New Roman" w:eastAsia="Times New Roman" w:hAnsi="Times New Roman" w:cs="Times New Roman"/>
          <w:sz w:val="24"/>
          <w:szCs w:val="24"/>
        </w:rPr>
        <w:t>FRCPath</w:t>
      </w:r>
      <w:proofErr w:type="spellEnd"/>
      <w:r w:rsidRPr="007268CD">
        <w:rPr>
          <w:rFonts w:ascii="Times New Roman" w:eastAsia="Times New Roman" w:hAnsi="Times New Roman" w:cs="Times New Roman"/>
          <w:sz w:val="24"/>
          <w:szCs w:val="24"/>
        </w:rPr>
        <w:tab/>
      </w:r>
      <w:r w:rsidRPr="007268CD">
        <w:rPr>
          <w:rFonts w:ascii="Times New Roman" w:eastAsia="Times New Roman" w:hAnsi="Times New Roman" w:cs="Times New Roman"/>
          <w:sz w:val="24"/>
          <w:szCs w:val="24"/>
        </w:rPr>
        <w:tab/>
      </w:r>
    </w:p>
    <w:p w:rsidR="006546D3" w:rsidRPr="007268CD" w:rsidRDefault="006546D3" w:rsidP="006546D3">
      <w:pPr>
        <w:pStyle w:val="BodyText"/>
        <w:rPr>
          <w:rFonts w:ascii="Times New Roman" w:eastAsia="Times New Roman" w:hAnsi="Times New Roman" w:cs="Times New Roman"/>
          <w:sz w:val="24"/>
          <w:szCs w:val="24"/>
        </w:rPr>
      </w:pPr>
      <w:r w:rsidRPr="007268CD">
        <w:rPr>
          <w:rFonts w:ascii="Times New Roman" w:eastAsia="Times New Roman" w:hAnsi="Times New Roman" w:cs="Times New Roman"/>
          <w:sz w:val="24"/>
          <w:szCs w:val="24"/>
        </w:rPr>
        <w:t>Docent, Senior Consultant</w:t>
      </w:r>
      <w:r w:rsidRPr="007268CD">
        <w:rPr>
          <w:rFonts w:ascii="Times New Roman" w:eastAsia="Times New Roman" w:hAnsi="Times New Roman" w:cs="Times New Roman"/>
          <w:sz w:val="24"/>
          <w:szCs w:val="24"/>
        </w:rPr>
        <w:tab/>
      </w:r>
      <w:r w:rsidRPr="007268CD">
        <w:rPr>
          <w:rFonts w:ascii="Times New Roman" w:eastAsia="Times New Roman" w:hAnsi="Times New Roman" w:cs="Times New Roman"/>
          <w:sz w:val="24"/>
          <w:szCs w:val="24"/>
        </w:rPr>
        <w:tab/>
      </w:r>
      <w:r w:rsidRPr="007268CD">
        <w:rPr>
          <w:rFonts w:ascii="Times New Roman" w:eastAsia="Times New Roman" w:hAnsi="Times New Roman" w:cs="Times New Roman"/>
          <w:sz w:val="24"/>
          <w:szCs w:val="24"/>
        </w:rPr>
        <w:tab/>
        <w:t xml:space="preserve"> </w:t>
      </w:r>
    </w:p>
    <w:p w:rsidR="006546D3" w:rsidRPr="007268CD" w:rsidRDefault="006546D3" w:rsidP="006546D3">
      <w:pPr>
        <w:pStyle w:val="BodyText"/>
        <w:rPr>
          <w:rFonts w:ascii="Times New Roman" w:eastAsia="Times New Roman" w:hAnsi="Times New Roman" w:cs="Times New Roman"/>
          <w:sz w:val="24"/>
          <w:szCs w:val="24"/>
        </w:rPr>
      </w:pPr>
      <w:proofErr w:type="spellStart"/>
      <w:r w:rsidRPr="007268CD">
        <w:rPr>
          <w:rFonts w:ascii="Times New Roman" w:eastAsia="Times New Roman" w:hAnsi="Times New Roman" w:cs="Times New Roman"/>
          <w:sz w:val="24"/>
          <w:szCs w:val="24"/>
        </w:rPr>
        <w:t>Dept</w:t>
      </w:r>
      <w:proofErr w:type="spellEnd"/>
      <w:r w:rsidRPr="007268CD">
        <w:rPr>
          <w:rFonts w:ascii="Times New Roman" w:eastAsia="Times New Roman" w:hAnsi="Times New Roman" w:cs="Times New Roman"/>
          <w:sz w:val="24"/>
          <w:szCs w:val="24"/>
        </w:rPr>
        <w:t xml:space="preserve"> of Laboratory Medicine</w:t>
      </w:r>
      <w:r w:rsidRPr="007268CD">
        <w:rPr>
          <w:rFonts w:ascii="Times New Roman" w:eastAsia="Times New Roman" w:hAnsi="Times New Roman" w:cs="Times New Roman"/>
          <w:sz w:val="24"/>
          <w:szCs w:val="24"/>
        </w:rPr>
        <w:tab/>
      </w:r>
      <w:r w:rsidRPr="007268CD">
        <w:rPr>
          <w:rFonts w:ascii="Times New Roman" w:eastAsia="Times New Roman" w:hAnsi="Times New Roman" w:cs="Times New Roman"/>
          <w:sz w:val="24"/>
          <w:szCs w:val="24"/>
        </w:rPr>
        <w:tab/>
      </w:r>
    </w:p>
    <w:p w:rsidR="006546D3" w:rsidRPr="007268CD" w:rsidRDefault="006546D3" w:rsidP="006546D3">
      <w:pPr>
        <w:pStyle w:val="BodyText"/>
        <w:rPr>
          <w:rFonts w:ascii="Times New Roman" w:eastAsia="Times New Roman" w:hAnsi="Times New Roman" w:cs="Times New Roman"/>
          <w:sz w:val="24"/>
          <w:szCs w:val="24"/>
        </w:rPr>
      </w:pPr>
      <w:r w:rsidRPr="007268CD">
        <w:rPr>
          <w:rFonts w:ascii="Times New Roman" w:eastAsia="Times New Roman" w:hAnsi="Times New Roman" w:cs="Times New Roman"/>
          <w:sz w:val="24"/>
          <w:szCs w:val="24"/>
        </w:rPr>
        <w:t>Örebro University Hospital</w:t>
      </w:r>
      <w:r w:rsidRPr="007268CD">
        <w:rPr>
          <w:rFonts w:ascii="Times New Roman" w:eastAsia="Times New Roman" w:hAnsi="Times New Roman" w:cs="Times New Roman"/>
          <w:sz w:val="24"/>
          <w:szCs w:val="24"/>
        </w:rPr>
        <w:tab/>
      </w:r>
      <w:r w:rsidRPr="007268CD">
        <w:rPr>
          <w:rFonts w:ascii="Times New Roman" w:eastAsia="Times New Roman" w:hAnsi="Times New Roman" w:cs="Times New Roman"/>
          <w:sz w:val="24"/>
          <w:szCs w:val="24"/>
        </w:rPr>
        <w:tab/>
      </w:r>
    </w:p>
    <w:p w:rsidR="006546D3" w:rsidRPr="007268CD" w:rsidRDefault="006546D3" w:rsidP="006546D3">
      <w:pPr>
        <w:pStyle w:val="BodyText"/>
        <w:rPr>
          <w:rFonts w:ascii="Times New Roman" w:eastAsia="Times New Roman" w:hAnsi="Times New Roman" w:cs="Times New Roman"/>
          <w:sz w:val="24"/>
          <w:szCs w:val="24"/>
        </w:rPr>
      </w:pPr>
      <w:r w:rsidRPr="007268CD">
        <w:rPr>
          <w:rFonts w:ascii="Times New Roman" w:eastAsia="Times New Roman" w:hAnsi="Times New Roman" w:cs="Times New Roman"/>
          <w:sz w:val="24"/>
          <w:szCs w:val="24"/>
        </w:rPr>
        <w:t>SE-70185 Örebro, Sweden</w:t>
      </w:r>
      <w:r w:rsidRPr="007268CD">
        <w:rPr>
          <w:rFonts w:ascii="Times New Roman" w:eastAsia="Times New Roman" w:hAnsi="Times New Roman" w:cs="Times New Roman"/>
          <w:sz w:val="24"/>
          <w:szCs w:val="24"/>
        </w:rPr>
        <w:tab/>
      </w:r>
      <w:r w:rsidRPr="007268CD">
        <w:rPr>
          <w:rFonts w:ascii="Times New Roman" w:eastAsia="Times New Roman" w:hAnsi="Times New Roman" w:cs="Times New Roman"/>
          <w:sz w:val="24"/>
          <w:szCs w:val="24"/>
        </w:rPr>
        <w:tab/>
      </w:r>
    </w:p>
    <w:p w:rsidR="006546D3" w:rsidRPr="007268CD" w:rsidRDefault="008A540C" w:rsidP="006546D3">
      <w:pPr>
        <w:pStyle w:val="BodyText"/>
        <w:rPr>
          <w:rFonts w:ascii="Times New Roman" w:eastAsia="Times New Roman" w:hAnsi="Times New Roman" w:cs="Times New Roman"/>
          <w:sz w:val="24"/>
          <w:szCs w:val="24"/>
        </w:rPr>
      </w:pPr>
      <w:r w:rsidRPr="007268CD">
        <w:rPr>
          <w:rFonts w:ascii="Times New Roman" w:eastAsia="Times New Roman" w:hAnsi="Times New Roman" w:cs="Times New Roman"/>
          <w:sz w:val="24"/>
          <w:szCs w:val="24"/>
        </w:rPr>
        <w:t>Corresponding author</w:t>
      </w:r>
    </w:p>
    <w:p w:rsidR="008A540C" w:rsidRPr="007268CD" w:rsidRDefault="008A540C" w:rsidP="006546D3">
      <w:pPr>
        <w:pStyle w:val="BodyText"/>
        <w:rPr>
          <w:rFonts w:ascii="Times New Roman" w:eastAsia="Times New Roman" w:hAnsi="Times New Roman" w:cs="Times New Roman"/>
          <w:sz w:val="24"/>
          <w:szCs w:val="24"/>
        </w:rPr>
      </w:pPr>
    </w:p>
    <w:p w:rsidR="006546D3" w:rsidRPr="007268CD" w:rsidRDefault="006546D3" w:rsidP="006546D3">
      <w:pPr>
        <w:pStyle w:val="BodyText"/>
        <w:rPr>
          <w:rFonts w:ascii="Times New Roman" w:eastAsia="Times New Roman" w:hAnsi="Times New Roman" w:cs="Times New Roman"/>
          <w:sz w:val="24"/>
          <w:szCs w:val="24"/>
        </w:rPr>
      </w:pPr>
      <w:proofErr w:type="spellStart"/>
      <w:r w:rsidRPr="007268CD">
        <w:rPr>
          <w:rFonts w:ascii="Times New Roman" w:eastAsia="Times New Roman" w:hAnsi="Times New Roman" w:cs="Times New Roman"/>
          <w:sz w:val="24"/>
          <w:szCs w:val="24"/>
        </w:rPr>
        <w:t>Torbjö</w:t>
      </w:r>
      <w:proofErr w:type="spellEnd"/>
      <w:r w:rsidRPr="007268CD">
        <w:rPr>
          <w:rFonts w:ascii="Times New Roman" w:eastAsia="Times New Roman" w:hAnsi="Times New Roman" w:cs="Times New Roman"/>
          <w:sz w:val="24"/>
          <w:szCs w:val="24"/>
          <w:lang w:val="da-DK"/>
        </w:rPr>
        <w:t>rn K Nilsson, MD PhD</w:t>
      </w:r>
    </w:p>
    <w:p w:rsidR="006546D3" w:rsidRPr="007268CD" w:rsidRDefault="006546D3" w:rsidP="006546D3">
      <w:pPr>
        <w:pStyle w:val="BodyText"/>
        <w:rPr>
          <w:rFonts w:ascii="Times New Roman" w:eastAsia="Times New Roman" w:hAnsi="Times New Roman" w:cs="Times New Roman"/>
          <w:sz w:val="24"/>
          <w:szCs w:val="24"/>
        </w:rPr>
      </w:pPr>
      <w:r w:rsidRPr="007268CD">
        <w:rPr>
          <w:rFonts w:ascii="Times New Roman" w:eastAsia="Times New Roman" w:hAnsi="Times New Roman" w:cs="Times New Roman"/>
          <w:sz w:val="24"/>
          <w:szCs w:val="24"/>
        </w:rPr>
        <w:t>Professor, Senior Consultant</w:t>
      </w:r>
    </w:p>
    <w:p w:rsidR="006546D3" w:rsidRPr="007268CD" w:rsidRDefault="006546D3" w:rsidP="006546D3">
      <w:pPr>
        <w:pStyle w:val="BodyText"/>
        <w:rPr>
          <w:rFonts w:ascii="Times New Roman" w:eastAsia="Times New Roman" w:hAnsi="Times New Roman" w:cs="Times New Roman"/>
          <w:sz w:val="24"/>
          <w:szCs w:val="24"/>
        </w:rPr>
      </w:pPr>
      <w:proofErr w:type="spellStart"/>
      <w:r w:rsidRPr="007268CD">
        <w:rPr>
          <w:rFonts w:ascii="Times New Roman" w:eastAsia="Times New Roman" w:hAnsi="Times New Roman" w:cs="Times New Roman"/>
          <w:sz w:val="24"/>
          <w:szCs w:val="24"/>
        </w:rPr>
        <w:t>Dept</w:t>
      </w:r>
      <w:proofErr w:type="spellEnd"/>
      <w:r w:rsidRPr="007268CD">
        <w:rPr>
          <w:rFonts w:ascii="Times New Roman" w:eastAsia="Times New Roman" w:hAnsi="Times New Roman" w:cs="Times New Roman"/>
          <w:sz w:val="24"/>
          <w:szCs w:val="24"/>
        </w:rPr>
        <w:t xml:space="preserve"> of Biomedical Sciences, Clinical Chemistry</w:t>
      </w:r>
    </w:p>
    <w:p w:rsidR="006546D3" w:rsidRPr="007268CD" w:rsidRDefault="006546D3" w:rsidP="006546D3">
      <w:pPr>
        <w:pStyle w:val="BodyText"/>
        <w:rPr>
          <w:rFonts w:ascii="Times New Roman" w:eastAsia="Times New Roman" w:hAnsi="Times New Roman" w:cs="Times New Roman"/>
          <w:sz w:val="24"/>
          <w:szCs w:val="24"/>
        </w:rPr>
      </w:pPr>
      <w:proofErr w:type="spellStart"/>
      <w:r w:rsidRPr="007268CD">
        <w:rPr>
          <w:rFonts w:ascii="Times New Roman" w:eastAsia="Times New Roman" w:hAnsi="Times New Roman" w:cs="Times New Roman"/>
          <w:sz w:val="24"/>
          <w:szCs w:val="24"/>
        </w:rPr>
        <w:t>Umeå</w:t>
      </w:r>
      <w:proofErr w:type="spellEnd"/>
      <w:r w:rsidRPr="007268CD">
        <w:rPr>
          <w:rFonts w:ascii="Times New Roman" w:eastAsia="Times New Roman" w:hAnsi="Times New Roman" w:cs="Times New Roman"/>
          <w:sz w:val="24"/>
          <w:szCs w:val="24"/>
        </w:rPr>
        <w:t xml:space="preserve"> University Hospital</w:t>
      </w:r>
    </w:p>
    <w:p w:rsidR="006546D3" w:rsidRPr="00F13165" w:rsidRDefault="006546D3" w:rsidP="006546D3">
      <w:pPr>
        <w:pStyle w:val="BodyText"/>
        <w:rPr>
          <w:rFonts w:ascii="Times New Roman" w:eastAsia="Times New Roman" w:hAnsi="Times New Roman" w:cs="Times New Roman"/>
          <w:sz w:val="24"/>
          <w:szCs w:val="24"/>
        </w:rPr>
      </w:pPr>
      <w:r w:rsidRPr="00F13165">
        <w:rPr>
          <w:rFonts w:ascii="Times New Roman" w:eastAsia="Times New Roman" w:hAnsi="Times New Roman" w:cs="Times New Roman"/>
          <w:sz w:val="24"/>
          <w:szCs w:val="24"/>
        </w:rPr>
        <w:t xml:space="preserve">SE-90185 </w:t>
      </w:r>
      <w:proofErr w:type="spellStart"/>
      <w:r w:rsidRPr="00F13165">
        <w:rPr>
          <w:rFonts w:ascii="Times New Roman" w:eastAsia="Times New Roman" w:hAnsi="Times New Roman" w:cs="Times New Roman"/>
          <w:sz w:val="24"/>
          <w:szCs w:val="24"/>
        </w:rPr>
        <w:t>Umeå</w:t>
      </w:r>
      <w:proofErr w:type="spellEnd"/>
      <w:r w:rsidRPr="00F13165">
        <w:rPr>
          <w:rFonts w:ascii="Times New Roman" w:eastAsia="Times New Roman" w:hAnsi="Times New Roman" w:cs="Times New Roman"/>
          <w:sz w:val="24"/>
          <w:szCs w:val="24"/>
        </w:rPr>
        <w:t>, Sweden</w:t>
      </w:r>
    </w:p>
    <w:p w:rsidR="006546D3" w:rsidRPr="00F13165" w:rsidRDefault="006546D3" w:rsidP="006546D3">
      <w:pPr>
        <w:pStyle w:val="BodyText"/>
        <w:rPr>
          <w:rFonts w:ascii="Times New Roman" w:eastAsia="Times New Roman" w:hAnsi="Times New Roman" w:cs="Times New Roman"/>
          <w:sz w:val="24"/>
          <w:szCs w:val="24"/>
        </w:rPr>
      </w:pPr>
    </w:p>
    <w:p w:rsidR="006546D3" w:rsidRPr="00F13165" w:rsidRDefault="006546D3" w:rsidP="006546D3">
      <w:pPr>
        <w:pStyle w:val="BodyText"/>
        <w:rPr>
          <w:rFonts w:ascii="Times New Roman" w:eastAsia="Times New Roman" w:hAnsi="Times New Roman" w:cs="Times New Roman"/>
          <w:sz w:val="24"/>
          <w:szCs w:val="24"/>
        </w:rPr>
      </w:pPr>
      <w:r w:rsidRPr="00F13165">
        <w:rPr>
          <w:rFonts w:ascii="Times New Roman" w:eastAsia="Times New Roman" w:hAnsi="Times New Roman" w:cs="Times New Roman"/>
          <w:sz w:val="24"/>
          <w:szCs w:val="24"/>
        </w:rPr>
        <w:t>Michael E Breimer, MD PhD</w:t>
      </w:r>
    </w:p>
    <w:p w:rsidR="006546D3" w:rsidRPr="007268CD" w:rsidRDefault="006546D3" w:rsidP="006546D3">
      <w:pPr>
        <w:pStyle w:val="BodyText"/>
        <w:rPr>
          <w:rFonts w:ascii="Times New Roman" w:eastAsia="Times New Roman" w:hAnsi="Times New Roman" w:cs="Times New Roman"/>
          <w:sz w:val="24"/>
          <w:szCs w:val="24"/>
        </w:rPr>
      </w:pPr>
      <w:r w:rsidRPr="007268CD">
        <w:rPr>
          <w:rFonts w:ascii="Times New Roman" w:eastAsia="Times New Roman" w:hAnsi="Times New Roman" w:cs="Times New Roman"/>
          <w:sz w:val="24"/>
          <w:szCs w:val="24"/>
        </w:rPr>
        <w:t>Professor, Senior Consultant</w:t>
      </w:r>
    </w:p>
    <w:p w:rsidR="006546D3" w:rsidRPr="007268CD" w:rsidRDefault="006546D3" w:rsidP="006546D3">
      <w:pPr>
        <w:pStyle w:val="BodyText"/>
        <w:rPr>
          <w:rFonts w:ascii="Times New Roman" w:eastAsia="Times New Roman" w:hAnsi="Times New Roman" w:cs="Times New Roman"/>
          <w:sz w:val="24"/>
          <w:szCs w:val="24"/>
        </w:rPr>
      </w:pPr>
      <w:proofErr w:type="spellStart"/>
      <w:r w:rsidRPr="007268CD">
        <w:rPr>
          <w:rFonts w:ascii="Times New Roman" w:eastAsia="Times New Roman" w:hAnsi="Times New Roman" w:cs="Times New Roman"/>
          <w:sz w:val="24"/>
          <w:szCs w:val="24"/>
        </w:rPr>
        <w:t>Dept</w:t>
      </w:r>
      <w:proofErr w:type="spellEnd"/>
      <w:r w:rsidRPr="007268CD">
        <w:rPr>
          <w:rFonts w:ascii="Times New Roman" w:eastAsia="Times New Roman" w:hAnsi="Times New Roman" w:cs="Times New Roman"/>
          <w:sz w:val="24"/>
          <w:szCs w:val="24"/>
        </w:rPr>
        <w:t xml:space="preserve"> of Surgery</w:t>
      </w:r>
    </w:p>
    <w:p w:rsidR="006546D3" w:rsidRPr="00F13165" w:rsidRDefault="006546D3" w:rsidP="006546D3">
      <w:pPr>
        <w:pStyle w:val="BodyText"/>
        <w:rPr>
          <w:rFonts w:ascii="Times New Roman" w:eastAsia="Times New Roman" w:hAnsi="Times New Roman" w:cs="Times New Roman"/>
          <w:sz w:val="24"/>
          <w:szCs w:val="24"/>
        </w:rPr>
      </w:pPr>
      <w:proofErr w:type="spellStart"/>
      <w:r w:rsidRPr="00F13165">
        <w:rPr>
          <w:rFonts w:ascii="Times New Roman" w:eastAsia="Times New Roman" w:hAnsi="Times New Roman" w:cs="Times New Roman"/>
          <w:sz w:val="24"/>
          <w:szCs w:val="24"/>
        </w:rPr>
        <w:t>Sahlgrenska</w:t>
      </w:r>
      <w:proofErr w:type="spellEnd"/>
      <w:r w:rsidRPr="00F13165">
        <w:rPr>
          <w:rFonts w:ascii="Times New Roman" w:eastAsia="Times New Roman" w:hAnsi="Times New Roman" w:cs="Times New Roman"/>
          <w:sz w:val="24"/>
          <w:szCs w:val="24"/>
        </w:rPr>
        <w:t xml:space="preserve"> University Hospital/</w:t>
      </w:r>
      <w:proofErr w:type="spellStart"/>
      <w:r w:rsidRPr="00F13165">
        <w:rPr>
          <w:rFonts w:ascii="Times New Roman" w:eastAsia="Times New Roman" w:hAnsi="Times New Roman" w:cs="Times New Roman"/>
          <w:sz w:val="24"/>
          <w:szCs w:val="24"/>
        </w:rPr>
        <w:t>Östra</w:t>
      </w:r>
      <w:proofErr w:type="spellEnd"/>
    </w:p>
    <w:p w:rsidR="006546D3" w:rsidRPr="00F13165" w:rsidRDefault="006546D3" w:rsidP="006546D3">
      <w:pPr>
        <w:pStyle w:val="BodyText"/>
        <w:rPr>
          <w:rFonts w:ascii="Times New Roman" w:eastAsia="Times New Roman" w:hAnsi="Times New Roman" w:cs="Times New Roman"/>
          <w:sz w:val="24"/>
          <w:szCs w:val="24"/>
        </w:rPr>
      </w:pPr>
      <w:r w:rsidRPr="00F13165">
        <w:rPr>
          <w:rFonts w:ascii="Times New Roman" w:eastAsia="Times New Roman" w:hAnsi="Times New Roman" w:cs="Times New Roman"/>
          <w:sz w:val="24"/>
          <w:szCs w:val="24"/>
        </w:rPr>
        <w:t xml:space="preserve">SE-41685 </w:t>
      </w:r>
      <w:proofErr w:type="spellStart"/>
      <w:r w:rsidRPr="00F13165">
        <w:rPr>
          <w:rFonts w:ascii="Times New Roman" w:eastAsia="Times New Roman" w:hAnsi="Times New Roman" w:cs="Times New Roman"/>
          <w:sz w:val="24"/>
          <w:szCs w:val="24"/>
        </w:rPr>
        <w:t>Göteborg</w:t>
      </w:r>
      <w:proofErr w:type="spellEnd"/>
      <w:r w:rsidRPr="00F13165">
        <w:rPr>
          <w:rFonts w:ascii="Times New Roman" w:eastAsia="Times New Roman" w:hAnsi="Times New Roman" w:cs="Times New Roman"/>
          <w:sz w:val="24"/>
          <w:szCs w:val="24"/>
        </w:rPr>
        <w:t>, Sweden</w:t>
      </w:r>
    </w:p>
    <w:p w:rsidR="003A2DEF" w:rsidRPr="00F13165" w:rsidRDefault="003A2DEF">
      <w:pPr>
        <w:rPr>
          <w:rFonts w:eastAsia="Times New Roman"/>
        </w:rPr>
      </w:pPr>
    </w:p>
    <w:p w:rsidR="003A2DEF" w:rsidRDefault="004A6F1B">
      <w:pPr>
        <w:rPr>
          <w:rFonts w:eastAsia="Times New Roman"/>
        </w:rPr>
      </w:pPr>
      <w:r>
        <w:rPr>
          <w:rFonts w:eastAsia="Times New Roman"/>
        </w:rPr>
        <w:t>400</w:t>
      </w:r>
      <w:r w:rsidR="003A2DEF">
        <w:rPr>
          <w:rFonts w:eastAsia="Times New Roman"/>
        </w:rPr>
        <w:t xml:space="preserve"> words</w:t>
      </w:r>
      <w:r w:rsidR="00F13165">
        <w:rPr>
          <w:rFonts w:eastAsia="Times New Roman"/>
        </w:rPr>
        <w:t xml:space="preserve"> </w:t>
      </w:r>
      <w:r w:rsidR="00240763">
        <w:rPr>
          <w:rFonts w:eastAsia="Times New Roman"/>
        </w:rPr>
        <w:t>(</w:t>
      </w:r>
      <w:r w:rsidR="00F13165">
        <w:rPr>
          <w:rFonts w:eastAsia="Times New Roman"/>
        </w:rPr>
        <w:t>+ one table</w:t>
      </w:r>
      <w:r w:rsidR="00240763">
        <w:rPr>
          <w:rFonts w:eastAsia="Times New Roman"/>
        </w:rPr>
        <w:t>)</w:t>
      </w:r>
    </w:p>
    <w:p w:rsidR="003A2DEF" w:rsidRDefault="003A2DEF" w:rsidP="003A2DEF">
      <w:pPr>
        <w:rPr>
          <w:rFonts w:eastAsia="Times New Roman"/>
        </w:rPr>
      </w:pPr>
      <w:r w:rsidRPr="003A2DEF">
        <w:rPr>
          <w:rFonts w:eastAsia="Times New Roman"/>
        </w:rPr>
        <w:t xml:space="preserve">Our own Conflict of Interest statement: None of the authors has any financial COI with respect to the content of this article. None of the authors is a member of an organization with opinions on the issues dealt with in the manuscript. </w:t>
      </w:r>
    </w:p>
    <w:p w:rsidR="007F1E16" w:rsidRPr="003A2DEF" w:rsidRDefault="007F1E16" w:rsidP="003A2DEF">
      <w:pPr>
        <w:rPr>
          <w:rFonts w:eastAsia="Times New Roman"/>
        </w:rPr>
      </w:pPr>
      <w:r w:rsidRPr="007F1E16">
        <w:rPr>
          <w:rFonts w:eastAsia="Times New Roman"/>
        </w:rPr>
        <w:t>No external funding. The manuscript was written by the authors. No writing agency was involved. The corresponding author (Lars Breimer) had full access to all the data and final responsibility to submit though this was, of course, a joint decision.</w:t>
      </w:r>
    </w:p>
    <w:p w:rsidR="006546D3" w:rsidRDefault="006546D3">
      <w:pPr>
        <w:rPr>
          <w:rFonts w:eastAsia="Times New Roman"/>
          <w:color w:val="000000"/>
          <w:u w:color="000000"/>
          <w:lang w:eastAsia="sv-SE"/>
        </w:rPr>
      </w:pPr>
      <w:r>
        <w:rPr>
          <w:rFonts w:eastAsia="Times New Roman"/>
        </w:rPr>
        <w:br w:type="page"/>
      </w:r>
    </w:p>
    <w:p w:rsidR="00BD3E63" w:rsidRDefault="0068010E">
      <w:pPr>
        <w:pStyle w:val="BodyText"/>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Declaration of conflict of interest (COI, </w:t>
      </w:r>
      <w:r w:rsidR="003E4087">
        <w:rPr>
          <w:rFonts w:ascii="Times New Roman" w:hAnsi="Times New Roman"/>
          <w:sz w:val="24"/>
          <w:szCs w:val="24"/>
        </w:rPr>
        <w:t>understood mainly as financial</w:t>
      </w:r>
      <w:r>
        <w:rPr>
          <w:rFonts w:ascii="Times New Roman" w:hAnsi="Times New Roman"/>
          <w:sz w:val="24"/>
          <w:szCs w:val="24"/>
        </w:rPr>
        <w:t xml:space="preserve">) in medical publications is long established. </w:t>
      </w:r>
      <w:r w:rsidR="003E4087">
        <w:rPr>
          <w:rFonts w:ascii="Times New Roman" w:hAnsi="Times New Roman"/>
          <w:sz w:val="24"/>
          <w:szCs w:val="24"/>
        </w:rPr>
        <w:t>Most journals refer</w:t>
      </w:r>
      <w:r w:rsidR="00D40EBF">
        <w:rPr>
          <w:rFonts w:ascii="Times New Roman" w:hAnsi="Times New Roman"/>
          <w:sz w:val="24"/>
          <w:szCs w:val="24"/>
        </w:rPr>
        <w:t xml:space="preserve"> only</w:t>
      </w:r>
      <w:r w:rsidR="003E4087">
        <w:rPr>
          <w:rFonts w:ascii="Times New Roman" w:hAnsi="Times New Roman"/>
          <w:sz w:val="24"/>
          <w:szCs w:val="24"/>
        </w:rPr>
        <w:t xml:space="preserve"> to the</w:t>
      </w:r>
      <w:r w:rsidR="00D40EBF">
        <w:rPr>
          <w:rFonts w:ascii="Times New Roman" w:hAnsi="Times New Roman"/>
          <w:sz w:val="24"/>
          <w:szCs w:val="24"/>
        </w:rPr>
        <w:t xml:space="preserve"> guidelines of</w:t>
      </w:r>
      <w:r w:rsidR="003E4087">
        <w:rPr>
          <w:rFonts w:ascii="Times New Roman" w:hAnsi="Times New Roman"/>
          <w:sz w:val="24"/>
          <w:szCs w:val="24"/>
        </w:rPr>
        <w:t xml:space="preserve"> </w:t>
      </w:r>
      <w:r w:rsidR="003E4087" w:rsidRPr="00265365">
        <w:rPr>
          <w:rFonts w:ascii="Times New Roman" w:hAnsi="Times New Roman"/>
          <w:sz w:val="24"/>
          <w:szCs w:val="24"/>
        </w:rPr>
        <w:t>International Committ</w:t>
      </w:r>
      <w:r w:rsidR="003E4087">
        <w:rPr>
          <w:rFonts w:ascii="Times New Roman" w:hAnsi="Times New Roman"/>
          <w:sz w:val="24"/>
          <w:szCs w:val="24"/>
        </w:rPr>
        <w:t xml:space="preserve">ee of Medical Journal Editors (ICMJE) but not those of the WAME </w:t>
      </w:r>
      <w:r w:rsidR="003E4087" w:rsidRPr="00265365">
        <w:rPr>
          <w:rFonts w:ascii="Times New Roman" w:hAnsi="Times New Roman"/>
          <w:sz w:val="24"/>
          <w:szCs w:val="24"/>
        </w:rPr>
        <w:t>(World Association of Medical Editors)</w:t>
      </w:r>
      <w:r w:rsidR="003E4087">
        <w:rPr>
          <w:rFonts w:ascii="Times New Roman" w:hAnsi="Times New Roman"/>
          <w:sz w:val="24"/>
          <w:szCs w:val="24"/>
        </w:rPr>
        <w:t>.</w:t>
      </w:r>
      <w:r w:rsidR="00065540">
        <w:rPr>
          <w:rFonts w:ascii="Times New Roman" w:hAnsi="Times New Roman"/>
          <w:sz w:val="24"/>
          <w:szCs w:val="24"/>
        </w:rPr>
        <w:t xml:space="preserve"> We surveyed 17</w:t>
      </w:r>
      <w:r w:rsidR="007268CD">
        <w:rPr>
          <w:rFonts w:ascii="Times New Roman" w:hAnsi="Times New Roman"/>
          <w:sz w:val="24"/>
          <w:szCs w:val="24"/>
        </w:rPr>
        <w:t xml:space="preserve"> journals</w:t>
      </w:r>
      <w:r w:rsidR="00F13165">
        <w:rPr>
          <w:rFonts w:ascii="Times New Roman" w:hAnsi="Times New Roman"/>
          <w:sz w:val="24"/>
          <w:szCs w:val="24"/>
        </w:rPr>
        <w:t xml:space="preserve"> (Table)</w:t>
      </w:r>
      <w:r w:rsidR="007268CD">
        <w:rPr>
          <w:rFonts w:ascii="Times New Roman" w:hAnsi="Times New Roman"/>
          <w:sz w:val="24"/>
          <w:szCs w:val="24"/>
        </w:rPr>
        <w:t xml:space="preserve"> and found only 1</w:t>
      </w:r>
      <w:r w:rsidR="00755759">
        <w:rPr>
          <w:rFonts w:ascii="Times New Roman" w:hAnsi="Times New Roman"/>
          <w:sz w:val="24"/>
          <w:szCs w:val="24"/>
        </w:rPr>
        <w:t xml:space="preserve"> (BJOG)</w:t>
      </w:r>
      <w:r w:rsidR="007268CD">
        <w:rPr>
          <w:rFonts w:ascii="Times New Roman" w:hAnsi="Times New Roman"/>
          <w:sz w:val="24"/>
          <w:szCs w:val="24"/>
        </w:rPr>
        <w:t xml:space="preserve"> which explicitly gave “religious interest” as an example of a possible COI and 1 other journal had “personal belief”</w:t>
      </w:r>
      <w:r w:rsidR="004A6F1B">
        <w:rPr>
          <w:rFonts w:ascii="Times New Roman" w:hAnsi="Times New Roman"/>
          <w:sz w:val="24"/>
          <w:szCs w:val="24"/>
        </w:rPr>
        <w:t xml:space="preserve"> (Journal of </w:t>
      </w:r>
      <w:proofErr w:type="spellStart"/>
      <w:r w:rsidR="004A6F1B">
        <w:rPr>
          <w:rFonts w:ascii="Times New Roman" w:hAnsi="Times New Roman"/>
          <w:sz w:val="24"/>
          <w:szCs w:val="24"/>
        </w:rPr>
        <w:t>Obstericts</w:t>
      </w:r>
      <w:proofErr w:type="spellEnd"/>
      <w:r w:rsidR="004A6F1B">
        <w:rPr>
          <w:rFonts w:ascii="Times New Roman" w:hAnsi="Times New Roman"/>
          <w:sz w:val="24"/>
          <w:szCs w:val="24"/>
        </w:rPr>
        <w:t xml:space="preserve"> and Gynaecology of India)</w:t>
      </w:r>
      <w:r w:rsidR="007268CD">
        <w:rPr>
          <w:rFonts w:ascii="Times New Roman" w:hAnsi="Times New Roman"/>
          <w:sz w:val="24"/>
          <w:szCs w:val="24"/>
        </w:rPr>
        <w:t>.</w:t>
      </w:r>
      <w:r w:rsidR="003E4087" w:rsidRPr="00265365">
        <w:rPr>
          <w:rFonts w:ascii="Times New Roman" w:hAnsi="Times New Roman"/>
          <w:sz w:val="24"/>
          <w:szCs w:val="24"/>
        </w:rPr>
        <w:t xml:space="preserve"> </w:t>
      </w:r>
      <w:r w:rsidR="003E4087">
        <w:rPr>
          <w:rFonts w:ascii="Times New Roman" w:hAnsi="Times New Roman"/>
          <w:sz w:val="24"/>
          <w:szCs w:val="24"/>
        </w:rPr>
        <w:t xml:space="preserve">  </w:t>
      </w:r>
      <w:r w:rsidR="00D40EBF">
        <w:rPr>
          <w:rFonts w:ascii="Times New Roman" w:hAnsi="Times New Roman"/>
          <w:sz w:val="24"/>
          <w:szCs w:val="24"/>
        </w:rPr>
        <w:t>Yet</w:t>
      </w:r>
      <w:r w:rsidR="00265365">
        <w:rPr>
          <w:rFonts w:ascii="Times New Roman" w:hAnsi="Times New Roman"/>
          <w:sz w:val="24"/>
          <w:szCs w:val="24"/>
        </w:rPr>
        <w:t xml:space="preserve"> </w:t>
      </w:r>
      <w:r w:rsidR="00265365" w:rsidRPr="00265365">
        <w:rPr>
          <w:rFonts w:ascii="Times New Roman" w:hAnsi="Times New Roman"/>
          <w:sz w:val="24"/>
          <w:szCs w:val="24"/>
        </w:rPr>
        <w:t xml:space="preserve">ICMJE </w:t>
      </w:r>
      <w:r>
        <w:rPr>
          <w:rFonts w:ascii="Times New Roman" w:hAnsi="Times New Roman"/>
          <w:sz w:val="24"/>
          <w:szCs w:val="24"/>
        </w:rPr>
        <w:t>CO</w:t>
      </w:r>
      <w:r w:rsidR="00D40EBF">
        <w:rPr>
          <w:rFonts w:ascii="Times New Roman" w:hAnsi="Times New Roman"/>
          <w:sz w:val="24"/>
          <w:szCs w:val="24"/>
        </w:rPr>
        <w:t>I guidelines fail to require</w:t>
      </w:r>
      <w:r>
        <w:rPr>
          <w:rFonts w:ascii="Times New Roman" w:hAnsi="Times New Roman"/>
          <w:sz w:val="24"/>
          <w:szCs w:val="24"/>
        </w:rPr>
        <w:t xml:space="preserve"> </w:t>
      </w:r>
      <w:r w:rsidR="00624502">
        <w:rPr>
          <w:rFonts w:ascii="Times New Roman" w:hAnsi="Times New Roman"/>
          <w:sz w:val="24"/>
          <w:szCs w:val="24"/>
        </w:rPr>
        <w:t xml:space="preserve">COI </w:t>
      </w:r>
      <w:r>
        <w:rPr>
          <w:rFonts w:ascii="Times New Roman" w:hAnsi="Times New Roman"/>
          <w:sz w:val="24"/>
          <w:szCs w:val="24"/>
        </w:rPr>
        <w:t>of involvement in religious and</w:t>
      </w:r>
      <w:r w:rsidRPr="006B425B">
        <w:rPr>
          <w:rFonts w:ascii="Times New Roman" w:hAnsi="Times New Roman"/>
          <w:sz w:val="24"/>
          <w:szCs w:val="24"/>
        </w:rPr>
        <w:t>/or</w:t>
      </w:r>
      <w:r>
        <w:rPr>
          <w:rFonts w:ascii="Times New Roman" w:hAnsi="Times New Roman"/>
          <w:sz w:val="24"/>
          <w:szCs w:val="24"/>
        </w:rPr>
        <w:t xml:space="preserve"> </w:t>
      </w:r>
      <w:r w:rsidRPr="006B425B">
        <w:rPr>
          <w:rFonts w:ascii="Times New Roman" w:hAnsi="Times New Roman"/>
          <w:sz w:val="24"/>
          <w:szCs w:val="24"/>
        </w:rPr>
        <w:t>secular</w:t>
      </w:r>
      <w:r>
        <w:rPr>
          <w:rFonts w:ascii="Times New Roman" w:hAnsi="Times New Roman"/>
          <w:sz w:val="24"/>
          <w:szCs w:val="24"/>
        </w:rPr>
        <w:t xml:space="preserve"> </w:t>
      </w:r>
      <w:r w:rsidRPr="006B425B">
        <w:rPr>
          <w:rFonts w:ascii="Times New Roman" w:hAnsi="Times New Roman"/>
          <w:sz w:val="24"/>
          <w:szCs w:val="24"/>
        </w:rPr>
        <w:t>groups</w:t>
      </w:r>
      <w:r>
        <w:rPr>
          <w:rFonts w:ascii="Times New Roman" w:hAnsi="Times New Roman"/>
          <w:sz w:val="24"/>
          <w:szCs w:val="24"/>
        </w:rPr>
        <w:t xml:space="preserve"> </w:t>
      </w:r>
      <w:r w:rsidRPr="006B425B">
        <w:rPr>
          <w:rFonts w:ascii="Times New Roman" w:hAnsi="Times New Roman"/>
          <w:sz w:val="24"/>
          <w:szCs w:val="24"/>
        </w:rPr>
        <w:t xml:space="preserve">which </w:t>
      </w:r>
      <w:r>
        <w:rPr>
          <w:rFonts w:ascii="Times New Roman" w:hAnsi="Times New Roman"/>
          <w:sz w:val="24"/>
          <w:szCs w:val="24"/>
        </w:rPr>
        <w:t>tak</w:t>
      </w:r>
      <w:r w:rsidRPr="006B425B">
        <w:rPr>
          <w:rFonts w:ascii="Times New Roman" w:hAnsi="Times New Roman"/>
          <w:sz w:val="24"/>
          <w:szCs w:val="24"/>
        </w:rPr>
        <w:t>e</w:t>
      </w:r>
      <w:r>
        <w:rPr>
          <w:rFonts w:ascii="Times New Roman" w:hAnsi="Times New Roman"/>
          <w:sz w:val="24"/>
          <w:szCs w:val="24"/>
        </w:rPr>
        <w:t xml:space="preserve"> sides in the subject being discussed</w:t>
      </w:r>
      <w:r w:rsidR="00D40EBF">
        <w:rPr>
          <w:rFonts w:ascii="Times New Roman" w:hAnsi="Times New Roman"/>
          <w:sz w:val="24"/>
          <w:szCs w:val="24"/>
        </w:rPr>
        <w:t xml:space="preserve"> while</w:t>
      </w:r>
      <w:r w:rsidR="00265365">
        <w:rPr>
          <w:rFonts w:ascii="Times New Roman" w:hAnsi="Times New Roman"/>
          <w:sz w:val="24"/>
          <w:szCs w:val="24"/>
        </w:rPr>
        <w:t xml:space="preserve"> the </w:t>
      </w:r>
      <w:r w:rsidR="00265365" w:rsidRPr="00265365">
        <w:rPr>
          <w:rFonts w:ascii="Times New Roman" w:hAnsi="Times New Roman"/>
          <w:sz w:val="24"/>
          <w:szCs w:val="24"/>
        </w:rPr>
        <w:t xml:space="preserve">WAME </w:t>
      </w:r>
      <w:r w:rsidR="00D40EBF">
        <w:rPr>
          <w:rFonts w:ascii="Times New Roman" w:hAnsi="Times New Roman"/>
          <w:sz w:val="24"/>
          <w:szCs w:val="24"/>
        </w:rPr>
        <w:t>specifically do</w:t>
      </w:r>
      <w:r>
        <w:rPr>
          <w:rFonts w:ascii="Times New Roman" w:hAnsi="Times New Roman"/>
          <w:sz w:val="24"/>
          <w:szCs w:val="24"/>
        </w:rPr>
        <w:t>.</w:t>
      </w:r>
      <w:r w:rsidR="00265365">
        <w:rPr>
          <w:rFonts w:ascii="Times New Roman" w:hAnsi="Times New Roman"/>
          <w:sz w:val="24"/>
          <w:szCs w:val="24"/>
        </w:rPr>
        <w:t xml:space="preserve"> Instead the ICMJE uses the vaguer phrase “</w:t>
      </w:r>
      <w:r w:rsidR="00265365" w:rsidRPr="00265365">
        <w:rPr>
          <w:rFonts w:ascii="Times New Roman" w:hAnsi="Times New Roman"/>
          <w:sz w:val="24"/>
          <w:szCs w:val="24"/>
        </w:rPr>
        <w:t>intellectual beliefs”.</w:t>
      </w:r>
      <w:r w:rsidR="007268CD">
        <w:rPr>
          <w:rFonts w:ascii="Times New Roman" w:hAnsi="Times New Roman"/>
          <w:sz w:val="24"/>
          <w:szCs w:val="24"/>
        </w:rPr>
        <w:t xml:space="preserve"> The actual ICJME COI-form does not itemize religion.</w:t>
      </w:r>
      <w:r w:rsidR="00265365">
        <w:rPr>
          <w:rFonts w:ascii="Times New Roman" w:hAnsi="Times New Roman"/>
          <w:sz w:val="24"/>
          <w:szCs w:val="24"/>
        </w:rPr>
        <w:t xml:space="preserve"> </w:t>
      </w:r>
      <w:r>
        <w:rPr>
          <w:rFonts w:ascii="Times New Roman" w:hAnsi="Times New Roman"/>
          <w:sz w:val="24"/>
          <w:szCs w:val="24"/>
        </w:rPr>
        <w:t xml:space="preserve">To maintain their scientific credibility, medical journals </w:t>
      </w:r>
      <w:r w:rsidRPr="006B425B">
        <w:rPr>
          <w:rFonts w:ascii="Times New Roman" w:hAnsi="Times New Roman"/>
          <w:sz w:val="24"/>
          <w:szCs w:val="24"/>
        </w:rPr>
        <w:t xml:space="preserve">must </w:t>
      </w:r>
      <w:r>
        <w:rPr>
          <w:rFonts w:ascii="Times New Roman" w:hAnsi="Times New Roman"/>
          <w:sz w:val="24"/>
          <w:szCs w:val="24"/>
        </w:rPr>
        <w:t>start requ</w:t>
      </w:r>
      <w:r w:rsidRPr="006B425B">
        <w:rPr>
          <w:rFonts w:ascii="Times New Roman" w:hAnsi="Times New Roman"/>
          <w:sz w:val="24"/>
          <w:szCs w:val="24"/>
        </w:rPr>
        <w:t>ir</w:t>
      </w:r>
      <w:r>
        <w:rPr>
          <w:rFonts w:ascii="Times New Roman" w:hAnsi="Times New Roman"/>
          <w:sz w:val="24"/>
          <w:szCs w:val="24"/>
        </w:rPr>
        <w:t xml:space="preserve">ing disclosure of such </w:t>
      </w:r>
      <w:r w:rsidRPr="006B425B">
        <w:rPr>
          <w:rFonts w:ascii="Times New Roman" w:hAnsi="Times New Roman"/>
          <w:sz w:val="24"/>
          <w:szCs w:val="24"/>
        </w:rPr>
        <w:t>ties</w:t>
      </w:r>
      <w:r>
        <w:rPr>
          <w:rFonts w:ascii="Times New Roman" w:hAnsi="Times New Roman"/>
          <w:sz w:val="24"/>
          <w:szCs w:val="24"/>
        </w:rPr>
        <w:t xml:space="preserve">. A typical example where current </w:t>
      </w:r>
      <w:r w:rsidR="00624502">
        <w:rPr>
          <w:rFonts w:ascii="Times New Roman" w:hAnsi="Times New Roman"/>
          <w:sz w:val="24"/>
          <w:szCs w:val="24"/>
        </w:rPr>
        <w:t>ICMJE</w:t>
      </w:r>
      <w:r w:rsidR="00624502" w:rsidRPr="006B425B">
        <w:rPr>
          <w:rFonts w:ascii="Times New Roman" w:hAnsi="Times New Roman"/>
          <w:sz w:val="24"/>
          <w:szCs w:val="24"/>
        </w:rPr>
        <w:t xml:space="preserve"> </w:t>
      </w:r>
      <w:r w:rsidRPr="006B425B">
        <w:rPr>
          <w:rFonts w:ascii="Times New Roman" w:hAnsi="Times New Roman"/>
          <w:sz w:val="24"/>
          <w:szCs w:val="24"/>
        </w:rPr>
        <w:t xml:space="preserve">rules </w:t>
      </w:r>
      <w:r>
        <w:rPr>
          <w:rFonts w:ascii="Times New Roman" w:hAnsi="Times New Roman"/>
          <w:sz w:val="24"/>
          <w:szCs w:val="24"/>
        </w:rPr>
        <w:t>fall short is the ongoing heated debates o</w:t>
      </w:r>
      <w:r w:rsidRPr="006B425B">
        <w:rPr>
          <w:rFonts w:ascii="Times New Roman" w:hAnsi="Times New Roman"/>
          <w:sz w:val="24"/>
          <w:szCs w:val="24"/>
        </w:rPr>
        <w:t xml:space="preserve">ver </w:t>
      </w:r>
      <w:r>
        <w:rPr>
          <w:rFonts w:ascii="Times New Roman" w:hAnsi="Times New Roman"/>
          <w:sz w:val="24"/>
          <w:szCs w:val="24"/>
        </w:rPr>
        <w:t xml:space="preserve">the ethics of </w:t>
      </w:r>
      <w:proofErr w:type="spellStart"/>
      <w:r>
        <w:rPr>
          <w:rFonts w:ascii="Times New Roman" w:hAnsi="Times New Roman"/>
          <w:sz w:val="24"/>
          <w:szCs w:val="24"/>
        </w:rPr>
        <w:t>prenatology</w:t>
      </w:r>
      <w:proofErr w:type="spellEnd"/>
      <w:r>
        <w:rPr>
          <w:rFonts w:ascii="Times New Roman" w:hAnsi="Times New Roman"/>
          <w:sz w:val="24"/>
          <w:szCs w:val="24"/>
        </w:rPr>
        <w:t xml:space="preserve"> and of physician assisted suicide. </w:t>
      </w:r>
    </w:p>
    <w:p w:rsidR="00BD3E63" w:rsidRDefault="0068010E">
      <w:pPr>
        <w:pStyle w:val="BodyText"/>
        <w:spacing w:line="480" w:lineRule="auto"/>
        <w:rPr>
          <w:rFonts w:ascii="Times New Roman" w:eastAsia="Times New Roman" w:hAnsi="Times New Roman" w:cs="Times New Roman"/>
          <w:sz w:val="24"/>
          <w:szCs w:val="24"/>
        </w:rPr>
      </w:pPr>
      <w:r>
        <w:rPr>
          <w:rFonts w:ascii="Times New Roman" w:hAnsi="Times New Roman"/>
          <w:sz w:val="24"/>
          <w:szCs w:val="24"/>
        </w:rPr>
        <w:t>As physicians and scientists</w:t>
      </w:r>
      <w:r w:rsidRPr="006B425B">
        <w:rPr>
          <w:rFonts w:ascii="Times New Roman" w:hAnsi="Times New Roman"/>
          <w:sz w:val="24"/>
          <w:szCs w:val="24"/>
        </w:rPr>
        <w:t>,</w:t>
      </w:r>
      <w:r>
        <w:rPr>
          <w:rFonts w:ascii="Times New Roman" w:hAnsi="Times New Roman"/>
          <w:sz w:val="24"/>
          <w:szCs w:val="24"/>
        </w:rPr>
        <w:t xml:space="preserve"> we are concerned about this failure. Political and religious groups not infrequently try to exert influence by encouraging prestigious scientists, preferably with an impressive title like Professor, to act as mouthpieces and decoys for their agenda. </w:t>
      </w:r>
      <w:r w:rsidR="00624502">
        <w:rPr>
          <w:rFonts w:ascii="Times New Roman" w:hAnsi="Times New Roman"/>
          <w:sz w:val="24"/>
          <w:szCs w:val="24"/>
        </w:rPr>
        <w:t>I</w:t>
      </w:r>
      <w:r>
        <w:rPr>
          <w:rFonts w:ascii="Times New Roman" w:hAnsi="Times New Roman"/>
          <w:sz w:val="24"/>
          <w:szCs w:val="24"/>
        </w:rPr>
        <w:t xml:space="preserve">t is unacceptable that experts in ethics sometimes </w:t>
      </w:r>
      <w:r w:rsidRPr="006B425B">
        <w:rPr>
          <w:rFonts w:ascii="Times New Roman" w:hAnsi="Times New Roman"/>
          <w:sz w:val="24"/>
          <w:szCs w:val="24"/>
        </w:rPr>
        <w:t xml:space="preserve">fail to </w:t>
      </w:r>
      <w:r>
        <w:rPr>
          <w:rFonts w:ascii="Times New Roman" w:hAnsi="Times New Roman"/>
          <w:sz w:val="24"/>
          <w:szCs w:val="24"/>
        </w:rPr>
        <w:t>acknowledg</w:t>
      </w:r>
      <w:r w:rsidRPr="006B425B">
        <w:rPr>
          <w:rFonts w:ascii="Times New Roman" w:hAnsi="Times New Roman"/>
          <w:sz w:val="24"/>
          <w:szCs w:val="24"/>
        </w:rPr>
        <w:t>e</w:t>
      </w:r>
      <w:r>
        <w:rPr>
          <w:rFonts w:ascii="Times New Roman" w:hAnsi="Times New Roman"/>
          <w:sz w:val="24"/>
          <w:szCs w:val="24"/>
        </w:rPr>
        <w:t xml:space="preserve"> their personal beliefs. It has long been considered self-evident that those commenting on</w:t>
      </w:r>
      <w:r w:rsidR="00624502">
        <w:rPr>
          <w:rFonts w:ascii="Times New Roman" w:hAnsi="Times New Roman"/>
          <w:sz w:val="24"/>
          <w:szCs w:val="24"/>
        </w:rPr>
        <w:t xml:space="preserve"> public</w:t>
      </w:r>
      <w:r>
        <w:rPr>
          <w:rFonts w:ascii="Times New Roman" w:hAnsi="Times New Roman"/>
          <w:sz w:val="24"/>
          <w:szCs w:val="24"/>
        </w:rPr>
        <w:t xml:space="preserve"> issues must </w:t>
      </w:r>
      <w:r w:rsidRPr="006B425B">
        <w:rPr>
          <w:rFonts w:ascii="Times New Roman" w:hAnsi="Times New Roman"/>
          <w:sz w:val="24"/>
          <w:szCs w:val="24"/>
        </w:rPr>
        <w:t xml:space="preserve">declare </w:t>
      </w:r>
      <w:r>
        <w:rPr>
          <w:rFonts w:ascii="Times New Roman" w:hAnsi="Times New Roman"/>
          <w:sz w:val="24"/>
          <w:szCs w:val="24"/>
        </w:rPr>
        <w:t xml:space="preserve">their political </w:t>
      </w:r>
      <w:r w:rsidR="00117B3E">
        <w:rPr>
          <w:rFonts w:ascii="Times New Roman" w:hAnsi="Times New Roman"/>
          <w:sz w:val="24"/>
          <w:szCs w:val="24"/>
        </w:rPr>
        <w:t>allegiance</w:t>
      </w:r>
      <w:r>
        <w:rPr>
          <w:rFonts w:ascii="Times New Roman" w:hAnsi="Times New Roman"/>
          <w:sz w:val="24"/>
          <w:szCs w:val="24"/>
        </w:rPr>
        <w:t xml:space="preserve">. Likewise, </w:t>
      </w:r>
      <w:r w:rsidRPr="006B425B">
        <w:rPr>
          <w:rFonts w:ascii="Times New Roman" w:hAnsi="Times New Roman"/>
          <w:sz w:val="24"/>
          <w:szCs w:val="24"/>
        </w:rPr>
        <w:t>especially i</w:t>
      </w:r>
      <w:r>
        <w:rPr>
          <w:rFonts w:ascii="Times New Roman" w:hAnsi="Times New Roman"/>
          <w:sz w:val="24"/>
          <w:szCs w:val="24"/>
        </w:rPr>
        <w:t xml:space="preserve">n </w:t>
      </w:r>
      <w:r w:rsidRPr="006B425B">
        <w:rPr>
          <w:rFonts w:ascii="Times New Roman" w:hAnsi="Times New Roman"/>
          <w:sz w:val="24"/>
          <w:szCs w:val="24"/>
        </w:rPr>
        <w:t>debating</w:t>
      </w:r>
      <w:r>
        <w:rPr>
          <w:rFonts w:ascii="Times New Roman" w:hAnsi="Times New Roman"/>
          <w:sz w:val="24"/>
          <w:szCs w:val="24"/>
        </w:rPr>
        <w:t xml:space="preserve"> sensitive and contentious medical areas where advances in research are making hitherto undreamt of interventions possible, full disclosure is not just desirable but a </w:t>
      </w:r>
      <w:r>
        <w:rPr>
          <w:rFonts w:ascii="Times New Roman" w:hAnsi="Times New Roman"/>
          <w:i/>
          <w:iCs/>
          <w:sz w:val="24"/>
          <w:szCs w:val="24"/>
        </w:rPr>
        <w:t>sine qua non</w:t>
      </w:r>
      <w:r>
        <w:rPr>
          <w:rFonts w:ascii="Times New Roman" w:hAnsi="Times New Roman"/>
          <w:sz w:val="24"/>
          <w:szCs w:val="24"/>
        </w:rPr>
        <w:t>.</w:t>
      </w:r>
    </w:p>
    <w:p w:rsidR="00AE2583" w:rsidRDefault="0068010E" w:rsidP="00EE7343">
      <w:pPr>
        <w:pStyle w:val="BodyText"/>
        <w:spacing w:line="480" w:lineRule="auto"/>
        <w:rPr>
          <w:rFonts w:ascii="Times New Roman" w:eastAsia="Times New Roman" w:hAnsi="Times New Roman" w:cs="Times New Roman"/>
          <w:sz w:val="24"/>
          <w:szCs w:val="24"/>
        </w:rPr>
      </w:pPr>
      <w:r>
        <w:rPr>
          <w:rFonts w:ascii="Times New Roman" w:hAnsi="Times New Roman"/>
          <w:sz w:val="24"/>
          <w:szCs w:val="24"/>
        </w:rPr>
        <w:t xml:space="preserve">That sailing under false flags </w:t>
      </w:r>
      <w:r w:rsidRPr="006B425B">
        <w:rPr>
          <w:rFonts w:ascii="Times New Roman" w:hAnsi="Times New Roman"/>
          <w:sz w:val="24"/>
          <w:szCs w:val="24"/>
        </w:rPr>
        <w:t xml:space="preserve">(or none at all) </w:t>
      </w:r>
      <w:r>
        <w:rPr>
          <w:rFonts w:ascii="Times New Roman" w:hAnsi="Times New Roman"/>
          <w:sz w:val="24"/>
          <w:szCs w:val="24"/>
        </w:rPr>
        <w:t>seems standard on various Internet websites is regrettable but beyond the control of the medical profession</w:t>
      </w:r>
      <w:r w:rsidRPr="006B425B">
        <w:rPr>
          <w:rFonts w:ascii="Times New Roman" w:hAnsi="Times New Roman"/>
          <w:sz w:val="24"/>
          <w:szCs w:val="24"/>
        </w:rPr>
        <w:t xml:space="preserve">.  However, </w:t>
      </w:r>
      <w:r>
        <w:rPr>
          <w:rFonts w:ascii="Times New Roman" w:hAnsi="Times New Roman"/>
          <w:sz w:val="24"/>
          <w:szCs w:val="24"/>
        </w:rPr>
        <w:t xml:space="preserve">we contend that Medical Journals must become vigilant </w:t>
      </w:r>
      <w:r w:rsidRPr="006B425B">
        <w:rPr>
          <w:rFonts w:ascii="Times New Roman" w:hAnsi="Times New Roman"/>
          <w:sz w:val="24"/>
          <w:szCs w:val="24"/>
        </w:rPr>
        <w:t xml:space="preserve">in ensuring </w:t>
      </w:r>
      <w:r>
        <w:rPr>
          <w:rFonts w:ascii="Times New Roman" w:hAnsi="Times New Roman"/>
          <w:sz w:val="24"/>
          <w:szCs w:val="24"/>
        </w:rPr>
        <w:t xml:space="preserve">that </w:t>
      </w:r>
      <w:r w:rsidR="00624502" w:rsidRPr="0079295B">
        <w:rPr>
          <w:i/>
        </w:rPr>
        <w:t>all</w:t>
      </w:r>
      <w:r w:rsidR="00624502">
        <w:rPr>
          <w:rFonts w:ascii="Times New Roman" w:hAnsi="Times New Roman"/>
          <w:sz w:val="24"/>
          <w:szCs w:val="24"/>
        </w:rPr>
        <w:t xml:space="preserve"> </w:t>
      </w:r>
      <w:r>
        <w:rPr>
          <w:rFonts w:ascii="Times New Roman" w:hAnsi="Times New Roman"/>
          <w:sz w:val="24"/>
          <w:szCs w:val="24"/>
        </w:rPr>
        <w:t>relevant conflicts of interest are clearly, thoroughly</w:t>
      </w:r>
      <w:r w:rsidR="00785413">
        <w:rPr>
          <w:rFonts w:ascii="Times New Roman" w:hAnsi="Times New Roman"/>
          <w:sz w:val="24"/>
          <w:szCs w:val="24"/>
        </w:rPr>
        <w:t>,</w:t>
      </w:r>
      <w:r>
        <w:rPr>
          <w:rFonts w:ascii="Times New Roman" w:hAnsi="Times New Roman"/>
          <w:sz w:val="24"/>
          <w:szCs w:val="24"/>
        </w:rPr>
        <w:t xml:space="preserve"> and unequivocally declared. As an example, a tentative amended version of a C</w:t>
      </w:r>
      <w:r w:rsidR="005D6F90">
        <w:rPr>
          <w:rFonts w:ascii="Times New Roman" w:hAnsi="Times New Roman"/>
          <w:sz w:val="24"/>
          <w:szCs w:val="24"/>
        </w:rPr>
        <w:t>OI applied to our present communication</w:t>
      </w:r>
      <w:r>
        <w:rPr>
          <w:rFonts w:ascii="Times New Roman" w:hAnsi="Times New Roman"/>
          <w:sz w:val="24"/>
          <w:szCs w:val="24"/>
        </w:rPr>
        <w:t xml:space="preserve"> could be formulated thus: </w:t>
      </w:r>
      <w:r w:rsidRPr="004D7471">
        <w:rPr>
          <w:rFonts w:ascii="Times New Roman" w:hAnsi="Times New Roman"/>
          <w:sz w:val="24"/>
          <w:szCs w:val="24"/>
        </w:rPr>
        <w:t>“</w:t>
      </w:r>
      <w:r w:rsidRPr="0079295B">
        <w:rPr>
          <w:sz w:val="24"/>
          <w:szCs w:val="24"/>
        </w:rPr>
        <w:t xml:space="preserve">None of the </w:t>
      </w:r>
      <w:r w:rsidRPr="0079295B">
        <w:rPr>
          <w:sz w:val="24"/>
          <w:szCs w:val="24"/>
        </w:rPr>
        <w:lastRenderedPageBreak/>
        <w:t xml:space="preserve">authors has any financial COI with respect to the content of this article. None of the authors is a member of a political party or religious </w:t>
      </w:r>
      <w:r w:rsidR="002F064A" w:rsidRPr="004D7471">
        <w:rPr>
          <w:rFonts w:ascii="Times New Roman" w:eastAsia="Times New Roman" w:hAnsi="Times New Roman" w:cs="Times New Roman"/>
          <w:sz w:val="24"/>
          <w:szCs w:val="24"/>
        </w:rPr>
        <w:t>or secular organizations and action</w:t>
      </w:r>
      <w:r w:rsidR="00695995" w:rsidRPr="0079295B">
        <w:rPr>
          <w:rFonts w:ascii="Times New Roman" w:hAnsi="Times New Roman"/>
          <w:sz w:val="24"/>
          <w:szCs w:val="24"/>
        </w:rPr>
        <w:t xml:space="preserve"> </w:t>
      </w:r>
      <w:r w:rsidRPr="0079295B">
        <w:rPr>
          <w:rFonts w:ascii="Times New Roman" w:hAnsi="Times New Roman"/>
          <w:sz w:val="24"/>
          <w:szCs w:val="24"/>
        </w:rPr>
        <w:t>group</w:t>
      </w:r>
      <w:r w:rsidR="004D7471">
        <w:rPr>
          <w:rFonts w:ascii="Times New Roman" w:hAnsi="Times New Roman"/>
          <w:sz w:val="24"/>
          <w:szCs w:val="24"/>
        </w:rPr>
        <w:t>s</w:t>
      </w:r>
      <w:r w:rsidRPr="0079295B">
        <w:rPr>
          <w:rFonts w:ascii="Times New Roman" w:hAnsi="Times New Roman"/>
          <w:sz w:val="24"/>
          <w:szCs w:val="24"/>
        </w:rPr>
        <w:t xml:space="preserve"> with opinions on the issues dealt with in the article.”</w:t>
      </w:r>
      <w:r w:rsidR="00265365">
        <w:rPr>
          <w:rFonts w:ascii="Times New Roman" w:hAnsi="Times New Roman"/>
        </w:rPr>
        <w:t xml:space="preserve"> </w:t>
      </w:r>
      <w:r w:rsidR="000807A2">
        <w:rPr>
          <w:rFonts w:ascii="Times New Roman" w:hAnsi="Times New Roman"/>
          <w:sz w:val="24"/>
          <w:szCs w:val="24"/>
        </w:rPr>
        <w:t>R</w:t>
      </w:r>
      <w:r>
        <w:rPr>
          <w:rFonts w:ascii="Times New Roman" w:hAnsi="Times New Roman"/>
          <w:sz w:val="24"/>
          <w:szCs w:val="24"/>
        </w:rPr>
        <w:t xml:space="preserve">eviewers should </w:t>
      </w:r>
      <w:r w:rsidR="000807A2">
        <w:rPr>
          <w:rFonts w:ascii="Times New Roman" w:hAnsi="Times New Roman"/>
          <w:sz w:val="24"/>
          <w:szCs w:val="24"/>
        </w:rPr>
        <w:t>follow</w:t>
      </w:r>
      <w:r>
        <w:rPr>
          <w:rFonts w:ascii="Times New Roman" w:hAnsi="Times New Roman"/>
          <w:sz w:val="24"/>
          <w:szCs w:val="24"/>
        </w:rPr>
        <w:t xml:space="preserve"> the same COI requirement</w:t>
      </w:r>
      <w:r w:rsidRPr="006B425B">
        <w:rPr>
          <w:rFonts w:ascii="Times New Roman" w:hAnsi="Times New Roman"/>
          <w:sz w:val="24"/>
          <w:szCs w:val="24"/>
        </w:rPr>
        <w:t>s</w:t>
      </w:r>
      <w:r>
        <w:rPr>
          <w:rFonts w:ascii="Times New Roman" w:hAnsi="Times New Roman"/>
          <w:sz w:val="24"/>
          <w:szCs w:val="24"/>
        </w:rPr>
        <w:t>.</w:t>
      </w:r>
      <w:r w:rsidR="000807A2">
        <w:rPr>
          <w:rFonts w:ascii="Times New Roman" w:hAnsi="Times New Roman"/>
          <w:sz w:val="24"/>
          <w:szCs w:val="24"/>
        </w:rPr>
        <w:t xml:space="preserve"> Practically having </w:t>
      </w:r>
      <w:r w:rsidR="00AE2583">
        <w:rPr>
          <w:rFonts w:ascii="Times New Roman" w:eastAsia="Times New Roman" w:hAnsi="Times New Roman" w:cs="Times New Roman"/>
          <w:sz w:val="24"/>
          <w:szCs w:val="24"/>
        </w:rPr>
        <w:t>a "button",</w:t>
      </w:r>
      <w:r w:rsidR="00AE2583" w:rsidRPr="00AE2583">
        <w:rPr>
          <w:rFonts w:ascii="Times New Roman" w:eastAsia="Times New Roman" w:hAnsi="Times New Roman" w:cs="Times New Roman"/>
          <w:sz w:val="24"/>
          <w:szCs w:val="24"/>
        </w:rPr>
        <w:t xml:space="preserve"> forced to</w:t>
      </w:r>
      <w:r w:rsidR="000807A2">
        <w:rPr>
          <w:rFonts w:ascii="Times New Roman" w:eastAsia="Times New Roman" w:hAnsi="Times New Roman" w:cs="Times New Roman"/>
          <w:sz w:val="24"/>
          <w:szCs w:val="24"/>
        </w:rPr>
        <w:t xml:space="preserve"> be</w:t>
      </w:r>
      <w:r w:rsidR="00AE2583" w:rsidRPr="00AE2583">
        <w:rPr>
          <w:rFonts w:ascii="Times New Roman" w:eastAsia="Times New Roman" w:hAnsi="Times New Roman" w:cs="Times New Roman"/>
          <w:sz w:val="24"/>
          <w:szCs w:val="24"/>
        </w:rPr>
        <w:t xml:space="preserve"> click</w:t>
      </w:r>
      <w:r w:rsidR="000807A2">
        <w:rPr>
          <w:rFonts w:ascii="Times New Roman" w:eastAsia="Times New Roman" w:hAnsi="Times New Roman" w:cs="Times New Roman"/>
          <w:sz w:val="24"/>
          <w:szCs w:val="24"/>
        </w:rPr>
        <w:t>ed, as part of</w:t>
      </w:r>
      <w:r w:rsidR="00AE2583" w:rsidRPr="00AE2583">
        <w:rPr>
          <w:rFonts w:ascii="Times New Roman" w:eastAsia="Times New Roman" w:hAnsi="Times New Roman" w:cs="Times New Roman"/>
          <w:sz w:val="24"/>
          <w:szCs w:val="24"/>
        </w:rPr>
        <w:t xml:space="preserve"> the submission </w:t>
      </w:r>
      <w:r w:rsidR="000807A2">
        <w:rPr>
          <w:rFonts w:ascii="Times New Roman" w:eastAsia="Times New Roman" w:hAnsi="Times New Roman" w:cs="Times New Roman"/>
          <w:sz w:val="24"/>
          <w:szCs w:val="24"/>
        </w:rPr>
        <w:t>mechanism may be the simplest</w:t>
      </w:r>
      <w:r w:rsidR="00AE2583" w:rsidRPr="00AE2583">
        <w:rPr>
          <w:rFonts w:ascii="Times New Roman" w:eastAsia="Times New Roman" w:hAnsi="Times New Roman" w:cs="Times New Roman"/>
          <w:sz w:val="24"/>
          <w:szCs w:val="24"/>
        </w:rPr>
        <w:t>.</w:t>
      </w:r>
    </w:p>
    <w:p w:rsidR="00D40EBF" w:rsidRDefault="00D40EBF">
      <w:pPr>
        <w:pStyle w:val="BodyText"/>
        <w:spacing w:line="480" w:lineRule="auto"/>
        <w:rPr>
          <w:rFonts w:ascii="Times New Roman" w:eastAsia="Times New Roman" w:hAnsi="Times New Roman" w:cs="Times New Roman"/>
          <w:sz w:val="24"/>
          <w:szCs w:val="24"/>
        </w:rPr>
      </w:pPr>
    </w:p>
    <w:p w:rsidR="00D40EBF" w:rsidRDefault="004A6F1B">
      <w:pPr>
        <w:pStyle w:val="BodyT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r w:rsidR="004D7471">
        <w:rPr>
          <w:rFonts w:ascii="Times New Roman" w:eastAsia="Times New Roman" w:hAnsi="Times New Roman" w:cs="Times New Roman"/>
          <w:sz w:val="24"/>
          <w:szCs w:val="24"/>
        </w:rPr>
        <w:t xml:space="preserve"> </w:t>
      </w:r>
      <w:r w:rsidR="00D40EBF">
        <w:rPr>
          <w:rFonts w:ascii="Times New Roman" w:eastAsia="Times New Roman" w:hAnsi="Times New Roman" w:cs="Times New Roman"/>
          <w:sz w:val="24"/>
          <w:szCs w:val="24"/>
        </w:rPr>
        <w:t>words</w:t>
      </w:r>
    </w:p>
    <w:p w:rsidR="00186273" w:rsidRDefault="00186273">
      <w:pPr>
        <w:rPr>
          <w:rFonts w:eastAsia="Times New Roman"/>
          <w:color w:val="000000"/>
          <w:u w:color="000000"/>
          <w:lang w:eastAsia="sv-SE"/>
        </w:rPr>
      </w:pPr>
      <w:r>
        <w:rPr>
          <w:rFonts w:eastAsia="Times New Roman"/>
          <w:color w:val="000000"/>
          <w:u w:color="000000"/>
          <w:lang w:eastAsia="sv-SE"/>
        </w:rPr>
        <w:br w:type="page"/>
      </w:r>
    </w:p>
    <w:p w:rsidR="00186273" w:rsidRPr="007268CD" w:rsidRDefault="00186273" w:rsidP="0018627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Calibri" w:eastAsia="Calibri" w:hAnsi="Calibri"/>
          <w:sz w:val="22"/>
          <w:szCs w:val="22"/>
          <w:bdr w:val="none" w:sz="0" w:space="0" w:color="auto"/>
        </w:rPr>
      </w:pPr>
      <w:proofErr w:type="gramStart"/>
      <w:r>
        <w:rPr>
          <w:rFonts w:ascii="Calibri" w:eastAsia="Calibri" w:hAnsi="Calibri"/>
          <w:sz w:val="22"/>
          <w:szCs w:val="22"/>
          <w:bdr w:val="none" w:sz="0" w:space="0" w:color="auto"/>
        </w:rPr>
        <w:lastRenderedPageBreak/>
        <w:t>Table 1.</w:t>
      </w:r>
      <w:proofErr w:type="gramEnd"/>
      <w:r>
        <w:rPr>
          <w:rFonts w:ascii="Calibri" w:eastAsia="Calibri" w:hAnsi="Calibri"/>
          <w:sz w:val="22"/>
          <w:szCs w:val="22"/>
          <w:bdr w:val="none" w:sz="0" w:space="0" w:color="auto"/>
        </w:rPr>
        <w:t xml:space="preserve"> J</w:t>
      </w:r>
      <w:r w:rsidRPr="007268CD">
        <w:rPr>
          <w:rFonts w:ascii="Calibri" w:eastAsia="Calibri" w:hAnsi="Calibri"/>
          <w:sz w:val="22"/>
          <w:szCs w:val="22"/>
          <w:bdr w:val="none" w:sz="0" w:space="0" w:color="auto"/>
        </w:rPr>
        <w:t>ou</w:t>
      </w:r>
      <w:r>
        <w:rPr>
          <w:rFonts w:ascii="Calibri" w:eastAsia="Calibri" w:hAnsi="Calibri"/>
          <w:sz w:val="22"/>
          <w:szCs w:val="22"/>
          <w:bdr w:val="none" w:sz="0" w:space="0" w:color="auto"/>
        </w:rPr>
        <w:t>rnals surveyed for COI text in their Instructions to Authors</w:t>
      </w:r>
    </w:p>
    <w:tbl>
      <w:tblPr>
        <w:tblStyle w:val="Tabellrutnt1"/>
        <w:tblW w:w="0" w:type="auto"/>
        <w:tblLook w:val="04A0" w:firstRow="1" w:lastRow="0" w:firstColumn="1" w:lastColumn="0" w:noHBand="0" w:noVBand="1"/>
      </w:tblPr>
      <w:tblGrid>
        <w:gridCol w:w="1809"/>
        <w:gridCol w:w="3119"/>
        <w:gridCol w:w="2693"/>
        <w:gridCol w:w="1591"/>
      </w:tblGrid>
      <w:tr w:rsidR="00186273" w:rsidRPr="007268CD" w:rsidTr="00D554BC">
        <w:tc>
          <w:tcPr>
            <w:tcW w:w="1809" w:type="dxa"/>
            <w:shd w:val="clear" w:color="auto" w:fill="D9D9D9" w:themeFill="background1" w:themeFillShade="D9"/>
          </w:tcPr>
          <w:p w:rsidR="00186273" w:rsidRPr="007268CD" w:rsidRDefault="00186273" w:rsidP="00D554BC">
            <w:pPr>
              <w:rPr>
                <w:b/>
                <w:lang w:val="sv-SE"/>
              </w:rPr>
            </w:pPr>
            <w:r w:rsidRPr="007268CD">
              <w:rPr>
                <w:b/>
                <w:lang w:val="sv-SE"/>
              </w:rPr>
              <w:t>Journal</w:t>
            </w:r>
          </w:p>
        </w:tc>
        <w:tc>
          <w:tcPr>
            <w:tcW w:w="3119" w:type="dxa"/>
            <w:shd w:val="clear" w:color="auto" w:fill="D9D9D9" w:themeFill="background1" w:themeFillShade="D9"/>
          </w:tcPr>
          <w:p w:rsidR="00186273" w:rsidRPr="007268CD" w:rsidRDefault="00186273" w:rsidP="00D554BC">
            <w:pPr>
              <w:rPr>
                <w:b/>
                <w:lang w:val="sv-SE"/>
              </w:rPr>
            </w:pPr>
            <w:r w:rsidRPr="007268CD">
              <w:rPr>
                <w:b/>
                <w:lang w:val="sv-SE"/>
              </w:rPr>
              <w:t>COI model</w:t>
            </w:r>
          </w:p>
        </w:tc>
        <w:tc>
          <w:tcPr>
            <w:tcW w:w="2693" w:type="dxa"/>
            <w:shd w:val="clear" w:color="auto" w:fill="D9D9D9" w:themeFill="background1" w:themeFillShade="D9"/>
          </w:tcPr>
          <w:p w:rsidR="00186273" w:rsidRPr="007268CD" w:rsidRDefault="00186273" w:rsidP="00D554BC">
            <w:pPr>
              <w:rPr>
                <w:b/>
              </w:rPr>
            </w:pPr>
            <w:r w:rsidRPr="007268CD">
              <w:rPr>
                <w:b/>
              </w:rPr>
              <w:t>Religion itemized in the</w:t>
            </w:r>
            <w:r>
              <w:rPr>
                <w:b/>
              </w:rPr>
              <w:t xml:space="preserve"> Instruction to Authors</w:t>
            </w:r>
            <w:r w:rsidRPr="007268CD">
              <w:rPr>
                <w:b/>
              </w:rPr>
              <w:t xml:space="preserve"> text describing various examples of COI</w:t>
            </w:r>
          </w:p>
        </w:tc>
        <w:tc>
          <w:tcPr>
            <w:tcW w:w="1591" w:type="dxa"/>
            <w:shd w:val="clear" w:color="auto" w:fill="D9D9D9" w:themeFill="background1" w:themeFillShade="D9"/>
          </w:tcPr>
          <w:p w:rsidR="00186273" w:rsidRPr="007268CD" w:rsidRDefault="00186273" w:rsidP="00D554BC">
            <w:pPr>
              <w:rPr>
                <w:b/>
                <w:lang w:val="sv-SE"/>
              </w:rPr>
            </w:pPr>
            <w:r w:rsidRPr="007268CD">
              <w:rPr>
                <w:b/>
                <w:lang w:val="sv-SE"/>
              </w:rPr>
              <w:t xml:space="preserve">Comment </w:t>
            </w: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NEJM</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val="restart"/>
          </w:tcPr>
          <w:p w:rsidR="00186273" w:rsidRPr="007268CD" w:rsidRDefault="00186273" w:rsidP="00D554BC">
            <w:pPr>
              <w:rPr>
                <w:sz w:val="22"/>
                <w:szCs w:val="22"/>
                <w:lang w:val="sv-SE"/>
              </w:rPr>
            </w:pPr>
            <w:r w:rsidRPr="007268CD">
              <w:rPr>
                <w:sz w:val="22"/>
                <w:szCs w:val="22"/>
                <w:lang w:val="sv-SE"/>
              </w:rPr>
              <w:t>General journal</w:t>
            </w: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JAMA</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Lancet</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BMJ</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Pr>
                <w:sz w:val="22"/>
                <w:szCs w:val="22"/>
                <w:lang w:val="sv-SE"/>
              </w:rPr>
              <w:t>JIM</w:t>
            </w:r>
          </w:p>
        </w:tc>
        <w:tc>
          <w:tcPr>
            <w:tcW w:w="3119" w:type="dxa"/>
          </w:tcPr>
          <w:p w:rsidR="00186273" w:rsidRPr="007268CD" w:rsidRDefault="00186273" w:rsidP="00D554BC">
            <w:pPr>
              <w:rPr>
                <w:sz w:val="22"/>
                <w:szCs w:val="22"/>
                <w:lang w:val="sv-SE"/>
              </w:rPr>
            </w:pPr>
            <w:r>
              <w:rPr>
                <w:sz w:val="22"/>
                <w:szCs w:val="22"/>
                <w:lang w:val="sv-SE"/>
              </w:rPr>
              <w:t>ICJME</w:t>
            </w:r>
          </w:p>
        </w:tc>
        <w:tc>
          <w:tcPr>
            <w:tcW w:w="2693" w:type="dxa"/>
          </w:tcPr>
          <w:p w:rsidR="00186273" w:rsidRPr="007268CD" w:rsidRDefault="00186273" w:rsidP="00D554BC">
            <w:pPr>
              <w:rPr>
                <w:sz w:val="22"/>
                <w:szCs w:val="22"/>
                <w:lang w:val="sv-SE"/>
              </w:rPr>
            </w:pPr>
            <w:r>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Br J Haematol</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val="restart"/>
          </w:tcPr>
          <w:p w:rsidR="00186273" w:rsidRPr="007268CD" w:rsidRDefault="00186273" w:rsidP="00D554BC">
            <w:pPr>
              <w:rPr>
                <w:sz w:val="22"/>
                <w:szCs w:val="22"/>
                <w:lang w:val="sv-SE"/>
              </w:rPr>
            </w:pPr>
            <w:r w:rsidRPr="007268CD">
              <w:rPr>
                <w:sz w:val="22"/>
                <w:szCs w:val="22"/>
                <w:lang w:val="sv-SE"/>
              </w:rPr>
              <w:t>H</w:t>
            </w:r>
            <w:r>
              <w:rPr>
                <w:sz w:val="22"/>
                <w:szCs w:val="22"/>
                <w:lang w:val="sv-SE"/>
              </w:rPr>
              <w:t>a</w:t>
            </w:r>
            <w:r w:rsidRPr="007268CD">
              <w:rPr>
                <w:sz w:val="22"/>
                <w:szCs w:val="22"/>
                <w:lang w:val="sv-SE"/>
              </w:rPr>
              <w:t>ematology</w:t>
            </w: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Blood</w:t>
            </w:r>
          </w:p>
        </w:tc>
        <w:tc>
          <w:tcPr>
            <w:tcW w:w="3119" w:type="dxa"/>
          </w:tcPr>
          <w:p w:rsidR="00186273" w:rsidRPr="007268CD" w:rsidRDefault="00186273" w:rsidP="00D554BC">
            <w:pPr>
              <w:rPr>
                <w:sz w:val="22"/>
                <w:szCs w:val="22"/>
                <w:lang w:val="sv-SE"/>
              </w:rPr>
            </w:pPr>
            <w:r w:rsidRPr="007268CD">
              <w:rPr>
                <w:sz w:val="22"/>
                <w:szCs w:val="22"/>
                <w:lang w:val="sv-SE"/>
              </w:rPr>
              <w:t xml:space="preserve">ASH’s own </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Pediatrics</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val="restart"/>
          </w:tcPr>
          <w:p w:rsidR="00186273" w:rsidRPr="007268CD" w:rsidRDefault="00186273" w:rsidP="00D554BC">
            <w:pPr>
              <w:rPr>
                <w:sz w:val="22"/>
                <w:szCs w:val="22"/>
                <w:lang w:val="sv-SE"/>
              </w:rPr>
            </w:pPr>
            <w:r w:rsidRPr="007268CD">
              <w:rPr>
                <w:sz w:val="22"/>
                <w:szCs w:val="22"/>
                <w:lang w:val="sv-SE"/>
              </w:rPr>
              <w:t>P</w:t>
            </w:r>
            <w:r>
              <w:rPr>
                <w:sz w:val="22"/>
                <w:szCs w:val="22"/>
                <w:lang w:val="sv-SE"/>
              </w:rPr>
              <w:t>a</w:t>
            </w:r>
            <w:r w:rsidRPr="007268CD">
              <w:rPr>
                <w:sz w:val="22"/>
                <w:szCs w:val="22"/>
                <w:lang w:val="sv-SE"/>
              </w:rPr>
              <w:t>ediatrics incl neonatology</w:t>
            </w: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J Pediatrics</w:t>
            </w:r>
          </w:p>
        </w:tc>
        <w:tc>
          <w:tcPr>
            <w:tcW w:w="3119" w:type="dxa"/>
          </w:tcPr>
          <w:p w:rsidR="00186273" w:rsidRPr="007268CD" w:rsidRDefault="00186273" w:rsidP="00D554BC">
            <w:pPr>
              <w:rPr>
                <w:sz w:val="22"/>
                <w:szCs w:val="22"/>
              </w:rPr>
            </w:pPr>
            <w:r>
              <w:rPr>
                <w:sz w:val="22"/>
                <w:szCs w:val="22"/>
              </w:rPr>
              <w:t>ICJME but</w:t>
            </w:r>
            <w:r w:rsidRPr="007268CD">
              <w:rPr>
                <w:sz w:val="22"/>
                <w:szCs w:val="22"/>
              </w:rPr>
              <w:t xml:space="preserve"> mentions WAME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Acta Paediatrica</w:t>
            </w:r>
          </w:p>
        </w:tc>
        <w:tc>
          <w:tcPr>
            <w:tcW w:w="3119" w:type="dxa"/>
          </w:tcPr>
          <w:p w:rsidR="00186273" w:rsidRPr="007268CD" w:rsidRDefault="00186273" w:rsidP="00D554BC">
            <w:pPr>
              <w:rPr>
                <w:sz w:val="22"/>
                <w:szCs w:val="22"/>
              </w:rPr>
            </w:pPr>
            <w:r>
              <w:rPr>
                <w:sz w:val="22"/>
                <w:szCs w:val="22"/>
              </w:rPr>
              <w:t>Not specified; mentions COPE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AJOG</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val="restart"/>
          </w:tcPr>
          <w:p w:rsidR="00186273" w:rsidRPr="007268CD" w:rsidRDefault="00186273" w:rsidP="00D554BC">
            <w:pPr>
              <w:rPr>
                <w:sz w:val="22"/>
                <w:szCs w:val="22"/>
                <w:lang w:val="sv-SE"/>
              </w:rPr>
            </w:pPr>
            <w:r w:rsidRPr="007268CD">
              <w:rPr>
                <w:sz w:val="22"/>
                <w:szCs w:val="22"/>
                <w:lang w:val="sv-SE"/>
              </w:rPr>
              <w:t>Obstetrics and gynaecology</w:t>
            </w: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EJOG</w:t>
            </w:r>
          </w:p>
        </w:tc>
        <w:tc>
          <w:tcPr>
            <w:tcW w:w="3119" w:type="dxa"/>
          </w:tcPr>
          <w:p w:rsidR="00186273" w:rsidRPr="007268CD" w:rsidRDefault="00186273" w:rsidP="00D554BC">
            <w:pPr>
              <w:rPr>
                <w:sz w:val="22"/>
                <w:szCs w:val="22"/>
                <w:lang w:val="sv-SE"/>
              </w:rPr>
            </w:pPr>
            <w:r w:rsidRPr="007268CD">
              <w:rPr>
                <w:sz w:val="22"/>
                <w:szCs w:val="22"/>
                <w:lang w:val="sv-SE"/>
              </w:rPr>
              <w:t>Not specified</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JOG</w:t>
            </w:r>
          </w:p>
        </w:tc>
        <w:tc>
          <w:tcPr>
            <w:tcW w:w="3119" w:type="dxa"/>
          </w:tcPr>
          <w:p w:rsidR="00186273" w:rsidRPr="007268CD" w:rsidRDefault="00186273" w:rsidP="00D554BC">
            <w:pPr>
              <w:rPr>
                <w:sz w:val="22"/>
                <w:szCs w:val="22"/>
                <w:lang w:val="sv-SE"/>
              </w:rPr>
            </w:pPr>
            <w:r w:rsidRPr="007268CD">
              <w:rPr>
                <w:sz w:val="22"/>
                <w:szCs w:val="22"/>
                <w:lang w:val="sv-SE"/>
              </w:rPr>
              <w:t>Not specified</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BJOG</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 xml:space="preserve">Yes—  </w:t>
            </w:r>
            <w:r w:rsidRPr="007268CD">
              <w:rPr>
                <w:sz w:val="22"/>
                <w:szCs w:val="22"/>
              </w:rPr>
              <w:t>“religious interest”</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JOG of India</w:t>
            </w:r>
          </w:p>
        </w:tc>
        <w:tc>
          <w:tcPr>
            <w:tcW w:w="3119" w:type="dxa"/>
          </w:tcPr>
          <w:p w:rsidR="00186273" w:rsidRPr="007268CD" w:rsidRDefault="00186273" w:rsidP="00D554BC">
            <w:pPr>
              <w:rPr>
                <w:sz w:val="22"/>
                <w:szCs w:val="22"/>
                <w:lang w:val="sv-SE"/>
              </w:rPr>
            </w:pPr>
            <w:r w:rsidRPr="007268CD">
              <w:rPr>
                <w:sz w:val="22"/>
                <w:szCs w:val="22"/>
                <w:lang w:val="sv-SE"/>
              </w:rPr>
              <w:t>Not specified</w:t>
            </w:r>
          </w:p>
        </w:tc>
        <w:tc>
          <w:tcPr>
            <w:tcW w:w="2693" w:type="dxa"/>
          </w:tcPr>
          <w:p w:rsidR="00186273" w:rsidRPr="007268CD" w:rsidRDefault="00186273" w:rsidP="00D554BC">
            <w:pPr>
              <w:rPr>
                <w:sz w:val="22"/>
                <w:szCs w:val="22"/>
                <w:lang w:val="sv-SE"/>
              </w:rPr>
            </w:pPr>
            <w:r w:rsidRPr="007268CD">
              <w:rPr>
                <w:sz w:val="22"/>
                <w:szCs w:val="22"/>
                <w:lang w:val="sv-SE"/>
              </w:rPr>
              <w:t>Partly – ”personal beliefs”</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Indian Obs Gyn</w:t>
            </w:r>
          </w:p>
        </w:tc>
        <w:tc>
          <w:tcPr>
            <w:tcW w:w="3119" w:type="dxa"/>
          </w:tcPr>
          <w:p w:rsidR="00186273" w:rsidRPr="007268CD" w:rsidRDefault="00186273" w:rsidP="00D554BC">
            <w:pPr>
              <w:rPr>
                <w:sz w:val="22"/>
                <w:szCs w:val="22"/>
                <w:lang w:val="sv-SE"/>
              </w:rPr>
            </w:pPr>
            <w:r w:rsidRPr="007268CD">
              <w:rPr>
                <w:sz w:val="22"/>
                <w:szCs w:val="22"/>
                <w:lang w:val="sv-SE"/>
              </w:rPr>
              <w:t>Not specified</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r w:rsidR="00186273" w:rsidRPr="007268CD" w:rsidTr="00D554BC">
        <w:tc>
          <w:tcPr>
            <w:tcW w:w="1809" w:type="dxa"/>
          </w:tcPr>
          <w:p w:rsidR="00186273" w:rsidRPr="007268CD" w:rsidRDefault="00186273" w:rsidP="00D554BC">
            <w:pPr>
              <w:rPr>
                <w:sz w:val="22"/>
                <w:szCs w:val="22"/>
                <w:lang w:val="sv-SE"/>
              </w:rPr>
            </w:pPr>
            <w:r w:rsidRPr="007268CD">
              <w:rPr>
                <w:sz w:val="22"/>
                <w:szCs w:val="22"/>
                <w:lang w:val="sv-SE"/>
              </w:rPr>
              <w:t>IJOG</w:t>
            </w:r>
          </w:p>
        </w:tc>
        <w:tc>
          <w:tcPr>
            <w:tcW w:w="3119" w:type="dxa"/>
          </w:tcPr>
          <w:p w:rsidR="00186273" w:rsidRPr="007268CD" w:rsidRDefault="00186273" w:rsidP="00D554BC">
            <w:pPr>
              <w:rPr>
                <w:sz w:val="22"/>
                <w:szCs w:val="22"/>
                <w:lang w:val="sv-SE"/>
              </w:rPr>
            </w:pPr>
            <w:r w:rsidRPr="007268CD">
              <w:rPr>
                <w:sz w:val="22"/>
                <w:szCs w:val="22"/>
                <w:lang w:val="sv-SE"/>
              </w:rPr>
              <w:t>ICJME</w:t>
            </w:r>
          </w:p>
        </w:tc>
        <w:tc>
          <w:tcPr>
            <w:tcW w:w="2693" w:type="dxa"/>
          </w:tcPr>
          <w:p w:rsidR="00186273" w:rsidRPr="007268CD" w:rsidRDefault="00186273" w:rsidP="00D554BC">
            <w:pPr>
              <w:rPr>
                <w:sz w:val="22"/>
                <w:szCs w:val="22"/>
                <w:lang w:val="sv-SE"/>
              </w:rPr>
            </w:pPr>
            <w:r w:rsidRPr="007268CD">
              <w:rPr>
                <w:sz w:val="22"/>
                <w:szCs w:val="22"/>
                <w:lang w:val="sv-SE"/>
              </w:rPr>
              <w:t>No</w:t>
            </w:r>
          </w:p>
        </w:tc>
        <w:tc>
          <w:tcPr>
            <w:tcW w:w="1591" w:type="dxa"/>
            <w:vMerge/>
          </w:tcPr>
          <w:p w:rsidR="00186273" w:rsidRPr="007268CD" w:rsidRDefault="00186273" w:rsidP="00D554BC">
            <w:pPr>
              <w:rPr>
                <w:sz w:val="22"/>
                <w:szCs w:val="22"/>
                <w:lang w:val="sv-SE"/>
              </w:rPr>
            </w:pPr>
          </w:p>
        </w:tc>
      </w:tr>
    </w:tbl>
    <w:p w:rsidR="007268CD" w:rsidRPr="00240763" w:rsidRDefault="007268CD" w:rsidP="00240763">
      <w:pPr>
        <w:rPr>
          <w:rFonts w:eastAsia="Times New Roman"/>
          <w:color w:val="000000"/>
          <w:u w:color="000000"/>
          <w:lang w:eastAsia="sv-SE"/>
        </w:rPr>
      </w:pPr>
    </w:p>
    <w:sectPr w:rsidR="007268CD" w:rsidRPr="00240763">
      <w:headerReference w:type="default" r:id="rId7"/>
      <w:footerReference w:type="default" r:id="rId8"/>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6F2" w:rsidRDefault="00D726F2">
      <w:r>
        <w:separator/>
      </w:r>
    </w:p>
  </w:endnote>
  <w:endnote w:type="continuationSeparator" w:id="0">
    <w:p w:rsidR="00D726F2" w:rsidRDefault="00D7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63" w:rsidRDefault="00BD3E63">
    <w:pPr>
      <w:pStyle w:val="Sidhuvudoch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6F2" w:rsidRDefault="00D726F2">
      <w:r>
        <w:separator/>
      </w:r>
    </w:p>
  </w:footnote>
  <w:footnote w:type="continuationSeparator" w:id="0">
    <w:p w:rsidR="00D726F2" w:rsidRDefault="00D72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E63" w:rsidRDefault="00BD3E63">
    <w:pPr>
      <w:pStyle w:val="Sidhuvudochsidfo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rbjörn Nilsson">
    <w15:presenceInfo w15:providerId="AD" w15:userId="S-1-5-21-1004336348-1177238915-682003330-245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E63"/>
    <w:rsid w:val="00017715"/>
    <w:rsid w:val="00065540"/>
    <w:rsid w:val="000807A2"/>
    <w:rsid w:val="000B225A"/>
    <w:rsid w:val="00101997"/>
    <w:rsid w:val="00117B3E"/>
    <w:rsid w:val="00186273"/>
    <w:rsid w:val="001A19D8"/>
    <w:rsid w:val="00215A9E"/>
    <w:rsid w:val="00240763"/>
    <w:rsid w:val="00255B9E"/>
    <w:rsid w:val="00265365"/>
    <w:rsid w:val="002A65C4"/>
    <w:rsid w:val="002F064A"/>
    <w:rsid w:val="0033320E"/>
    <w:rsid w:val="003A2DEF"/>
    <w:rsid w:val="003E4087"/>
    <w:rsid w:val="004A6F1B"/>
    <w:rsid w:val="004B629E"/>
    <w:rsid w:val="004C0D31"/>
    <w:rsid w:val="004D7471"/>
    <w:rsid w:val="005D6F90"/>
    <w:rsid w:val="00624502"/>
    <w:rsid w:val="006546D3"/>
    <w:rsid w:val="0068010E"/>
    <w:rsid w:val="00695995"/>
    <w:rsid w:val="006B425B"/>
    <w:rsid w:val="006C215C"/>
    <w:rsid w:val="007268CD"/>
    <w:rsid w:val="00755759"/>
    <w:rsid w:val="00785413"/>
    <w:rsid w:val="0079295B"/>
    <w:rsid w:val="007F1E16"/>
    <w:rsid w:val="00802DBE"/>
    <w:rsid w:val="00814176"/>
    <w:rsid w:val="00892007"/>
    <w:rsid w:val="008A540C"/>
    <w:rsid w:val="009D5621"/>
    <w:rsid w:val="00A61EC6"/>
    <w:rsid w:val="00AB19BB"/>
    <w:rsid w:val="00AE2583"/>
    <w:rsid w:val="00BD3E63"/>
    <w:rsid w:val="00CE223D"/>
    <w:rsid w:val="00D40EBF"/>
    <w:rsid w:val="00D726F2"/>
    <w:rsid w:val="00D9095E"/>
    <w:rsid w:val="00E141AB"/>
    <w:rsid w:val="00E909BF"/>
    <w:rsid w:val="00EE7343"/>
    <w:rsid w:val="00F13165"/>
    <w:rsid w:val="00F70B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Neue" w:hAnsi="Helvetica Neue" w:cs="Arial Unicode MS"/>
      <w:color w:val="000000"/>
      <w:sz w:val="24"/>
      <w:szCs w:val="24"/>
    </w:rPr>
  </w:style>
  <w:style w:type="paragraph" w:styleId="BodyText">
    <w:name w:val="Body Text"/>
    <w:pPr>
      <w:spacing w:after="200" w:line="276" w:lineRule="auto"/>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rsid w:val="007854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413"/>
    <w:rPr>
      <w:rFonts w:ascii="Segoe UI" w:hAnsi="Segoe UI" w:cs="Segoe UI"/>
      <w:sz w:val="18"/>
      <w:szCs w:val="18"/>
      <w:lang w:val="en-US" w:eastAsia="en-US"/>
    </w:rPr>
  </w:style>
  <w:style w:type="table" w:customStyle="1" w:styleId="Tabellrutnt1">
    <w:name w:val="Tabellrutnät1"/>
    <w:basedOn w:val="TableNormal"/>
    <w:next w:val="TableGrid"/>
    <w:uiPriority w:val="59"/>
    <w:rsid w:val="007268CD"/>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2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Neue" w:hAnsi="Helvetica Neue" w:cs="Arial Unicode MS"/>
      <w:color w:val="000000"/>
      <w:sz w:val="24"/>
      <w:szCs w:val="24"/>
    </w:rPr>
  </w:style>
  <w:style w:type="paragraph" w:styleId="BodyText">
    <w:name w:val="Body Text"/>
    <w:pPr>
      <w:spacing w:after="200" w:line="276" w:lineRule="auto"/>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rsid w:val="007854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413"/>
    <w:rPr>
      <w:rFonts w:ascii="Segoe UI" w:hAnsi="Segoe UI" w:cs="Segoe UI"/>
      <w:sz w:val="18"/>
      <w:szCs w:val="18"/>
      <w:lang w:val="en-US" w:eastAsia="en-US"/>
    </w:rPr>
  </w:style>
  <w:style w:type="table" w:customStyle="1" w:styleId="Tabellrutnt1">
    <w:name w:val="Tabellrutnät1"/>
    <w:basedOn w:val="TableNormal"/>
    <w:next w:val="TableGrid"/>
    <w:uiPriority w:val="59"/>
    <w:rsid w:val="007268CD"/>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2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3745</Characters>
  <Application>Microsoft Office Word</Application>
  <DocSecurity>0</DocSecurity>
  <Lines>31</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Örebro läns landsting</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Breimer Lars, Labmed USÖ</dc:creator>
  <cp:lastModifiedBy>Admin</cp:lastModifiedBy>
  <cp:revision>2</cp:revision>
  <cp:lastPrinted>2017-08-31T06:26:00Z</cp:lastPrinted>
  <dcterms:created xsi:type="dcterms:W3CDTF">2017-10-10T07:47:00Z</dcterms:created>
  <dcterms:modified xsi:type="dcterms:W3CDTF">2017-10-10T07:47:00Z</dcterms:modified>
</cp:coreProperties>
</file>