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Title page</w:t>
      </w:r>
    </w:p>
    <w:p>
      <w:pPr>
        <w:spacing w:after="0"/>
        <w:rPr>
          <w:rFonts w:ascii="Times New Roman" w:hAnsi="Times New Roman" w:cs="Times New Roman"/>
          <w:sz w:val="24"/>
          <w:szCs w:val="24"/>
          <w:u w:val="single"/>
        </w:rPr>
      </w:pPr>
    </w:p>
    <w:p>
      <w:pPr>
        <w:spacing w:after="0"/>
        <w:rPr>
          <w:rFonts w:ascii="Times New Roman" w:hAnsi="Times New Roman" w:cs="Times New Roman"/>
          <w:b/>
          <w:bCs/>
          <w:sz w:val="28"/>
          <w:szCs w:val="28"/>
        </w:rPr>
      </w:pPr>
      <w:r>
        <w:rPr>
          <w:rFonts w:ascii="Times New Roman" w:hAnsi="Times New Roman" w:cs="Times New Roman"/>
          <w:b/>
          <w:bCs/>
          <w:sz w:val="28"/>
          <w:szCs w:val="28"/>
        </w:rPr>
        <w:t xml:space="preserve">Title of the Article: </w:t>
      </w:r>
    </w:p>
    <w:p>
      <w:pPr>
        <w:spacing w:after="0"/>
        <w:rPr>
          <w:rFonts w:ascii="Times New Roman" w:hAnsi="Times New Roman" w:cs="Times New Roman"/>
          <w:bCs/>
          <w:sz w:val="24"/>
          <w:szCs w:val="18"/>
        </w:rPr>
      </w:pPr>
      <w:r>
        <w:rPr>
          <w:rFonts w:ascii="Times New Roman" w:hAnsi="Times New Roman" w:cs="Times New Roman"/>
          <w:bCs/>
          <w:sz w:val="24"/>
          <w:szCs w:val="18"/>
        </w:rPr>
        <w:t>Prospect of Medical Tourism in the state of Odisha: An analytical report from the selected private tertiary care hospitals</w:t>
      </w:r>
    </w:p>
    <w:p>
      <w:pPr>
        <w:spacing w:after="0"/>
        <w:rPr>
          <w:rFonts w:ascii="Times New Roman" w:hAnsi="Times New Roman" w:cs="Times New Roman"/>
          <w:b/>
          <w:sz w:val="28"/>
        </w:rPr>
      </w:pPr>
    </w:p>
    <w:p>
      <w:pPr>
        <w:spacing w:after="0"/>
        <w:rPr>
          <w:rFonts w:ascii="Times New Roman" w:hAnsi="Times New Roman" w:cs="Times New Roman"/>
          <w:b/>
          <w:sz w:val="28"/>
        </w:rPr>
      </w:pPr>
      <w:r>
        <w:rPr>
          <w:rFonts w:ascii="Times New Roman" w:hAnsi="Times New Roman" w:cs="Times New Roman"/>
          <w:b/>
          <w:sz w:val="28"/>
        </w:rPr>
        <w:t>Short Title:</w:t>
      </w:r>
    </w:p>
    <w:p>
      <w:pPr>
        <w:spacing w:after="0"/>
        <w:rPr>
          <w:rFonts w:ascii="Times New Roman" w:hAnsi="Times New Roman" w:cs="Times New Roman"/>
          <w:bCs/>
          <w:sz w:val="28"/>
        </w:rPr>
      </w:pPr>
      <w:r>
        <w:rPr>
          <w:rFonts w:ascii="Times New Roman" w:hAnsi="Times New Roman" w:cs="Times New Roman"/>
          <w:bCs/>
          <w:sz w:val="28"/>
        </w:rPr>
        <w:t>Medical tourism prospect in Odisha</w:t>
      </w:r>
    </w:p>
    <w:p>
      <w:pPr>
        <w:spacing w:after="0"/>
        <w:rPr>
          <w:rFonts w:ascii="Times New Roman" w:hAnsi="Times New Roman" w:cs="Times New Roman"/>
          <w:bCs/>
          <w:sz w:val="28"/>
        </w:rPr>
      </w:pPr>
    </w:p>
    <w:p>
      <w:pPr>
        <w:spacing w:after="0"/>
        <w:rPr>
          <w:rFonts w:ascii="Times New Roman" w:hAnsi="Times New Roman" w:cs="Times New Roman"/>
          <w:b/>
          <w:sz w:val="28"/>
        </w:rPr>
      </w:pPr>
      <w:r>
        <w:rPr>
          <w:rFonts w:ascii="Times New Roman" w:hAnsi="Times New Roman" w:cs="Times New Roman"/>
          <w:b/>
          <w:sz w:val="28"/>
        </w:rPr>
        <w:t>Word Count:24</w:t>
      </w:r>
      <w:r>
        <w:rPr>
          <w:rFonts w:ascii="Times New Roman" w:hAnsi="Times New Roman" w:cs="Times New Roman"/>
          <w:b/>
          <w:sz w:val="28"/>
          <w:lang w:val="en-US"/>
        </w:rPr>
        <w:t xml:space="preserve">27  </w:t>
      </w:r>
    </w:p>
    <w:p>
      <w:pPr>
        <w:spacing w:after="0"/>
        <w:rPr>
          <w:rFonts w:ascii="Times New Roman" w:hAnsi="Times New Roman" w:cs="Times New Roman"/>
          <w:bCs/>
          <w:sz w:val="28"/>
        </w:rPr>
      </w:pPr>
      <w:r>
        <w:rPr>
          <w:rFonts w:ascii="Times New Roman" w:hAnsi="Times New Roman" w:cs="Times New Roman"/>
          <w:bCs/>
          <w:sz w:val="28"/>
        </w:rPr>
        <w:t>Abstract: 245</w:t>
      </w:r>
    </w:p>
    <w:p>
      <w:pPr>
        <w:spacing w:after="0"/>
        <w:rPr>
          <w:rFonts w:ascii="Times New Roman" w:hAnsi="Times New Roman" w:cs="Times New Roman"/>
          <w:bCs/>
          <w:sz w:val="28"/>
        </w:rPr>
      </w:pPr>
      <w:r>
        <w:rPr>
          <w:rFonts w:ascii="Times New Roman" w:hAnsi="Times New Roman" w:cs="Times New Roman"/>
          <w:bCs/>
          <w:sz w:val="28"/>
        </w:rPr>
        <w:t>Main Text:218</w:t>
      </w:r>
      <w:r>
        <w:rPr>
          <w:rFonts w:ascii="Times New Roman" w:hAnsi="Times New Roman" w:cs="Times New Roman"/>
          <w:bCs/>
          <w:sz w:val="28"/>
          <w:lang w:val="en-US"/>
        </w:rPr>
        <w:t>2</w:t>
      </w:r>
    </w:p>
    <w:p>
      <w:pPr>
        <w:spacing w:after="0"/>
        <w:rPr>
          <w:rFonts w:ascii="Times New Roman" w:hAnsi="Times New Roman" w:cs="Times New Roman"/>
          <w:bCs/>
          <w:sz w:val="28"/>
        </w:rPr>
      </w:pPr>
    </w:p>
    <w:p>
      <w:pPr>
        <w:spacing w:after="0"/>
        <w:rPr>
          <w:rFonts w:ascii="Times New Roman" w:hAnsi="Times New Roman" w:cs="Times New Roman"/>
          <w:bCs/>
          <w:sz w:val="28"/>
        </w:rPr>
      </w:pPr>
      <w:r>
        <w:rPr>
          <w:rFonts w:ascii="Times New Roman" w:hAnsi="Times New Roman" w:cs="Times New Roman"/>
          <w:b/>
          <w:sz w:val="28"/>
        </w:rPr>
        <w:t>Number of References: 23</w:t>
      </w:r>
    </w:p>
    <w:p>
      <w:pPr>
        <w:spacing w:after="0"/>
        <w:rPr>
          <w:rFonts w:ascii="Times New Roman" w:hAnsi="Times New Roman" w:cs="Times New Roman"/>
          <w:bCs/>
          <w:sz w:val="28"/>
        </w:rPr>
      </w:pPr>
    </w:p>
    <w:p>
      <w:pPr>
        <w:spacing w:after="0"/>
        <w:rPr>
          <w:rFonts w:ascii="Times New Roman" w:hAnsi="Times New Roman" w:cs="Times New Roman"/>
          <w:bCs/>
          <w:sz w:val="28"/>
        </w:rPr>
      </w:pPr>
      <w:r>
        <w:rPr>
          <w:rFonts w:ascii="Times New Roman" w:hAnsi="Times New Roman" w:cs="Times New Roman"/>
          <w:b/>
          <w:sz w:val="28"/>
        </w:rPr>
        <w:t>Number of Figures: 5</w:t>
      </w:r>
    </w:p>
    <w:p>
      <w:pPr>
        <w:spacing w:after="0"/>
        <w:rPr>
          <w:rFonts w:ascii="Times New Roman" w:hAnsi="Times New Roman" w:cs="Times New Roman"/>
          <w:bCs/>
          <w:sz w:val="28"/>
        </w:rPr>
      </w:pPr>
    </w:p>
    <w:p>
      <w:pPr>
        <w:spacing w:after="0"/>
        <w:rPr>
          <w:rFonts w:ascii="Times New Roman" w:hAnsi="Times New Roman" w:cs="Times New Roman"/>
          <w:bCs/>
          <w:sz w:val="28"/>
        </w:rPr>
      </w:pPr>
      <w:r>
        <w:rPr>
          <w:rFonts w:ascii="Times New Roman" w:hAnsi="Times New Roman" w:cs="Times New Roman"/>
          <w:b/>
          <w:sz w:val="28"/>
        </w:rPr>
        <w:t>Number of Tables: 5</w:t>
      </w:r>
    </w:p>
    <w:p>
      <w:pPr>
        <w:spacing w:after="0"/>
        <w:rPr>
          <w:rFonts w:ascii="Times New Roman" w:hAnsi="Times New Roman" w:cs="Times New Roman"/>
          <w:bCs/>
          <w:sz w:val="28"/>
        </w:rPr>
      </w:pPr>
    </w:p>
    <w:p>
      <w:pPr>
        <w:spacing w:after="0"/>
        <w:rPr>
          <w:rFonts w:ascii="Times New Roman" w:hAnsi="Times New Roman" w:cs="Times New Roman"/>
          <w:b/>
          <w:sz w:val="28"/>
        </w:rPr>
      </w:pPr>
      <w:r>
        <w:rPr>
          <w:rFonts w:ascii="Times New Roman" w:hAnsi="Times New Roman" w:cs="Times New Roman"/>
          <w:b/>
          <w:sz w:val="28"/>
        </w:rPr>
        <w:t>Authors:</w:t>
      </w:r>
    </w:p>
    <w:p>
      <w:pPr>
        <w:spacing w:after="0"/>
        <w:jc w:val="center"/>
        <w:rPr>
          <w:rFonts w:ascii="Times New Roman" w:hAnsi="Times New Roman" w:cs="Times New Roman"/>
          <w:b/>
          <w:sz w:val="28"/>
        </w:rPr>
      </w:pPr>
    </w:p>
    <w:p>
      <w:pPr>
        <w:pStyle w:val="7"/>
        <w:numPr>
          <w:ilvl w:val="0"/>
          <w:numId w:val="1"/>
        </w:numPr>
        <w:spacing w:after="0"/>
        <w:ind w:left="426"/>
        <w:outlineLvl w:val="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Ansuman Samal</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Asst. Professor, Faculty of Hospitality &amp; Tourism Management, </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Siksha ‘O’ Anusandhan University, Bhubaneswar, Odisha, India; </w:t>
      </w:r>
    </w:p>
    <w:p>
      <w:pPr>
        <w:pStyle w:val="7"/>
        <w:spacing w:after="0"/>
        <w:ind w:left="426"/>
        <w:outlineLvl w:val="0"/>
      </w:pPr>
      <w:r>
        <w:rPr>
          <w:rFonts w:ascii="Times New Roman" w:hAnsi="Times New Roman" w:cs="Times New Roman"/>
          <w:bCs/>
          <w:color w:val="000000" w:themeColor="text1"/>
          <w:sz w:val="24"/>
        </w:rPr>
        <w:t xml:space="preserve">Mob: + 91-9437858200; Email: </w:t>
      </w:r>
      <w:r>
        <w:fldChar w:fldCharType="begin"/>
      </w:r>
      <w:r>
        <w:instrText xml:space="preserve"> HYPERLINK "mailto:ansumansamal@soauniversity.ac.in" </w:instrText>
      </w:r>
      <w:r>
        <w:fldChar w:fldCharType="separate"/>
      </w:r>
      <w:r>
        <w:rPr>
          <w:rStyle w:val="5"/>
          <w:rFonts w:ascii="Times New Roman" w:hAnsi="Times New Roman" w:cs="Times New Roman"/>
          <w:color w:val="000000" w:themeColor="text1"/>
          <w:sz w:val="24"/>
          <w:u w:val="none"/>
        </w:rPr>
        <w:t>ansumansamal@soauniversity.ac.in</w:t>
      </w:r>
      <w:r>
        <w:rPr>
          <w:rStyle w:val="5"/>
          <w:rFonts w:ascii="Times New Roman" w:hAnsi="Times New Roman" w:cs="Times New Roman"/>
          <w:color w:val="000000" w:themeColor="text1"/>
          <w:sz w:val="24"/>
          <w:u w:val="none"/>
        </w:rPr>
        <w:fldChar w:fldCharType="end"/>
      </w:r>
    </w:p>
    <w:p>
      <w:pPr>
        <w:pStyle w:val="7"/>
        <w:numPr>
          <w:ilvl w:val="0"/>
          <w:numId w:val="1"/>
        </w:numPr>
        <w:spacing w:after="0"/>
        <w:ind w:left="426"/>
        <w:outlineLvl w:val="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Prof. (Dr.) Bibhuti Bhusan Pradhan</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Registrar, Siksha ‘O’ Anusandhan University, Bhubaneswar, Odisha, India</w:t>
      </w:r>
    </w:p>
    <w:p>
      <w:pPr>
        <w:pStyle w:val="7"/>
        <w:spacing w:after="0"/>
        <w:ind w:left="426"/>
        <w:outlineLvl w:val="0"/>
        <w:rPr>
          <w:rFonts w:ascii="Times New Roman" w:hAnsi="Times New Roman" w:cs="Times New Roman"/>
          <w:sz w:val="28"/>
        </w:rPr>
      </w:pPr>
      <w:r>
        <w:rPr>
          <w:rFonts w:ascii="Times New Roman" w:hAnsi="Times New Roman" w:cs="Times New Roman"/>
          <w:bCs/>
          <w:color w:val="000000" w:themeColor="text1"/>
          <w:sz w:val="24"/>
        </w:rPr>
        <w:t xml:space="preserve">Mob: +91- 9437031388; Email: </w:t>
      </w:r>
      <w:r>
        <w:fldChar w:fldCharType="begin"/>
      </w:r>
      <w:r>
        <w:instrText xml:space="preserve"> HYPERLINK "mailto:registrar@soauniversity.ac.in" </w:instrText>
      </w:r>
      <w:r>
        <w:fldChar w:fldCharType="separate"/>
      </w:r>
      <w:r>
        <w:rPr>
          <w:rStyle w:val="5"/>
          <w:rFonts w:ascii="Times New Roman" w:hAnsi="Times New Roman" w:cs="Times New Roman"/>
          <w:color w:val="000000" w:themeColor="text1"/>
          <w:sz w:val="24"/>
          <w:u w:val="none"/>
        </w:rPr>
        <w:t>registrar@soauniversity.ac.in</w:t>
      </w:r>
      <w:r>
        <w:rPr>
          <w:rStyle w:val="5"/>
          <w:rFonts w:ascii="Times New Roman" w:hAnsi="Times New Roman" w:cs="Times New Roman"/>
          <w:color w:val="000000" w:themeColor="text1"/>
          <w:sz w:val="24"/>
          <w:u w:val="none"/>
        </w:rPr>
        <w:fldChar w:fldCharType="end"/>
      </w:r>
    </w:p>
    <w:p>
      <w:pPr>
        <w:pStyle w:val="7"/>
        <w:numPr>
          <w:ilvl w:val="0"/>
          <w:numId w:val="1"/>
        </w:numPr>
        <w:spacing w:after="0"/>
        <w:ind w:left="426"/>
        <w:outlineLvl w:val="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Dr. Manas Ranjan Mishra*</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Associate. Professor, Dept. of Pharmacology, Kalinga Institute of Medical Sciences,KIIT University, Bhubaneswar, Odisha, India</w:t>
      </w:r>
    </w:p>
    <w:p>
      <w:pPr>
        <w:pStyle w:val="7"/>
        <w:spacing w:after="0"/>
        <w:ind w:left="426"/>
        <w:outlineLvl w:val="0"/>
      </w:pPr>
      <w:r>
        <w:rPr>
          <w:rFonts w:ascii="Times New Roman" w:hAnsi="Times New Roman" w:cs="Times New Roman"/>
          <w:bCs/>
          <w:color w:val="000000" w:themeColor="text1"/>
          <w:sz w:val="24"/>
        </w:rPr>
        <w:t xml:space="preserve">Mob: +91-9338816676; Email: </w:t>
      </w:r>
      <w:r>
        <w:rPr>
          <w:rFonts w:ascii="Times New Roman" w:hAnsi="Times New Roman" w:cs="Times New Roman"/>
          <w:bCs/>
          <w:sz w:val="24"/>
        </w:rPr>
        <w:t>drmrmishra@gmail.com</w:t>
      </w:r>
    </w:p>
    <w:p>
      <w:pPr>
        <w:pStyle w:val="7"/>
        <w:numPr>
          <w:ilvl w:val="0"/>
          <w:numId w:val="1"/>
        </w:numPr>
        <w:spacing w:after="0"/>
        <w:ind w:left="426"/>
        <w:outlineLvl w:val="0"/>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Prof. (Dr.) Jyotirmoyee Jena</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Professor, Dept. of Pharmacology, Kalinga Institute of Medical Sciences,</w:t>
      </w:r>
    </w:p>
    <w:p>
      <w:pPr>
        <w:pStyle w:val="7"/>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KIIT University, Bhubaneswar, Odisha, India</w:t>
      </w:r>
    </w:p>
    <w:p>
      <w:pPr>
        <w:pStyle w:val="7"/>
        <w:spacing w:after="0"/>
        <w:ind w:left="426"/>
        <w:outlineLvl w:val="0"/>
        <w:rPr>
          <w:rFonts w:ascii="Times New Roman" w:hAnsi="Times New Roman" w:cs="Times New Roman"/>
          <w:sz w:val="28"/>
        </w:rPr>
      </w:pPr>
      <w:r>
        <w:rPr>
          <w:rFonts w:ascii="Times New Roman" w:hAnsi="Times New Roman" w:cs="Times New Roman"/>
          <w:bCs/>
          <w:color w:val="000000" w:themeColor="text1"/>
          <w:sz w:val="24"/>
        </w:rPr>
        <w:t xml:space="preserve">Mob: +91-8280056315; Email: </w:t>
      </w:r>
      <w:r>
        <w:rPr>
          <w:rFonts w:ascii="Times New Roman" w:hAnsi="Times New Roman" w:cs="Times New Roman"/>
          <w:bCs/>
          <w:sz w:val="24"/>
        </w:rPr>
        <w:t>jyotirmoyee.jena123@gmail.com</w:t>
      </w:r>
    </w:p>
    <w:p>
      <w:pPr>
        <w:pStyle w:val="7"/>
        <w:spacing w:after="0"/>
        <w:ind w:left="426"/>
        <w:outlineLvl w:val="0"/>
        <w:rPr>
          <w:rFonts w:ascii="Times New Roman" w:hAnsi="Times New Roman" w:cs="Times New Roman"/>
          <w:sz w:val="12"/>
        </w:rPr>
      </w:pPr>
    </w:p>
    <w:p>
      <w:pPr>
        <w:pStyle w:val="7"/>
        <w:spacing w:after="0"/>
        <w:ind w:left="0"/>
        <w:outlineLvl w:val="0"/>
        <w:rPr>
          <w:rFonts w:ascii="Times New Roman" w:hAnsi="Times New Roman" w:cs="Times New Roman"/>
          <w:b/>
          <w:i/>
          <w:sz w:val="24"/>
          <w:szCs w:val="24"/>
        </w:rPr>
      </w:pPr>
      <w:r>
        <w:rPr>
          <w:rFonts w:ascii="Times New Roman" w:hAnsi="Times New Roman" w:cs="Times New Roman"/>
          <w:b/>
          <w:i/>
          <w:sz w:val="24"/>
          <w:szCs w:val="24"/>
        </w:rPr>
        <w:t>* - Corresponding Author</w:t>
      </w:r>
      <w:r>
        <w:rPr>
          <w:rFonts w:ascii="Times New Roman" w:hAnsi="Times New Roman" w:cs="Times New Roman"/>
          <w:b/>
          <w:i/>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Source of Support: NIL</w:t>
      </w:r>
    </w:p>
    <w:p>
      <w:pPr>
        <w:rPr>
          <w:rFonts w:ascii="Times New Roman" w:hAnsi="Times New Roman" w:cs="Times New Roman"/>
          <w:b/>
          <w:bCs/>
          <w:sz w:val="24"/>
          <w:szCs w:val="24"/>
        </w:rPr>
      </w:pPr>
      <w:r>
        <w:rPr>
          <w:rFonts w:ascii="Times New Roman" w:hAnsi="Times New Roman" w:cs="Times New Roman"/>
          <w:b/>
          <w:bCs/>
          <w:sz w:val="24"/>
          <w:szCs w:val="24"/>
        </w:rPr>
        <w:t>Conflict of Interest: None</w:t>
      </w:r>
    </w:p>
    <w:p>
      <w:pPr>
        <w:spacing w:after="0" w:line="240" w:lineRule="auto"/>
        <w:jc w:val="center"/>
        <w:outlineLvl w:val="0"/>
        <w:rPr>
          <w:rFonts w:ascii="Times New Roman" w:hAnsi="Times New Roman" w:cs="Times New Roman"/>
          <w:b/>
          <w:bCs/>
          <w:color w:val="000000" w:themeColor="text1"/>
          <w:sz w:val="24"/>
          <w:u w:val="single"/>
        </w:rPr>
      </w:pPr>
      <w:r>
        <w:rPr>
          <w:rFonts w:ascii="Times New Roman" w:hAnsi="Times New Roman" w:cs="Times New Roman"/>
          <w:b/>
          <w:bCs/>
          <w:color w:val="000000" w:themeColor="text1"/>
          <w:sz w:val="24"/>
          <w:u w:val="single"/>
        </w:rPr>
        <w:t>Abstract</w:t>
      </w:r>
    </w:p>
    <w:p>
      <w:pPr>
        <w:spacing w:after="0" w:line="240" w:lineRule="auto"/>
        <w:jc w:val="both"/>
        <w:outlineLvl w:val="0"/>
        <w:rPr>
          <w:rFonts w:ascii="Times New Roman" w:hAnsi="Times New Roman" w:cs="Times New Roman"/>
          <w:sz w:val="24"/>
          <w:szCs w:val="24"/>
        </w:rPr>
      </w:pPr>
      <w:r>
        <w:rPr>
          <w:rFonts w:ascii="Times New Roman" w:hAnsi="Times New Roman" w:cs="Times New Roman"/>
          <w:b/>
          <w:color w:val="000000" w:themeColor="text1"/>
          <w:sz w:val="24"/>
          <w:szCs w:val="24"/>
        </w:rPr>
        <w:t xml:space="preserve">Background: </w:t>
      </w:r>
      <w:r>
        <w:rPr>
          <w:rFonts w:ascii="Times New Roman" w:hAnsi="Times New Roman" w:cs="Times New Roman"/>
          <w:bCs/>
          <w:color w:val="000000" w:themeColor="text1"/>
          <w:sz w:val="24"/>
          <w:szCs w:val="24"/>
        </w:rPr>
        <w:t xml:space="preserve">Globalization and </w:t>
      </w:r>
      <w:r>
        <w:rPr>
          <w:rFonts w:ascii="Times New Roman" w:hAnsi="Times New Roman" w:cs="Times New Roman"/>
          <w:sz w:val="24"/>
          <w:szCs w:val="24"/>
        </w:rPr>
        <w:t xml:space="preserve">technological advancements has enabled health care sector worldwide to provide its services at an affordable cost thereby promoting medical tourism. Developing countries including India are also in the race to attract the people from other parts of the world to avail the health care services in the native land. </w:t>
      </w:r>
    </w:p>
    <w:p>
      <w:pPr>
        <w:spacing w:after="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Objectives:</w:t>
      </w:r>
      <w:r>
        <w:rPr>
          <w:rFonts w:ascii="Times New Roman" w:hAnsi="Times New Roman" w:cs="Times New Roman"/>
          <w:sz w:val="24"/>
          <w:szCs w:val="24"/>
        </w:rPr>
        <w:t xml:space="preserve"> This study is an attempt has to assess the ground realities of existing health care services in tertiary care hospitals in Odisha, to find out deficits and suggest corrective measures to facilitate medical tourism in the state. </w:t>
      </w:r>
    </w:p>
    <w:p>
      <w:pPr>
        <w:spacing w:after="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t xml:space="preserve"> Random sampling was done from three private tertiary care teaching hospitals. Opinions of the patients were captured in the form of questionnaire and assessed using SERVQUAL scale to find the gap between their expectations and perceptions. Likert scale was used to record the responses regarding the reason of their choice of hospitals, pricing of health services and attitudinal loyalty. </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Result:</w:t>
      </w:r>
      <w:r>
        <w:rPr>
          <w:rFonts w:ascii="Times New Roman" w:hAnsi="Times New Roman" w:cs="Times New Roman"/>
          <w:sz w:val="24"/>
          <w:szCs w:val="24"/>
        </w:rPr>
        <w:t xml:space="preserve"> The quality of the services was the major deciding factor while cost was the least in choosing any particular hospital. The gap between expectation and perception was highest for empathy of health care providers. Around half of the respondents were satisfied with the health care services provided. Most respondents had positive attitudinal loyalty towards the hospitals.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Ample scope of medical tourism exists in Odisha, provided continuous assessment of service qualities and necessary corrective measures are taken to reduce the gap between customer expectations and perceptions.</w:t>
      </w:r>
    </w:p>
    <w:p>
      <w:pPr>
        <w:spacing w:line="240" w:lineRule="auto"/>
        <w:jc w:val="both"/>
        <w:rPr>
          <w:rFonts w:ascii="Times New Roman" w:hAnsi="Times New Roman" w:cs="Times New Roman"/>
          <w:sz w:val="24"/>
          <w:szCs w:val="24"/>
        </w:rPr>
      </w:pPr>
    </w:p>
    <w:p>
      <w:pPr>
        <w:pStyle w:val="7"/>
        <w:spacing w:after="0" w:line="240" w:lineRule="auto"/>
        <w:ind w:left="0"/>
        <w:jc w:val="both"/>
        <w:outlineLvl w:val="0"/>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bCs/>
          <w:sz w:val="24"/>
          <w:szCs w:val="24"/>
        </w:rPr>
        <w:t xml:space="preserve"> Medical Tourism, Hospitals, Service Quality, SERVQUAL scale.</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Main Text</w:t>
      </w:r>
    </w:p>
    <w:p>
      <w:pPr>
        <w:pStyle w:val="7"/>
        <w:spacing w:after="0" w:line="240" w:lineRule="auto"/>
        <w:ind w:left="0"/>
        <w:jc w:val="both"/>
        <w:outlineLvl w:val="0"/>
        <w:rPr>
          <w:rFonts w:ascii="Times New Roman" w:hAnsi="Times New Roman" w:cs="Times New Roman"/>
          <w:b/>
          <w:sz w:val="24"/>
          <w:szCs w:val="24"/>
        </w:rPr>
      </w:pPr>
      <w:r>
        <w:rPr>
          <w:rFonts w:ascii="Times New Roman" w:hAnsi="Times New Roman" w:cs="Times New Roman"/>
          <w:b/>
          <w:sz w:val="24"/>
          <w:szCs w:val="24"/>
        </w:rPr>
        <w:t xml:space="preserve">Introduction: </w:t>
      </w:r>
    </w:p>
    <w:p>
      <w:pPr>
        <w:pStyle w:val="7"/>
        <w:spacing w:after="0" w:line="240" w:lineRule="auto"/>
        <w:ind w:left="0" w:firstLine="420"/>
        <w:jc w:val="both"/>
        <w:outlineLvl w:val="0"/>
        <w:rPr>
          <w:rFonts w:ascii="Times New Roman" w:hAnsi="Times New Roman" w:cs="Times New Roman"/>
          <w:sz w:val="24"/>
          <w:szCs w:val="24"/>
        </w:rPr>
      </w:pPr>
      <w:r>
        <w:rPr>
          <w:rFonts w:ascii="Times New Roman" w:hAnsi="Times New Roman" w:cs="Times New Roman"/>
          <w:sz w:val="24"/>
          <w:szCs w:val="24"/>
        </w:rPr>
        <w:t>Medical Tourism is about visiting a foreign land for availing health care services.</w:t>
      </w:r>
      <w:r>
        <w:rPr>
          <w:rFonts w:ascii="Times New Roman" w:hAnsi="Times New Roman" w:cs="Times New Roman"/>
          <w:sz w:val="24"/>
          <w:szCs w:val="24"/>
          <w:vertAlign w:val="superscript"/>
        </w:rPr>
        <w:t>1,2</w:t>
      </w:r>
      <w:r>
        <w:rPr>
          <w:rFonts w:ascii="Times New Roman" w:hAnsi="Times New Roman" w:cs="Times New Roman"/>
          <w:sz w:val="24"/>
          <w:szCs w:val="24"/>
        </w:rPr>
        <w:t xml:space="preserve"> After the globalization has started, the physical, financial, technical &amp; psychological barriers of people has been reduced substantially. Health care sector in many developing countries has improved a lot providing quality medical services and India is no exception to it. At present, patients from the developed world, are not hesitating to visit the developing countries for availing health care due to factors like costs, waiting time, privacy, confidentialities, availability of specific medical services.</w:t>
      </w:r>
      <w:r>
        <w:rPr>
          <w:rFonts w:ascii="Times New Roman" w:hAnsi="Times New Roman" w:cs="Times New Roman"/>
          <w:sz w:val="24"/>
          <w:szCs w:val="24"/>
          <w:vertAlign w:val="superscript"/>
        </w:rPr>
        <w:t>2</w:t>
      </w:r>
      <w:r>
        <w:rPr>
          <w:rFonts w:ascii="Times New Roman" w:hAnsi="Times New Roman" w:cs="Times New Roman"/>
          <w:sz w:val="24"/>
          <w:szCs w:val="24"/>
        </w:rPr>
        <w:t>Over the last 2 decades, factors like the skilled physicians, modern hospitals, quality nursing care, use of cutting edge technology, strong value proposition on costs, international banking facilities, least waiting periods for the international patients, good hospitality propelled India significantly in the world medical tourism map (Figure 1).</w:t>
      </w:r>
      <w:r>
        <w:rPr>
          <w:rFonts w:ascii="Times New Roman" w:hAnsi="Times New Roman" w:cs="Times New Roman"/>
          <w:sz w:val="24"/>
          <w:szCs w:val="24"/>
          <w:vertAlign w:val="superscript"/>
        </w:rPr>
        <w:t>3,4</w:t>
      </w:r>
      <w:r>
        <w:rPr>
          <w:rFonts w:ascii="Times New Roman" w:hAnsi="Times New Roman" w:cs="Times New Roman"/>
          <w:sz w:val="24"/>
          <w:szCs w:val="24"/>
        </w:rPr>
        <w:t xml:space="preserve"> Additionally, use of alternative medicine, wellness, rejuvenation programs associated with ancient religious, cultural and natural attractions have given India an extra mileage in the race .</w:t>
      </w:r>
    </w:p>
    <w:p>
      <w:pPr>
        <w:pStyle w:val="7"/>
        <w:spacing w:after="0" w:line="240" w:lineRule="auto"/>
        <w:ind w:left="0" w:firstLine="420"/>
        <w:jc w:val="both"/>
        <w:outlineLvl w:val="0"/>
        <w:rPr>
          <w:rFonts w:ascii="Times New Roman" w:hAnsi="Times New Roman" w:cs="Times New Roman"/>
          <w:sz w:val="24"/>
          <w:szCs w:val="24"/>
        </w:rPr>
      </w:pPr>
      <w:r>
        <w:rPr>
          <w:rFonts w:ascii="Times New Roman" w:hAnsi="Times New Roman" w:cs="Times New Roman"/>
          <w:sz w:val="24"/>
          <w:szCs w:val="24"/>
        </w:rPr>
        <w:t>India is ranked amongst the top world destinations in terms of offering cross border health care.</w:t>
      </w:r>
      <w:r>
        <w:rPr>
          <w:rFonts w:ascii="Times New Roman" w:hAnsi="Times New Roman" w:cs="Times New Roman"/>
          <w:sz w:val="24"/>
          <w:szCs w:val="24"/>
          <w:vertAlign w:val="superscript"/>
        </w:rPr>
        <w:t>5</w:t>
      </w:r>
      <w:r>
        <w:rPr>
          <w:rFonts w:ascii="Times New Roman" w:hAnsi="Times New Roman" w:cs="Times New Roman"/>
          <w:sz w:val="24"/>
          <w:szCs w:val="24"/>
        </w:rPr>
        <w:t>The global medical tourism industry was estimated at USD10.5 billion in 2012 and expected to grow at a CAGR of 17.9 per cent to reach USD32.5 billion in 2019.</w:t>
      </w:r>
      <w:r>
        <w:rPr>
          <w:rFonts w:ascii="Times New Roman" w:hAnsi="Times New Roman" w:cs="Times New Roman"/>
          <w:sz w:val="24"/>
          <w:szCs w:val="24"/>
          <w:vertAlign w:val="superscript"/>
        </w:rPr>
        <w:t>6</w:t>
      </w:r>
      <w:r>
        <w:rPr>
          <w:rFonts w:ascii="Times New Roman" w:hAnsi="Times New Roman" w:cs="Times New Roman"/>
          <w:sz w:val="24"/>
          <w:szCs w:val="24"/>
        </w:rPr>
        <w:t>India issued around 1.78 lakh medical visas in 2016 that includes follow up treatment, as against the 1.22 lakh in 2015. The country is witnessing 22-25 percent growth each year and it is predicted to reach $6 billion by the end of 2018.</w:t>
      </w:r>
      <w:r>
        <w:rPr>
          <w:rFonts w:ascii="Times New Roman" w:hAnsi="Times New Roman" w:cs="Times New Roman"/>
          <w:sz w:val="24"/>
          <w:szCs w:val="24"/>
          <w:vertAlign w:val="superscript"/>
        </w:rPr>
        <w:t>7</w:t>
      </w:r>
      <w:r>
        <w:rPr>
          <w:rFonts w:ascii="Times New Roman" w:hAnsi="Times New Roman" w:cs="Times New Roman"/>
          <w:sz w:val="24"/>
          <w:szCs w:val="24"/>
        </w:rPr>
        <w:t xml:space="preserve"> Fueled by the boom in the corporate sector and whole hearted support from the government, India is positioned as a favoured destination for the medical tourists.</w:t>
      </w:r>
      <w:r>
        <w:rPr>
          <w:rFonts w:ascii="Times New Roman" w:hAnsi="Times New Roman" w:cs="Times New Roman"/>
          <w:sz w:val="24"/>
          <w:szCs w:val="24"/>
          <w:vertAlign w:val="superscript"/>
        </w:rPr>
        <w:t>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On the other hand several distressing &amp; disheartening news about infant and maternal mortalities, social taboos, eruption of epidemics like Dengue, </w:t>
      </w:r>
      <w:r>
        <w:rPr>
          <w:rFonts w:ascii="Times New Roman" w:hAnsi="Times New Roman" w:cs="Times New Roman"/>
          <w:bCs/>
          <w:sz w:val="24"/>
          <w:szCs w:val="24"/>
        </w:rPr>
        <w:t>Chikungunya</w:t>
      </w:r>
      <w:r>
        <w:rPr>
          <w:rFonts w:ascii="Times New Roman" w:hAnsi="Times New Roman" w:cs="Times New Roman"/>
          <w:sz w:val="24"/>
          <w:szCs w:val="24"/>
        </w:rPr>
        <w:t xml:space="preserve">, Japanese Encephalitis etc., sorry state of health care infrastructures are published in different media (print, electronic and social)from time to time points towards a very dismal state of the current health care system in India. While we are in the process of establishing India as a world-class health destination to attract medical tourist from across the countries, it is lagging far behind the developed nations in terms of provision of accessible, affordable quality health services for a large part of its population.    </w:t>
      </w:r>
    </w:p>
    <w:p>
      <w:pPr>
        <w:pStyle w:val="7"/>
        <w:spacing w:after="0" w:line="240" w:lineRule="auto"/>
        <w:ind w:left="0" w:firstLine="720"/>
        <w:jc w:val="both"/>
        <w:outlineLvl w:val="0"/>
        <w:rPr>
          <w:rFonts w:ascii="Times New Roman" w:hAnsi="Times New Roman" w:cs="Times New Roman"/>
          <w:sz w:val="24"/>
          <w:szCs w:val="24"/>
        </w:rPr>
      </w:pPr>
      <w:r>
        <w:rPr>
          <w:rFonts w:ascii="Times New Roman" w:hAnsi="Times New Roman" w:cs="Times New Roman"/>
          <w:sz w:val="24"/>
          <w:szCs w:val="24"/>
        </w:rPr>
        <w:t xml:space="preserve">With this background, we have tried to assess the service quality in few tertiary care teaching hospitals in order to understand and prepare a ground report of the services offered and tried to suggest some measures for improvement of facilities to make them able to compete in medical tourism at global scale.       </w:t>
      </w: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Materials and Methods:</w:t>
      </w:r>
    </w:p>
    <w:p>
      <w:pPr>
        <w:spacing w:line="240" w:lineRule="auto"/>
        <w:ind w:firstLine="420"/>
        <w:jc w:val="both"/>
        <w:rPr>
          <w:rFonts w:ascii="Times New Roman" w:hAnsi="Times New Roman" w:cs="Times New Roman"/>
          <w:b/>
          <w:bCs/>
          <w:sz w:val="24"/>
          <w:szCs w:val="24"/>
        </w:rPr>
      </w:pPr>
    </w:p>
    <w:p>
      <w:pPr>
        <w:spacing w:line="240" w:lineRule="auto"/>
        <w:ind w:firstLine="420"/>
        <w:jc w:val="both"/>
        <w:rPr>
          <w:rFonts w:ascii="Times New Roman" w:hAnsi="Times New Roman" w:cs="Times New Roman"/>
          <w:sz w:val="24"/>
          <w:szCs w:val="24"/>
        </w:rPr>
      </w:pPr>
      <w:r>
        <w:rPr>
          <w:rFonts w:ascii="Times New Roman" w:hAnsi="Times New Roman" w:cs="Times New Roman"/>
          <w:sz w:val="24"/>
          <w:szCs w:val="24"/>
        </w:rPr>
        <w:t>The study was conducted in three private teaching hospitals in Bhubaneswar, a prominent capital city in the eastern part of India namely IMS &amp; SUM Hospital, Kalinga Institute of Medical Sciences (KIMS) and Hi-tech Medical College providing tertiary health care services. The study was approved by the institutional ethics committees of the respective hospitals and informed consent of patients were obtained prior to their participation.</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Objectives of the study are to</w:t>
      </w:r>
    </w:p>
    <w:p>
      <w:pPr>
        <w:pStyle w:val="7"/>
        <w:numPr>
          <w:ilvl w:val="0"/>
          <w:numId w:val="2"/>
        </w:numPr>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Assess the reasons for which patients normally prefer to avail the services in the selected hospitals and the gap between their expectation and perception levels</w:t>
      </w:r>
    </w:p>
    <w:p>
      <w:pPr>
        <w:pStyle w:val="7"/>
        <w:numPr>
          <w:ilvl w:val="0"/>
          <w:numId w:val="2"/>
        </w:numPr>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Estimate average spending towards the various services of the hospital and map their levels of satisfaction and feelings towards the hospitals. </w:t>
      </w:r>
    </w:p>
    <w:p>
      <w:pPr>
        <w:pStyle w:val="7"/>
        <w:numPr>
          <w:ilvl w:val="0"/>
          <w:numId w:val="2"/>
        </w:numPr>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Build up suggestions for improving service qualities of the hospitals.</w:t>
      </w:r>
    </w:p>
    <w:p>
      <w:pPr>
        <w:spacing w:line="240" w:lineRule="auto"/>
        <w:ind w:firstLine="420"/>
        <w:jc w:val="both"/>
        <w:rPr>
          <w:rFonts w:ascii="Times New Roman" w:hAnsi="Times New Roman" w:cs="Times New Roman"/>
          <w:sz w:val="24"/>
          <w:szCs w:val="24"/>
        </w:rPr>
      </w:pPr>
      <w:r>
        <w:rPr>
          <w:rFonts w:ascii="Times New Roman" w:hAnsi="Times New Roman" w:cs="Times New Roman"/>
          <w:sz w:val="24"/>
          <w:szCs w:val="24"/>
        </w:rPr>
        <w:t>SERVQUAL scale developed by Parsuraman, Zeithamal and Berry was used for measuring the gap between the perception and expectation levels of patients.</w:t>
      </w:r>
      <w:r>
        <w:rPr>
          <w:rFonts w:ascii="Times New Roman" w:hAnsi="Times New Roman" w:cs="Times New Roman"/>
          <w:sz w:val="24"/>
          <w:szCs w:val="24"/>
          <w:vertAlign w:val="superscript"/>
        </w:rPr>
        <w:t>8,9</w:t>
      </w:r>
      <w:r>
        <w:rPr>
          <w:rFonts w:ascii="Times New Roman" w:hAnsi="Times New Roman" w:cs="Times New Roman"/>
          <w:sz w:val="24"/>
          <w:szCs w:val="24"/>
        </w:rPr>
        <w:t xml:space="preserve"> The scale containing a set of 22 parameters and covering 5 dimensions of customer perception along with some open ended questions in the form of a questionnaire was served to the patient to respond. A copy of sample questionnaire has been uploaded to Micosoft</w:t>
      </w:r>
      <w:r>
        <w:rPr>
          <w:rFonts w:ascii="Times New Roman" w:hAnsi="Times New Roman" w:cs="Times New Roman"/>
          <w:sz w:val="24"/>
          <w:szCs w:val="24"/>
          <w:vertAlign w:val="superscript"/>
        </w:rPr>
        <w:t>TM</w:t>
      </w:r>
      <w:r>
        <w:rPr>
          <w:rFonts w:ascii="Times New Roman" w:hAnsi="Times New Roman" w:cs="Times New Roman"/>
          <w:sz w:val="24"/>
          <w:szCs w:val="24"/>
        </w:rPr>
        <w:t xml:space="preserve"> Onedrive</w:t>
      </w:r>
      <w:r>
        <w:rPr>
          <w:rFonts w:ascii="Times New Roman" w:hAnsi="Times New Roman" w:cs="Times New Roman"/>
          <w:sz w:val="24"/>
          <w:szCs w:val="24"/>
          <w:vertAlign w:val="superscript"/>
        </w:rPr>
        <w:t>TM</w:t>
      </w:r>
      <w:r>
        <w:rPr>
          <w:rFonts w:ascii="Times New Roman" w:hAnsi="Times New Roman" w:cs="Times New Roman"/>
          <w:sz w:val="24"/>
          <w:szCs w:val="24"/>
        </w:rPr>
        <w:t xml:space="preserve"> cloud and can be viewed/downloaded </w:t>
      </w:r>
      <w:r>
        <w:rPr>
          <w:rFonts w:ascii="Times New Roman" w:hAnsi="Times New Roman" w:cs="Times New Roman"/>
          <w:sz w:val="24"/>
          <w:szCs w:val="24"/>
          <w:lang w:val="en-US"/>
        </w:rPr>
        <w:t>from</w:t>
      </w:r>
      <w:r>
        <w:rPr>
          <w:rFonts w:ascii="Times New Roman" w:hAnsi="Times New Roman" w:cs="Times New Roman"/>
          <w:sz w:val="24"/>
          <w:szCs w:val="24"/>
        </w:rPr>
        <w:t xml:space="preserve">: </w:t>
      </w:r>
      <w:r>
        <w:rPr>
          <w:rFonts w:ascii="Times New Roman" w:hAnsi="Times New Roman" w:eastAsia="SimSun" w:cs="Times New Roman"/>
          <w:sz w:val="24"/>
          <w:szCs w:val="24"/>
        </w:rPr>
        <w:t>https://goo.gl/xgYHZt</w:t>
      </w:r>
      <w:r>
        <w:rPr>
          <w:rFonts w:ascii="Times New Roman" w:hAnsi="Times New Roman" w:cs="Times New Roman"/>
          <w:sz w:val="24"/>
          <w:szCs w:val="24"/>
        </w:rPr>
        <w:t xml:space="preserve"> . The 5 dimensions were: </w:t>
      </w:r>
    </w:p>
    <w:p>
      <w:pPr>
        <w:pStyle w:val="7"/>
        <w:numPr>
          <w:ilvl w:val="0"/>
          <w:numId w:val="2"/>
        </w:numPr>
        <w:spacing w:line="240" w:lineRule="auto"/>
        <w:ind w:left="400"/>
        <w:jc w:val="both"/>
        <w:rPr>
          <w:rFonts w:ascii="Times New Roman" w:hAnsi="Times New Roman" w:cs="Times New Roman"/>
          <w:sz w:val="24"/>
          <w:szCs w:val="24"/>
        </w:rPr>
      </w:pPr>
      <w:r>
        <w:rPr>
          <w:rFonts w:ascii="Times New Roman" w:hAnsi="Times New Roman" w:cs="Times New Roman"/>
          <w:sz w:val="24"/>
          <w:szCs w:val="24"/>
        </w:rPr>
        <w:t xml:space="preserve">Tangibles – Includes the physical facilities, entities, equipments, personnel, their uniforms, languages etc. </w:t>
      </w:r>
    </w:p>
    <w:p>
      <w:pPr>
        <w:pStyle w:val="7"/>
        <w:numPr>
          <w:ilvl w:val="0"/>
          <w:numId w:val="2"/>
        </w:numPr>
        <w:spacing w:line="240" w:lineRule="auto"/>
        <w:ind w:left="400"/>
        <w:jc w:val="both"/>
        <w:rPr>
          <w:rFonts w:ascii="Times New Roman" w:hAnsi="Times New Roman" w:cs="Times New Roman"/>
          <w:sz w:val="24"/>
          <w:szCs w:val="24"/>
        </w:rPr>
      </w:pPr>
      <w:r>
        <w:rPr>
          <w:rFonts w:ascii="Times New Roman" w:hAnsi="Times New Roman" w:cs="Times New Roman"/>
          <w:sz w:val="24"/>
          <w:szCs w:val="24"/>
        </w:rPr>
        <w:t xml:space="preserve">Reliability – Ability of the firm (hospital) to carry on the services as promised. </w:t>
      </w:r>
    </w:p>
    <w:p>
      <w:pPr>
        <w:pStyle w:val="7"/>
        <w:numPr>
          <w:ilvl w:val="0"/>
          <w:numId w:val="2"/>
        </w:numPr>
        <w:spacing w:line="240" w:lineRule="auto"/>
        <w:ind w:left="400"/>
        <w:jc w:val="both"/>
        <w:rPr>
          <w:rFonts w:ascii="Times New Roman" w:hAnsi="Times New Roman" w:cs="Times New Roman"/>
          <w:sz w:val="24"/>
          <w:szCs w:val="24"/>
        </w:rPr>
      </w:pPr>
      <w:r>
        <w:rPr>
          <w:rFonts w:ascii="Times New Roman" w:hAnsi="Times New Roman" w:cs="Times New Roman"/>
          <w:sz w:val="24"/>
          <w:szCs w:val="24"/>
        </w:rPr>
        <w:t xml:space="preserve">Responsibility – Readiness of the company to provide the services. </w:t>
      </w:r>
    </w:p>
    <w:p>
      <w:pPr>
        <w:pStyle w:val="7"/>
        <w:numPr>
          <w:ilvl w:val="0"/>
          <w:numId w:val="2"/>
        </w:numPr>
        <w:spacing w:line="240" w:lineRule="auto"/>
        <w:ind w:left="400"/>
        <w:jc w:val="both"/>
        <w:rPr>
          <w:rFonts w:ascii="Times New Roman" w:hAnsi="Times New Roman" w:cs="Times New Roman"/>
          <w:sz w:val="24"/>
          <w:szCs w:val="24"/>
        </w:rPr>
      </w:pPr>
      <w:r>
        <w:rPr>
          <w:rFonts w:ascii="Times New Roman" w:hAnsi="Times New Roman" w:cs="Times New Roman"/>
          <w:sz w:val="24"/>
          <w:szCs w:val="24"/>
        </w:rPr>
        <w:t xml:space="preserve">Assurance: Knowledge and courtesy of the firm (hospital) to carry the service delivery process. </w:t>
      </w:r>
    </w:p>
    <w:p>
      <w:pPr>
        <w:pStyle w:val="7"/>
        <w:numPr>
          <w:ilvl w:val="0"/>
          <w:numId w:val="2"/>
        </w:numPr>
        <w:spacing w:line="240" w:lineRule="auto"/>
        <w:ind w:left="400"/>
        <w:jc w:val="both"/>
        <w:rPr>
          <w:rFonts w:ascii="Times New Roman" w:hAnsi="Times New Roman" w:cs="Times New Roman"/>
          <w:sz w:val="24"/>
          <w:szCs w:val="24"/>
        </w:rPr>
      </w:pPr>
      <w:r>
        <w:rPr>
          <w:rFonts w:ascii="Times New Roman" w:hAnsi="Times New Roman" w:cs="Times New Roman"/>
          <w:sz w:val="24"/>
          <w:szCs w:val="24"/>
        </w:rPr>
        <w:t>Empathy - The caring nature and ability to understand the suffering of others.</w:t>
      </w:r>
    </w:p>
    <w:p>
      <w:pPr>
        <w:spacing w:line="240" w:lineRule="auto"/>
        <w:ind w:left="40"/>
        <w:jc w:val="both"/>
        <w:rPr>
          <w:rFonts w:ascii="Times New Roman" w:hAnsi="Times New Roman" w:cs="Times New Roman"/>
          <w:sz w:val="24"/>
          <w:szCs w:val="24"/>
        </w:rPr>
      </w:pPr>
    </w:p>
    <w:p>
      <w:pPr>
        <w:spacing w:line="240" w:lineRule="auto"/>
        <w:ind w:left="40"/>
        <w:jc w:val="both"/>
        <w:rPr>
          <w:rFonts w:ascii="Times New Roman" w:hAnsi="Times New Roman" w:cs="Times New Roman"/>
          <w:sz w:val="24"/>
          <w:szCs w:val="24"/>
        </w:rPr>
      </w:pPr>
      <w:r>
        <w:rPr>
          <w:rFonts w:ascii="Times New Roman" w:hAnsi="Times New Roman" w:cs="Times New Roman"/>
          <w:sz w:val="24"/>
          <w:szCs w:val="24"/>
        </w:rPr>
        <w:t>The expressions of respondents in terms of perceptions and expectations were recorded in a five-point Likert Scale ranging from entirely disagree to entirely agree and was used for empirical analysis. The coding of the Likert scale was made as [1 = strongly disagree], [2 = disagree], [3 = neither agree nor disagree], [4 = agree], [5 = entirely agree].The total samples taken were 180 (60 from each hospital) conducted through non-probability convenience sampling. The target population belonging to category A, B and C of New Socio-economic Classification 2011as developed by Media Research User Council that takes number of consumer durables and education of chief wage earner into account, were considered for the study.</w:t>
      </w:r>
      <w:r>
        <w:rPr>
          <w:rFonts w:ascii="Times New Roman" w:hAnsi="Times New Roman" w:cs="Times New Roman"/>
          <w:sz w:val="24"/>
          <w:szCs w:val="24"/>
          <w:vertAlign w:val="superscript"/>
        </w:rPr>
        <w:t>10</w:t>
      </w:r>
    </w:p>
    <w:p>
      <w:pPr>
        <w:spacing w:line="240" w:lineRule="auto"/>
        <w:ind w:left="40"/>
        <w:jc w:val="both"/>
        <w:rPr>
          <w:rFonts w:ascii="Times New Roman" w:hAnsi="Times New Roman" w:cs="Times New Roman"/>
          <w:b/>
          <w:bCs/>
          <w:sz w:val="24"/>
          <w:szCs w:val="24"/>
        </w:rPr>
      </w:pPr>
      <w:r>
        <w:rPr>
          <w:rFonts w:ascii="Times New Roman" w:hAnsi="Times New Roman" w:cs="Times New Roman"/>
          <w:b/>
          <w:bCs/>
          <w:sz w:val="24"/>
          <w:szCs w:val="24"/>
        </w:rPr>
        <w:t>RESULTS</w:t>
      </w:r>
    </w:p>
    <w:p>
      <w:pPr>
        <w:pStyle w:val="7"/>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Demographic profile:</w:t>
      </w:r>
    </w:p>
    <w:p>
      <w:pPr>
        <w:pStyle w:val="7"/>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The demographic profiles of the respondents were collected and analyzed (Table 2). Majority of the respondents were male (71.11%). Nearly two-third of the respondents belonged to urban areas and majority of belonged to the SEC A (60%). Age wise, older patients participated and responded more to the questionnaire when approached. More than 85% of participants had the education level of HSC or above. Almost 50 percent of the respondents (i.e. 47.78 percent) were married with children and next in the order were older couple who stayed alone. When the monthly household income was considered, more than 75% of population was found to have monthly income Rs. 20000/- or more. As regards to the type of visit 63.89% of the respondents were revisiting the hospitals and average spending per visit to a hospital was Rs. 5000/- or more for more than 50% of the respondents.</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Reasons for availing health care in a particular hospital:</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choosing hospitals for availing the health care services, the major deciding factor was quality of services provided by them followed by hospital reputation, range of services offered, professional advice and convenience of the patient. Cost of the treatment was the least deciding factor wile choosing any particular hospital (Figure 2). </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SERVQUAL Statements: </w:t>
      </w: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Gap scores analysis between the expectation and perception levels of the customers revealed considerable gaps between the two (Table 3). Across the five segments, upon various parameters, the highest amounts of gaps between the perception and expectation levels were found as follows. </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Higher Costs of the treatments available</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Unresponsive nature of the doctors and paramedical staff members</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Absence of any feedback / complaint registration systems</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Unavailability of essential services in odd hours of operations</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Rude behaviour by the doctors and staff</w:t>
      </w:r>
    </w:p>
    <w:p>
      <w:pPr>
        <w:pStyle w:val="7"/>
        <w:numPr>
          <w:ilvl w:val="0"/>
          <w:numId w:val="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Longer waiting time for availing the services</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Dimension wise, highest gap score was found for the empathy of doctors and staffs followed by responsiveness, reliability, assurance and tangibility (Figure 3).  </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Overall Satisfaction towards the hospital:</w:t>
      </w:r>
    </w:p>
    <w:p>
      <w:pPr>
        <w:spacing w:after="0" w:line="240" w:lineRule="auto"/>
        <w:jc w:val="both"/>
        <w:rPr>
          <w:rFonts w:ascii="Times New Roman" w:hAnsi="Times New Roman" w:cs="Times New Roman"/>
          <w:bCs/>
          <w:sz w:val="24"/>
          <w:szCs w:val="24"/>
        </w:rPr>
      </w:pP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asked about the satisfaction level (Figure 4), 42.78% patients gave a relatively positive feedback (somewhat satisfied) whereas 23.89 percent gave relatively negative satisfaction scores (somewhat dissatisfied). About 10.00 percent of people remained neutral by not giving any specific satisfaction remark.  </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Concern towards the Pricing of various services:</w:t>
      </w:r>
    </w:p>
    <w:p>
      <w:pPr>
        <w:spacing w:line="240" w:lineRule="auto"/>
        <w:jc w:val="both"/>
        <w:rPr>
          <w:rFonts w:ascii="Times New Roman" w:hAnsi="Times New Roman" w:cs="Times New Roman"/>
          <w:bCs/>
          <w:i/>
          <w:sz w:val="24"/>
          <w:szCs w:val="24"/>
        </w:rPr>
      </w:pP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Taking affordability into consideration almost three-quarters of the patients opined the treatment procedure to be either expensive or very expensive and only less than a quarter respondents said them to be reasonable (Figure 5)</w:t>
      </w:r>
    </w:p>
    <w:p>
      <w:pPr>
        <w:spacing w:after="0" w:line="240" w:lineRule="auto"/>
        <w:jc w:val="both"/>
        <w:rPr>
          <w:rFonts w:ascii="Times New Roman" w:hAnsi="Times New Roman" w:eastAsia="Calibri" w:cs="Times New Roman"/>
          <w:b/>
          <w:bCs/>
          <w:sz w:val="24"/>
          <w:szCs w:val="24"/>
        </w:rPr>
      </w:pPr>
      <w:r>
        <w:rPr>
          <w:rFonts w:ascii="Times New Roman" w:hAnsi="Times New Roman" w:cs="Times New Roman"/>
          <w:b/>
          <w:bCs/>
          <w:sz w:val="24"/>
          <w:szCs w:val="24"/>
        </w:rPr>
        <w:t>Assessment of A</w:t>
      </w:r>
      <w:r>
        <w:rPr>
          <w:rFonts w:ascii="Times New Roman" w:hAnsi="Times New Roman" w:eastAsia="Calibri" w:cs="Times New Roman"/>
          <w:b/>
          <w:bCs/>
          <w:sz w:val="24"/>
          <w:szCs w:val="24"/>
        </w:rPr>
        <w:t>ttitudinal loyalty:</w:t>
      </w:r>
    </w:p>
    <w:p>
      <w:pPr>
        <w:spacing w:line="240" w:lineRule="auto"/>
        <w:jc w:val="both"/>
        <w:rPr>
          <w:rFonts w:ascii="Times New Roman" w:hAnsi="Times New Roman" w:cs="Times New Roman"/>
          <w:bCs/>
          <w:sz w:val="24"/>
          <w:szCs w:val="24"/>
        </w:rPr>
      </w:pPr>
    </w:p>
    <w:p>
      <w:pPr>
        <w:spacing w:line="240" w:lineRule="auto"/>
        <w:ind w:left="40"/>
        <w:jc w:val="both"/>
        <w:rPr>
          <w:rFonts w:ascii="Times New Roman" w:hAnsi="Times New Roman" w:cs="Times New Roman"/>
          <w:sz w:val="24"/>
          <w:szCs w:val="24"/>
        </w:rPr>
      </w:pPr>
      <w:r>
        <w:rPr>
          <w:rFonts w:ascii="Times New Roman" w:hAnsi="Times New Roman" w:cs="Times New Roman"/>
          <w:bCs/>
          <w:sz w:val="24"/>
          <w:szCs w:val="24"/>
        </w:rPr>
        <w:t>An attempt to capture the loyalty levels towards the hospital, showed get a relatively positive attitude of people towards them and they believe the services offered to be quite good, but in case of change of residence, they were not ready to avail the services from the same hospitals (Table 4).</w:t>
      </w:r>
    </w:p>
    <w:p>
      <w:pPr>
        <w:spacing w:line="240" w:lineRule="auto"/>
        <w:ind w:left="40"/>
        <w:jc w:val="both"/>
        <w:rPr>
          <w:rFonts w:ascii="Times New Roman" w:hAnsi="Times New Roman" w:cs="Times New Roman"/>
          <w:b/>
          <w:bCs/>
          <w:sz w:val="24"/>
          <w:szCs w:val="24"/>
        </w:rPr>
      </w:pPr>
    </w:p>
    <w:p>
      <w:pPr>
        <w:spacing w:line="240" w:lineRule="auto"/>
        <w:ind w:left="40"/>
        <w:jc w:val="both"/>
        <w:rPr>
          <w:rFonts w:ascii="Times New Roman" w:hAnsi="Times New Roman" w:cs="Times New Roman"/>
          <w:b/>
          <w:bCs/>
          <w:sz w:val="24"/>
          <w:szCs w:val="24"/>
        </w:rPr>
      </w:pPr>
      <w:r>
        <w:rPr>
          <w:rFonts w:ascii="Times New Roman" w:hAnsi="Times New Roman" w:cs="Times New Roman"/>
          <w:b/>
          <w:bCs/>
          <w:sz w:val="24"/>
          <w:szCs w:val="24"/>
        </w:rPr>
        <w:t>DISCUSSION:</w:t>
      </w:r>
    </w:p>
    <w:p>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Cs/>
          <w:sz w:val="24"/>
          <w:szCs w:val="24"/>
        </w:rPr>
        <w:t xml:space="preserve">ervice encounter is the core phase of a service delivery process. </w:t>
      </w:r>
      <w:r>
        <w:rPr>
          <w:rFonts w:ascii="Times New Roman" w:hAnsi="Times New Roman" w:cs="Times New Roman"/>
          <w:sz w:val="24"/>
          <w:szCs w:val="24"/>
        </w:rPr>
        <w:t>Service quality, customer satisfaction as well as loyalty have become the three cornerstones of success in gaining competitive advantage in the market.</w:t>
      </w:r>
      <w:r>
        <w:rPr>
          <w:rFonts w:ascii="Times New Roman" w:hAnsi="Times New Roman" w:cs="Times New Roman"/>
          <w:sz w:val="24"/>
          <w:szCs w:val="24"/>
          <w:vertAlign w:val="superscript"/>
        </w:rPr>
        <w:t>11</w:t>
      </w:r>
      <w:r>
        <w:rPr>
          <w:rFonts w:ascii="Times New Roman" w:hAnsi="Times New Roman" w:cs="Times New Roman"/>
          <w:sz w:val="24"/>
          <w:szCs w:val="24"/>
        </w:rPr>
        <w:t xml:space="preserve"> Service quality is a criterion of superior offerings which is associated with increased customer satisfaction, further translated into loyalty and repeat purchase intentions that ultimately leads to increased market share of the service provider.</w:t>
      </w:r>
      <w:r>
        <w:rPr>
          <w:rFonts w:ascii="Times New Roman" w:hAnsi="Times New Roman" w:cs="Times New Roman"/>
          <w:sz w:val="24"/>
          <w:szCs w:val="24"/>
          <w:vertAlign w:val="superscript"/>
        </w:rPr>
        <w:t xml:space="preserve">12,13,14 </w:t>
      </w:r>
      <w:r>
        <w:rPr>
          <w:rFonts w:ascii="Times New Roman" w:hAnsi="Times New Roman" w:cs="Times New Roman"/>
          <w:sz w:val="24"/>
          <w:szCs w:val="24"/>
        </w:rPr>
        <w:t xml:space="preserve"> For that we</w:t>
      </w:r>
      <w:r>
        <w:rPr>
          <w:rFonts w:ascii="Times New Roman" w:hAnsi="Times New Roman" w:cs="Times New Roman"/>
          <w:bCs/>
          <w:sz w:val="24"/>
          <w:szCs w:val="24"/>
        </w:rPr>
        <w:t xml:space="preserve"> need to ensure a pleasant and hassle free service experience by real-time follow-up and by extending a warm relation with the customers. In the long run, </w:t>
      </w:r>
      <w:r>
        <w:rPr>
          <w:rFonts w:ascii="Times New Roman" w:hAnsi="Times New Roman" w:cs="Times New Roman"/>
          <w:sz w:val="24"/>
          <w:szCs w:val="24"/>
        </w:rPr>
        <w:t>quality of services helps in creating the brand image of the service provider.</w:t>
      </w:r>
      <w:r>
        <w:rPr>
          <w:rFonts w:ascii="Times New Roman" w:hAnsi="Times New Roman" w:cs="Times New Roman"/>
          <w:sz w:val="24"/>
          <w:szCs w:val="24"/>
          <w:vertAlign w:val="superscript"/>
        </w:rPr>
        <w:t>15</w:t>
      </w:r>
      <w:r>
        <w:rPr>
          <w:rFonts w:ascii="Times New Roman" w:hAnsi="Times New Roman" w:cs="Times New Roman"/>
          <w:sz w:val="24"/>
          <w:szCs w:val="24"/>
        </w:rPr>
        <w:t xml:space="preserve"> It can also be defined as the difference between expectations and perceptions of the customers before and after availing the products / services.</w:t>
      </w:r>
      <w:r>
        <w:rPr>
          <w:rFonts w:ascii="Times New Roman" w:hAnsi="Times New Roman" w:cs="Times New Roman"/>
          <w:sz w:val="24"/>
          <w:szCs w:val="24"/>
          <w:vertAlign w:val="superscript"/>
        </w:rPr>
        <w:t>9</w:t>
      </w:r>
      <w:r>
        <w:rPr>
          <w:rFonts w:ascii="Times New Roman" w:hAnsi="Times New Roman" w:cs="Times New Roman"/>
          <w:sz w:val="24"/>
          <w:szCs w:val="24"/>
        </w:rPr>
        <w:t xml:space="preserve"> Due to the difficulty of evaluation, normally we take note of the perception of the customers rather than depending on the technicality of the services in healthcare system.</w:t>
      </w:r>
      <w:r>
        <w:rPr>
          <w:rFonts w:ascii="Times New Roman" w:hAnsi="Times New Roman" w:cs="Times New Roman"/>
          <w:sz w:val="24"/>
          <w:szCs w:val="24"/>
          <w:vertAlign w:val="superscript"/>
        </w:rPr>
        <w:t>8,9</w:t>
      </w:r>
    </w:p>
    <w:p>
      <w:pPr>
        <w:spacing w:after="0" w:line="240" w:lineRule="auto"/>
        <w:jc w:val="both"/>
        <w:outlineLvl w:val="0"/>
        <w:rPr>
          <w:rFonts w:ascii="Times New Roman" w:hAnsi="Times New Roman" w:cs="Times New Roman"/>
          <w:bCs/>
          <w:sz w:val="24"/>
          <w:szCs w:val="24"/>
        </w:rPr>
      </w:pPr>
      <w:r>
        <w:rPr>
          <w:rFonts w:ascii="Times New Roman" w:hAnsi="Times New Roman" w:cs="Times New Roman"/>
          <w:sz w:val="24"/>
          <w:szCs w:val="24"/>
        </w:rPr>
        <w:t>In India, the health care service appears to be more paradoxical. At one hand world-class health destination are being established to attract medical tourist from across the countries. On the other hand it is lagging far behind the developed nations in terms of provision of accessible, affordable quality health services for a large part of its population. On the contrary, Cuba, a pioneer of health tourism in recent times, has established world class health infrastructures to attract people from all over the world and simultaneously transfer the profitability into its public health care so that Cubans receive free health care for entire life while tourists have to pay for it.</w:t>
      </w:r>
      <w:r>
        <w:rPr>
          <w:rFonts w:ascii="Times New Roman" w:hAnsi="Times New Roman" w:cs="Times New Roman"/>
          <w:sz w:val="24"/>
          <w:szCs w:val="24"/>
          <w:vertAlign w:val="superscript"/>
        </w:rPr>
        <w:t>3</w:t>
      </w:r>
      <w:r>
        <w:rPr>
          <w:rFonts w:ascii="Times New Roman" w:hAnsi="Times New Roman" w:cs="Times New Roman"/>
          <w:bCs/>
          <w:sz w:val="24"/>
          <w:szCs w:val="24"/>
        </w:rPr>
        <w:t xml:space="preserve">If efficiency of hospitals will be promoted and used sincerely, medical tourism can provide a country the financial boost by increasing the inflow of funds as well as it can provide the necessary help towards the local health care industry. Similarly, to compete on a global scale, we need to improve the infrastructure, quality and service delivery process in the hospitals in order to gain sustainable competitive advantage. The present study was undertaken to find out areas which can be improved and acted upon in order to generate sustainability in health care sector. </w:t>
      </w:r>
    </w:p>
    <w:p>
      <w:pPr>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For measuring the perception of customers, there are many suggested models to capture the data amongst which the SERVQUAL scale developed by Parsuraman, Zeithamal and Berry has become the major yardstick in recent times. It measures the gap between the perception and expectation levels of the customers.</w:t>
      </w:r>
      <w:r>
        <w:rPr>
          <w:rFonts w:ascii="Times New Roman" w:hAnsi="Times New Roman" w:cs="Times New Roman"/>
          <w:sz w:val="24"/>
          <w:szCs w:val="24"/>
          <w:vertAlign w:val="superscript"/>
        </w:rPr>
        <w:t>8,9,16-20</w:t>
      </w:r>
      <w:r>
        <w:rPr>
          <w:rFonts w:ascii="Times New Roman" w:hAnsi="Times New Roman" w:cs="Times New Roman"/>
          <w:sz w:val="24"/>
          <w:szCs w:val="24"/>
        </w:rPr>
        <w:t xml:space="preserve"> Over the years, many researchers have tested the applicability of the scale and found it to be a valid, robust, reliable, and predominate over all other types of scales.</w:t>
      </w:r>
      <w:r>
        <w:rPr>
          <w:rFonts w:ascii="Times New Roman" w:hAnsi="Times New Roman" w:cs="Times New Roman"/>
          <w:sz w:val="24"/>
          <w:szCs w:val="24"/>
          <w:vertAlign w:val="superscript"/>
        </w:rPr>
        <w:t>21-23</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With the help of open ended questions, when asked about the list of elements disliked by the patients, the responses revealed the fact that, caring attention, availability of round the clock services, use of modern / efficient technology &amp; equipments has to be placed effectively in order to increase the efficiency of hospital services. The views of the reference groups also play important role forming the opinion towards betterment of the health care services.  A stronger administrative procedure is also essential for providing adequate level of service quality for the customers. Constant touch with customer should be kept by taking feedback on a neutral basis while respecting their opinions and taking them empathetically. The communication can give us ideas about the areas of improvement and our true state of existence. </w:t>
      </w:r>
    </w:p>
    <w:p>
      <w:pPr>
        <w:pStyle w:val="7"/>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Doctors and paramedical staffs are normally well respected by the patients and their relatives as they deal with the health and wellness. On the other hand, the rude, unprofessional, unpleasant behaviour shown by the people from the hospital sides greatly disappoints the customers. Hence, these types of negative, abusive and rude behaviour shown by the health care providers should be avoided. The emotional nature of both the service providers and recipients should be tackled carefully to make the health care delivery smooth and pleasant.</w:t>
      </w:r>
    </w:p>
    <w:p>
      <w:pPr>
        <w:pStyle w:val="7"/>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Stringent administrative measures should be taken to ensure smooth flow of activities to prevent delays both in imparting treatment and completing other procedures and formalities. As the reference groups and their opinions affect the views of the customers, it is good enough to provide at least a bare minimum provision for them as well. Rest shades, dormitories, provision of clean drinking water, food at affordable costs etc. are some of the measures which can be taken care of for the attendants. The security aspect has to be looked upon seriously to mitigate the hazards from both the installed facilities (equipments, infrastructural facilities)as well as human elements (thieves, drunkards, goons etc.) </w:t>
      </w:r>
    </w:p>
    <w:p>
      <w:pPr>
        <w:pStyle w:val="7"/>
        <w:spacing w:line="24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Infrastructural facilities have to be bolstered like provision of helpdesk, clear signage &amp; multilingual directional boards, ambulance services, elevators (where it is required), convenient &amp; safe parking places etc. to improve upon the patient care. Recruitment and proper training of more manpower in the system can give many hands and brain in providing optimum levels of services. </w:t>
      </w:r>
    </w:p>
    <w:p>
      <w:pPr>
        <w:spacing w:line="240" w:lineRule="auto"/>
        <w:ind w:left="40"/>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pPr>
        <w:spacing w:line="240" w:lineRule="auto"/>
        <w:ind w:left="40"/>
        <w:jc w:val="both"/>
        <w:rPr>
          <w:rFonts w:ascii="Times New Roman" w:hAnsi="Times New Roman" w:cs="Times New Roman"/>
          <w:bCs/>
          <w:sz w:val="24"/>
          <w:szCs w:val="24"/>
        </w:rPr>
      </w:pPr>
      <w:r>
        <w:rPr>
          <w:rFonts w:ascii="Times New Roman" w:hAnsi="Times New Roman" w:cs="Times New Roman"/>
          <w:bCs/>
          <w:sz w:val="24"/>
          <w:szCs w:val="24"/>
        </w:rPr>
        <w:t xml:space="preserve">Medical tourism is the next big thing in the global tourism sector. As the health care industry of a country helps to develop a healthy human capital, it needs special attempts and attention from all the stakeholders. Therefore the current status of existing health care facilities should be assessed repeatedly, analyzed and necessary steps should be taken promptly to improve the overall quality of services to facilitate medical tourism in the state. </w:t>
      </w:r>
    </w:p>
    <w:p>
      <w:pPr>
        <w:spacing w:line="360" w:lineRule="auto"/>
        <w:ind w:left="40"/>
        <w:jc w:val="both"/>
        <w:rPr>
          <w:rFonts w:ascii="Times New Roman" w:hAnsi="Times New Roman" w:cs="Times New Roman"/>
          <w:bCs/>
          <w:sz w:val="24"/>
          <w:szCs w:val="24"/>
        </w:rPr>
      </w:pPr>
    </w:p>
    <w:p>
      <w:pPr>
        <w:spacing w:line="360" w:lineRule="auto"/>
        <w:ind w:left="40"/>
        <w:jc w:val="both"/>
        <w:rPr>
          <w:rFonts w:ascii="Times New Roman" w:hAnsi="Times New Roman" w:cs="Times New Roman"/>
          <w:bCs/>
          <w:sz w:val="24"/>
          <w:szCs w:val="24"/>
        </w:rPr>
      </w:pPr>
    </w:p>
    <w:p>
      <w:pPr>
        <w:spacing w:line="360" w:lineRule="auto"/>
        <w:ind w:left="40"/>
        <w:jc w:val="both"/>
        <w:rPr>
          <w:rFonts w:ascii="Times New Roman" w:hAnsi="Times New Roman" w:cs="Times New Roman"/>
          <w:bCs/>
          <w:sz w:val="24"/>
          <w:szCs w:val="24"/>
        </w:rPr>
      </w:pPr>
    </w:p>
    <w:p>
      <w:pPr>
        <w:spacing w:line="360" w:lineRule="auto"/>
        <w:ind w:left="40"/>
        <w:jc w:val="both"/>
        <w:rPr>
          <w:rFonts w:ascii="Times New Roman" w:hAnsi="Times New Roman" w:cs="Times New Roman"/>
          <w:bCs/>
          <w:sz w:val="24"/>
          <w:szCs w:val="24"/>
        </w:rPr>
      </w:pPr>
    </w:p>
    <w:p>
      <w:pPr>
        <w:spacing w:line="360" w:lineRule="auto"/>
        <w:ind w:left="40"/>
        <w:jc w:val="both"/>
        <w:rPr>
          <w:rFonts w:ascii="Times New Roman" w:hAnsi="Times New Roman" w:cs="Times New Roman"/>
          <w:b/>
          <w:sz w:val="24"/>
          <w:szCs w:val="24"/>
        </w:rPr>
      </w:pPr>
    </w:p>
    <w:p>
      <w:pPr>
        <w:spacing w:line="360" w:lineRule="auto"/>
        <w:ind w:left="40"/>
        <w:jc w:val="both"/>
        <w:rPr>
          <w:rFonts w:ascii="Times New Roman" w:hAnsi="Times New Roman" w:cs="Times New Roman"/>
          <w:b/>
          <w:sz w:val="24"/>
          <w:szCs w:val="24"/>
        </w:rPr>
      </w:pPr>
    </w:p>
    <w:p>
      <w:pPr>
        <w:spacing w:line="360" w:lineRule="auto"/>
        <w:ind w:left="40"/>
        <w:jc w:val="both"/>
        <w:rPr>
          <w:rFonts w:ascii="Times New Roman" w:hAnsi="Times New Roman" w:cs="Times New Roman"/>
          <w:b/>
          <w:sz w:val="24"/>
          <w:szCs w:val="24"/>
        </w:rPr>
      </w:pPr>
    </w:p>
    <w:p>
      <w:pPr>
        <w:spacing w:line="360" w:lineRule="auto"/>
        <w:ind w:left="40"/>
        <w:jc w:val="both"/>
        <w:rPr>
          <w:rFonts w:ascii="Times New Roman" w:hAnsi="Times New Roman" w:cs="Times New Roman"/>
          <w:b/>
          <w:sz w:val="24"/>
          <w:szCs w:val="24"/>
        </w:rPr>
      </w:pPr>
    </w:p>
    <w:p>
      <w:pPr>
        <w:spacing w:line="360" w:lineRule="auto"/>
        <w:ind w:left="40"/>
        <w:jc w:val="both"/>
        <w:rPr>
          <w:rFonts w:ascii="Times New Roman" w:hAnsi="Times New Roman" w:cs="Times New Roman"/>
          <w:b/>
          <w:sz w:val="24"/>
          <w:szCs w:val="24"/>
        </w:rPr>
      </w:pPr>
      <w:r>
        <w:rPr>
          <w:rFonts w:ascii="Times New Roman" w:hAnsi="Times New Roman" w:cs="Times New Roman"/>
          <w:b/>
          <w:sz w:val="24"/>
          <w:szCs w:val="24"/>
        </w:rPr>
        <w:t>REFERENCES:</w:t>
      </w:r>
    </w:p>
    <w:p>
      <w:pPr>
        <w:spacing w:line="360" w:lineRule="auto"/>
        <w:ind w:left="40"/>
        <w:jc w:val="both"/>
        <w:rPr>
          <w:rFonts w:ascii="Times New Roman" w:hAnsi="Times New Roman" w:cs="Times New Roman"/>
          <w:bCs/>
          <w:sz w:val="24"/>
          <w:szCs w:val="24"/>
        </w:rPr>
      </w:pPr>
    </w:p>
    <w:p>
      <w:pPr>
        <w:numPr>
          <w:ilvl w:val="0"/>
          <w:numId w:val="4"/>
        </w:numPr>
        <w:spacing w:line="360" w:lineRule="auto"/>
        <w:jc w:val="both"/>
        <w:rPr>
          <w:rFonts w:ascii="Times New Roman" w:hAnsi="Times New Roman" w:eastAsia="Times New Roman" w:cs="Times New Roman"/>
          <w:sz w:val="24"/>
          <w:szCs w:val="24"/>
          <w:lang w:eastAsia="en-IN"/>
        </w:rPr>
      </w:pPr>
      <w:r>
        <w:rPr>
          <w:rFonts w:ascii="Times New Roman" w:hAnsi="Times New Roman" w:eastAsia="SimSun" w:cs="Times New Roman"/>
          <w:sz w:val="24"/>
          <w:szCs w:val="24"/>
          <w:shd w:val="clear" w:color="auto" w:fill="FFFFFF"/>
        </w:rPr>
        <w:t>Connell J. Medical tourism: Sea, sun, sand and… surgery. Tourism management. 2006;27:1093-100.</w:t>
      </w:r>
    </w:p>
    <w:p>
      <w:pPr>
        <w:numPr>
          <w:ilvl w:val="0"/>
          <w:numId w:val="4"/>
        </w:numPr>
        <w:spacing w:line="360" w:lineRule="auto"/>
        <w:jc w:val="both"/>
        <w:rPr>
          <w:rFonts w:ascii="Times New Roman" w:hAnsi="Times New Roman" w:eastAsia="Times New Roman" w:cs="Times New Roman"/>
          <w:sz w:val="24"/>
          <w:szCs w:val="24"/>
          <w:lang w:eastAsia="en-IN"/>
        </w:rPr>
      </w:pPr>
      <w:r>
        <w:rPr>
          <w:rFonts w:ascii="Times New Roman" w:hAnsi="Times New Roman" w:eastAsia="SimSun" w:cs="Times New Roman"/>
          <w:sz w:val="24"/>
          <w:szCs w:val="24"/>
          <w:shd w:val="clear" w:color="auto" w:fill="FFFFFF"/>
        </w:rPr>
        <w:t>Horowitz MD, Rosensweig JA, Jones CA. Medical tourism: globalization of the healthcare marketplace. Medscape General Medicine. 2007;9:33.</w:t>
      </w:r>
    </w:p>
    <w:p>
      <w:pPr>
        <w:numPr>
          <w:ilvl w:val="0"/>
          <w:numId w:val="4"/>
        </w:num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bCs/>
          <w:color w:val="000000" w:themeColor="text1"/>
          <w:sz w:val="24"/>
          <w:szCs w:val="24"/>
        </w:rPr>
        <w:t>Gupta AS.</w:t>
      </w:r>
      <w:r>
        <w:rPr>
          <w:rFonts w:ascii="Times New Roman" w:hAnsi="Times New Roman" w:cs="Times New Roman"/>
          <w:color w:val="000000" w:themeColor="text1"/>
          <w:sz w:val="24"/>
          <w:szCs w:val="24"/>
        </w:rPr>
        <w:t xml:space="preserve">Medical tourism in India: winners and losers, Indian Journal of Medical Ethics. </w:t>
      </w:r>
      <w:r>
        <w:rPr>
          <w:rFonts w:ascii="Times New Roman" w:hAnsi="Times New Roman" w:cs="Times New Roman"/>
          <w:bCs/>
          <w:color w:val="000000" w:themeColor="text1"/>
          <w:sz w:val="24"/>
          <w:szCs w:val="24"/>
        </w:rPr>
        <w:t>2008;</w:t>
      </w:r>
      <w:r>
        <w:rPr>
          <w:rFonts w:ascii="Times New Roman" w:hAnsi="Times New Roman" w:cs="Times New Roman"/>
          <w:color w:val="000000" w:themeColor="text1"/>
          <w:sz w:val="24"/>
          <w:szCs w:val="24"/>
        </w:rPr>
        <w:t xml:space="preserve"> 5:4-5.</w:t>
      </w:r>
    </w:p>
    <w:p>
      <w:pPr>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India brand equity foundation research report 2017, Available </w:t>
      </w:r>
      <w:r>
        <w:rPr>
          <w:rFonts w:ascii="Times New Roman" w:hAnsi="Times New Roman" w:cs="Times New Roman"/>
          <w:sz w:val="24"/>
          <w:szCs w:val="24"/>
          <w:lang w:val="en-US"/>
        </w:rPr>
        <w:t>from</w:t>
      </w:r>
      <w:r>
        <w:rPr>
          <w:rFonts w:ascii="Times New Roman" w:hAnsi="Times New Roman" w:cs="Times New Roman"/>
          <w:sz w:val="24"/>
          <w:szCs w:val="24"/>
        </w:rPr>
        <w:t xml:space="preserve"> https://www.ibef.org/industry/healthcare-india.aspx</w:t>
      </w:r>
    </w:p>
    <w:p>
      <w:pPr>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Destination Ranking- Medical Tourism Index. Available </w:t>
      </w:r>
      <w:r>
        <w:rPr>
          <w:rFonts w:ascii="Times New Roman" w:hAnsi="Times New Roman" w:cs="Times New Roman"/>
          <w:sz w:val="24"/>
          <w:szCs w:val="24"/>
          <w:lang w:val="en-US"/>
        </w:rPr>
        <w:t>from</w:t>
      </w:r>
      <w:r>
        <w:rPr>
          <w:rFonts w:ascii="Times New Roman" w:hAnsi="Times New Roman" w:cs="Times New Roman"/>
          <w:sz w:val="24"/>
          <w:szCs w:val="24"/>
        </w:rPr>
        <w:t xml:space="preserve"> https://www.medicaltourismindex.com/overview/destination-ranking/</w:t>
      </w:r>
    </w:p>
    <w:p>
      <w:pPr>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sz w:val="24"/>
          <w:szCs w:val="28"/>
        </w:rPr>
        <w:t xml:space="preserve">Medical Tourism hamstrung by Obsolete Visa rules. Business standard 2nd Dec 2013. Available </w:t>
      </w:r>
      <w:r>
        <w:rPr>
          <w:rFonts w:ascii="Times New Roman" w:hAnsi="Times New Roman" w:cs="Times New Roman"/>
          <w:sz w:val="24"/>
          <w:szCs w:val="24"/>
          <w:lang w:val="en-US"/>
        </w:rPr>
        <w:t>from</w:t>
      </w:r>
      <w:r>
        <w:rPr>
          <w:rFonts w:ascii="Times New Roman" w:hAnsi="Times New Roman" w:cs="Times New Roman"/>
          <w:sz w:val="24"/>
          <w:szCs w:val="28"/>
        </w:rPr>
        <w:t xml:space="preserve"> http://www.business-standard.com/article/companies/medical-tourism-hamstrung-by-obsolete-visa-rules-113120201713_1.html</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000000"/>
          <w:sz w:val="24"/>
          <w:szCs w:val="24"/>
          <w:shd w:val="clear" w:color="auto" w:fill="FFFFFF"/>
        </w:rPr>
        <w:t>Chowdary S. Medical tourist arrivals in India up 25%, Business Standard, 22nd April 2017</w:t>
      </w:r>
    </w:p>
    <w:p>
      <w:pPr>
        <w:numPr>
          <w:ilvl w:val="0"/>
          <w:numId w:val="4"/>
        </w:numPr>
        <w:spacing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Parasuraman A, Zeithaml VA, Berry LL. A conceptual model of service quality and its implications for future research. The Journal of Marketing. 1985; 49:41-50</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Times New Roman" w:cs="Times New Roman"/>
          <w:color w:val="000000"/>
          <w:sz w:val="24"/>
          <w:szCs w:val="24"/>
          <w:lang w:eastAsia="en-IN"/>
        </w:rPr>
        <w:t>Parasuraman A, Zeithaml VA, Berry LL. SERVQUAL: A multi-item scale for measuring consumer perceptions of the service quality. Journal of Retailing. 1988; 64:12-40.</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ans-serif" w:cs="Times New Roman"/>
          <w:sz w:val="24"/>
          <w:szCs w:val="24"/>
          <w:shd w:val="clear" w:color="auto" w:fill="FFFFFF"/>
        </w:rPr>
        <w:t xml:space="preserve">SOCIO-ECONOMIC CLASSIFICATION 2011. Available </w:t>
      </w:r>
      <w:r>
        <w:rPr>
          <w:rFonts w:ascii="Times New Roman" w:hAnsi="Times New Roman" w:cs="Times New Roman"/>
          <w:sz w:val="24"/>
          <w:szCs w:val="24"/>
          <w:lang w:val="en-US"/>
        </w:rPr>
        <w:t>from</w:t>
      </w:r>
      <w:r>
        <w:rPr>
          <w:rFonts w:ascii="Times New Roman" w:hAnsi="Times New Roman" w:eastAsia="sans-serif" w:cs="Times New Roman"/>
          <w:sz w:val="24"/>
          <w:szCs w:val="24"/>
          <w:shd w:val="clear" w:color="auto" w:fill="FFFFFF"/>
        </w:rPr>
        <w:t xml:space="preserve"> http://www.mruc.net/sites/default/files/NEW%20SEC%20System.pdf </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Times New Roman" w:cs="Times New Roman"/>
          <w:color w:val="000000"/>
          <w:sz w:val="24"/>
          <w:szCs w:val="24"/>
          <w:lang w:eastAsia="en-IN"/>
        </w:rPr>
        <w:t xml:space="preserve">Shahnaz Sharifi &amp; Kianoush Saberi, (2014), Hospital Management Factors for better quality outcomes, </w:t>
      </w:r>
      <w:r>
        <w:rPr>
          <w:rFonts w:ascii="Times New Roman" w:hAnsi="Times New Roman" w:eastAsia="open sans" w:cs="Times New Roman"/>
          <w:sz w:val="24"/>
          <w:szCs w:val="24"/>
          <w:shd w:val="clear" w:color="auto" w:fill="FFFFFF"/>
        </w:rPr>
        <w:t>Ind. J. Fund. Appl Life Sci.</w:t>
      </w:r>
      <w:r>
        <w:rPr>
          <w:rFonts w:ascii="Times New Roman" w:hAnsi="Times New Roman" w:eastAsia="Times New Roman" w:cs="Times New Roman"/>
          <w:color w:val="000000"/>
          <w:sz w:val="24"/>
          <w:szCs w:val="24"/>
          <w:lang w:eastAsia="en-IN"/>
        </w:rPr>
        <w:t xml:space="preserve"> 2014; 4:508-514.</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Times New Roman" w:cs="Times New Roman"/>
          <w:sz w:val="24"/>
          <w:szCs w:val="24"/>
          <w:lang w:eastAsia="en-IN"/>
        </w:rPr>
        <w:t>Jaswal A</w:t>
      </w:r>
      <w:r>
        <w:rPr>
          <w:rFonts w:ascii="Times New Roman" w:hAnsi="Times New Roman" w:eastAsia="Times New Roman" w:cs="Times New Roman"/>
          <w:color w:val="000000"/>
          <w:sz w:val="24"/>
          <w:szCs w:val="24"/>
          <w:lang w:eastAsia="en-IN"/>
        </w:rPr>
        <w:t>R, Walunj SR. Antecedents of Service Quality Gaps in Private Hospitals of Ahmednagar: A Critical Inquiry into the Hospital Attributes. IBMRD's Journal of Management &amp; Research. 2017; 6:42-51.</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Lymperopoulos C, Chaniotakis IE, Soureli M. The importance of service quality in bank selection for mortgage loans. Managing Service Quality.2006; 16:365-79.</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Sharma D. Examining the influence of service quality on customer satisfaction and patronage intentions in convenience store industry. International Journal of Business and Globalisation. 2015;15:152-70.</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Times New Roman" w:cs="Times New Roman"/>
          <w:color w:val="000000"/>
          <w:sz w:val="24"/>
          <w:szCs w:val="24"/>
          <w:lang w:eastAsia="en-IN"/>
        </w:rPr>
        <w:t>Arsanam, P. &amp; Yousapronpaiboon, K. (2014): The Relationship between Service Quality and Customer Satisfaction of Pharmacy Departments in Public Hospitals, International Journal of Innovation, Management and Technology, 5(4): 261-265</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Grönroos C. A service quality model and its marketing implications. European Journal of marketing. 1984;18:36-44.</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Garvin D. Competing on the eight dimensions of quality. Harv. Bus. Rev.. 1987; 56:101-9.</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Sweeney JC, Soutar GN, Johnson LW. Retail service quality and perceived value: A comparison of two models. Journal of Retailing and Consumer Services. 1997;4:39-48.</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Philip G, Hazlett SA. The measurement of service quality: a new PCP attributes model. International Journal of Quality &amp; Reliability Management. 1997;14:260-86.</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Frost FA, Kumar M. INTSERVQUAL- an internal adaptation of the GAP model in a large service organization. Journal of Services Marketing. 2000;14:358-77.</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Heung VC, Wong MY, Hailin Q. Airport-restaurant service quality in Hong Kong: An application of SERVQUAL. The Cornell Hotel and Restaurant Administration Quarterly. 2000;41:866-96.</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Babakus E, Mangold WG. Adapting the SERVQUAL scale to hospital services: an empirical investigation. Health services research. 1992;26:767.</w:t>
      </w:r>
    </w:p>
    <w:p>
      <w:pPr>
        <w:numPr>
          <w:ilvl w:val="0"/>
          <w:numId w:val="4"/>
        </w:numPr>
        <w:spacing w:line="360" w:lineRule="auto"/>
        <w:jc w:val="both"/>
        <w:rPr>
          <w:rFonts w:ascii="Times New Roman" w:hAnsi="Times New Roman" w:cs="Times New Roman"/>
          <w:bCs/>
          <w:sz w:val="24"/>
          <w:szCs w:val="24"/>
        </w:rPr>
      </w:pPr>
      <w:r>
        <w:rPr>
          <w:rFonts w:ascii="Times New Roman" w:hAnsi="Times New Roman" w:eastAsia="SimSun" w:cs="Times New Roman"/>
          <w:color w:val="222222"/>
          <w:sz w:val="24"/>
          <w:szCs w:val="24"/>
          <w:shd w:val="clear" w:color="auto" w:fill="FFFFFF"/>
        </w:rPr>
        <w:t>Asubonteng P, McCleary KJ, Swan JE. SERVQUAL revisited: a critical review of service quality. Journal of Services marketing. 1996;10:62-81.</w:t>
      </w:r>
    </w:p>
    <w:p>
      <w:pPr>
        <w:spacing w:line="360" w:lineRule="auto"/>
        <w:jc w:val="both"/>
        <w:rPr>
          <w:rFonts w:ascii="Times New Roman" w:hAnsi="Times New Roman" w:eastAsia="SimSun" w:cs="Times New Roman"/>
          <w:color w:val="222222"/>
          <w:sz w:val="24"/>
          <w:szCs w:val="24"/>
          <w:shd w:val="clear" w:color="auto" w:fill="FFFFFF"/>
        </w:rPr>
      </w:pPr>
    </w:p>
    <w:p>
      <w:pPr>
        <w:spacing w:line="360" w:lineRule="auto"/>
        <w:jc w:val="both"/>
        <w:rPr>
          <w:rFonts w:ascii="Times New Roman" w:hAnsi="Times New Roman" w:eastAsia="SimSun" w:cs="Times New Roman"/>
          <w:color w:val="222222"/>
          <w:sz w:val="24"/>
          <w:szCs w:val="24"/>
          <w:shd w:val="clear" w:color="auto" w:fill="FFFFFF"/>
        </w:rPr>
      </w:pPr>
    </w:p>
    <w:p>
      <w:pPr>
        <w:spacing w:line="360" w:lineRule="auto"/>
        <w:jc w:val="both"/>
        <w:rPr>
          <w:rFonts w:ascii="Times New Roman" w:hAnsi="Times New Roman" w:eastAsia="SimSun" w:cs="Times New Roman"/>
          <w:color w:val="222222"/>
          <w:sz w:val="24"/>
          <w:szCs w:val="24"/>
          <w:shd w:val="clear" w:color="auto" w:fill="FFFFFF"/>
        </w:rPr>
      </w:pPr>
    </w:p>
    <w:p>
      <w:pPr>
        <w:spacing w:after="0" w:line="480" w:lineRule="auto"/>
        <w:jc w:val="center"/>
        <w:outlineLvl w:val="0"/>
        <w:rPr>
          <w:rFonts w:ascii="Times New Roman" w:hAnsi="Times New Roman" w:eastAsia="Times New Roman" w:cs="Times New Roman"/>
          <w:color w:val="000000"/>
          <w:sz w:val="24"/>
          <w:szCs w:val="24"/>
          <w:lang w:eastAsia="en-IN"/>
        </w:rPr>
      </w:pPr>
      <w:r>
        <w:rPr>
          <w:rFonts w:ascii="Times New Roman" w:hAnsi="Times New Roman" w:cs="Times New Roman"/>
          <w:b/>
          <w:sz w:val="24"/>
          <w:szCs w:val="24"/>
        </w:rPr>
        <w:t>Table 1: MTI Competitive Ranking 2016</w:t>
      </w:r>
    </w:p>
    <w:tbl>
      <w:tblPr>
        <w:tblStyle w:val="6"/>
        <w:tblW w:w="9307" w:type="dxa"/>
        <w:jc w:val="center"/>
        <w:tblInd w:w="91" w:type="dxa"/>
        <w:tblLayout w:type="fixed"/>
        <w:tblCellMar>
          <w:top w:w="0" w:type="dxa"/>
          <w:left w:w="108" w:type="dxa"/>
          <w:bottom w:w="0" w:type="dxa"/>
          <w:right w:w="108" w:type="dxa"/>
        </w:tblCellMar>
      </w:tblPr>
      <w:tblGrid>
        <w:gridCol w:w="478"/>
        <w:gridCol w:w="2329"/>
        <w:gridCol w:w="1757"/>
        <w:gridCol w:w="657"/>
        <w:gridCol w:w="2329"/>
        <w:gridCol w:w="1757"/>
      </w:tblGrid>
      <w:tr>
        <w:tblPrEx>
          <w:tblLayout w:type="fixed"/>
          <w:tblCellMar>
            <w:top w:w="0" w:type="dxa"/>
            <w:left w:w="108" w:type="dxa"/>
            <w:bottom w:w="0" w:type="dxa"/>
            <w:right w:w="108" w:type="dxa"/>
          </w:tblCellMar>
        </w:tblPrEx>
        <w:trPr>
          <w:trHeight w:val="315" w:hRule="atLeast"/>
          <w:jc w:val="center"/>
        </w:trPr>
        <w:tc>
          <w:tcPr>
            <w:tcW w:w="47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Sl.</w:t>
            </w:r>
          </w:p>
        </w:tc>
        <w:tc>
          <w:tcPr>
            <w:tcW w:w="2329"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spacing w:after="0" w:line="48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Countries</w:t>
            </w:r>
          </w:p>
        </w:tc>
        <w:tc>
          <w:tcPr>
            <w:tcW w:w="1757"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MTI Ranking</w:t>
            </w:r>
          </w:p>
        </w:tc>
        <w:tc>
          <w:tcPr>
            <w:tcW w:w="657"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Sl.</w:t>
            </w:r>
          </w:p>
        </w:tc>
        <w:tc>
          <w:tcPr>
            <w:tcW w:w="2329"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spacing w:after="0" w:line="48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Countries</w:t>
            </w:r>
          </w:p>
        </w:tc>
        <w:tc>
          <w:tcPr>
            <w:tcW w:w="1757"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MTI Ranking</w:t>
            </w:r>
          </w:p>
        </w:tc>
      </w:tr>
      <w:tr>
        <w:tblPrEx>
          <w:tblLayout w:type="fixed"/>
          <w:tblCellMar>
            <w:top w:w="0" w:type="dxa"/>
            <w:left w:w="108" w:type="dxa"/>
            <w:bottom w:w="0" w:type="dxa"/>
            <w:right w:w="108" w:type="dxa"/>
          </w:tblCellMar>
        </w:tblPrEx>
        <w:trPr>
          <w:trHeight w:val="145"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Canada</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76.62</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9</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Italy</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69.50</w:t>
            </w:r>
          </w:p>
        </w:tc>
      </w:tr>
      <w:tr>
        <w:tblPrEx>
          <w:tblLayout w:type="fixed"/>
          <w:tblCellMar>
            <w:top w:w="0" w:type="dxa"/>
            <w:left w:w="108" w:type="dxa"/>
            <w:bottom w:w="0" w:type="dxa"/>
            <w:right w:w="108" w:type="dxa"/>
          </w:tblCellMar>
        </w:tblPrEx>
        <w:trPr>
          <w:trHeight w:val="77"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UK</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74.87</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Colombia</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69.48</w:t>
            </w:r>
          </w:p>
        </w:tc>
      </w:tr>
      <w:tr>
        <w:tblPrEx>
          <w:tblLayout w:type="fixed"/>
          <w:tblCellMar>
            <w:top w:w="0" w:type="dxa"/>
            <w:left w:w="108" w:type="dxa"/>
            <w:bottom w:w="0" w:type="dxa"/>
            <w:right w:w="108" w:type="dxa"/>
          </w:tblCellMar>
        </w:tblPrEx>
        <w:trPr>
          <w:trHeight w:val="139"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Israel</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73.91</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11</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Spain</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68.29</w:t>
            </w:r>
          </w:p>
        </w:tc>
      </w:tr>
      <w:tr>
        <w:tblPrEx>
          <w:tblLayout w:type="fixed"/>
          <w:tblCellMar>
            <w:top w:w="0" w:type="dxa"/>
            <w:left w:w="108" w:type="dxa"/>
            <w:bottom w:w="0" w:type="dxa"/>
            <w:right w:w="108" w:type="dxa"/>
          </w:tblCellMar>
        </w:tblPrEx>
        <w:trPr>
          <w:trHeight w:val="115"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Singapore</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73.56</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12</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Japan</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68.00</w:t>
            </w:r>
          </w:p>
        </w:tc>
      </w:tr>
      <w:tr>
        <w:tblPrEx>
          <w:tblLayout w:type="fixed"/>
          <w:tblCellMar>
            <w:top w:w="0" w:type="dxa"/>
            <w:left w:w="108" w:type="dxa"/>
            <w:bottom w:w="0" w:type="dxa"/>
            <w:right w:w="108" w:type="dxa"/>
          </w:tblCellMar>
        </w:tblPrEx>
        <w:trPr>
          <w:trHeight w:val="77" w:hRule="atLeast"/>
          <w:jc w:val="center"/>
        </w:trPr>
        <w:tc>
          <w:tcPr>
            <w:tcW w:w="478" w:type="dxa"/>
            <w:tcBorders>
              <w:top w:val="nil"/>
              <w:left w:val="single" w:color="auto" w:sz="4" w:space="0"/>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w:t>
            </w:r>
          </w:p>
        </w:tc>
        <w:tc>
          <w:tcPr>
            <w:tcW w:w="2329" w:type="dxa"/>
            <w:tcBorders>
              <w:top w:val="nil"/>
              <w:left w:val="nil"/>
              <w:bottom w:val="single" w:color="auto" w:sz="4" w:space="0"/>
              <w:right w:val="single" w:color="auto" w:sz="4" w:space="0"/>
            </w:tcBorders>
            <w:shd w:val="clear" w:color="auto" w:fill="D8D8D8" w:themeFill="background1" w:themeFillShade="D9"/>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India</w:t>
            </w:r>
          </w:p>
        </w:tc>
        <w:tc>
          <w:tcPr>
            <w:tcW w:w="1757" w:type="dxa"/>
            <w:tcBorders>
              <w:top w:val="nil"/>
              <w:left w:val="nil"/>
              <w:bottom w:val="single" w:color="auto" w:sz="4" w:space="0"/>
              <w:right w:val="single" w:color="auto" w:sz="4" w:space="0"/>
            </w:tcBorders>
            <w:shd w:val="clear" w:color="auto" w:fill="D8D8D8" w:themeFill="background1" w:themeFillShade="D9"/>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72.10</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13</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Panama</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67.93</w:t>
            </w:r>
          </w:p>
        </w:tc>
      </w:tr>
      <w:tr>
        <w:tblPrEx>
          <w:tblLayout w:type="fixed"/>
          <w:tblCellMar>
            <w:top w:w="0" w:type="dxa"/>
            <w:left w:w="108" w:type="dxa"/>
            <w:bottom w:w="0" w:type="dxa"/>
            <w:right w:w="108" w:type="dxa"/>
          </w:tblCellMar>
        </w:tblPrEx>
        <w:trPr>
          <w:trHeight w:val="77"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Germany</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71.90</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14</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Costa Rica</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67.67</w:t>
            </w:r>
          </w:p>
        </w:tc>
      </w:tr>
      <w:tr>
        <w:tblPrEx>
          <w:tblLayout w:type="fixed"/>
          <w:tblCellMar>
            <w:top w:w="0" w:type="dxa"/>
            <w:left w:w="108" w:type="dxa"/>
            <w:bottom w:w="0" w:type="dxa"/>
            <w:right w:w="108" w:type="dxa"/>
          </w:tblCellMar>
        </w:tblPrEx>
        <w:trPr>
          <w:trHeight w:val="113"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France</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71.22</w:t>
            </w:r>
          </w:p>
        </w:tc>
        <w:tc>
          <w:tcPr>
            <w:tcW w:w="6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15</w:t>
            </w:r>
          </w:p>
        </w:tc>
        <w:tc>
          <w:tcPr>
            <w:tcW w:w="2329" w:type="dxa"/>
            <w:tcBorders>
              <w:top w:val="nil"/>
              <w:left w:val="nil"/>
              <w:bottom w:val="single" w:color="auto" w:sz="4" w:space="0"/>
              <w:right w:val="single" w:color="auto" w:sz="4" w:space="0"/>
            </w:tcBorders>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Dominican Republic</w:t>
            </w:r>
          </w:p>
        </w:tc>
        <w:tc>
          <w:tcPr>
            <w:tcW w:w="1757" w:type="dxa"/>
            <w:tcBorders>
              <w:top w:val="nil"/>
              <w:left w:val="nil"/>
              <w:bottom w:val="single" w:color="auto" w:sz="4" w:space="0"/>
              <w:right w:val="single" w:color="auto" w:sz="4" w:space="0"/>
            </w:tcBorders>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67.58</w:t>
            </w:r>
          </w:p>
        </w:tc>
      </w:tr>
      <w:tr>
        <w:tblPrEx>
          <w:tblLayout w:type="fixed"/>
          <w:tblCellMar>
            <w:top w:w="0" w:type="dxa"/>
            <w:left w:w="108" w:type="dxa"/>
            <w:bottom w:w="0" w:type="dxa"/>
            <w:right w:w="108" w:type="dxa"/>
          </w:tblCellMar>
        </w:tblPrEx>
        <w:trPr>
          <w:trHeight w:val="77" w:hRule="atLeast"/>
          <w:jc w:val="center"/>
        </w:trPr>
        <w:tc>
          <w:tcPr>
            <w:tcW w:w="478"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8</w:t>
            </w:r>
          </w:p>
        </w:tc>
        <w:tc>
          <w:tcPr>
            <w:tcW w:w="2329"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South Korea</w:t>
            </w:r>
          </w:p>
        </w:tc>
        <w:tc>
          <w:tcPr>
            <w:tcW w:w="1757"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70.16</w:t>
            </w:r>
          </w:p>
        </w:tc>
        <w:tc>
          <w:tcPr>
            <w:tcW w:w="657" w:type="dxa"/>
            <w:tcBorders>
              <w:top w:val="nil"/>
              <w:left w:val="nil"/>
              <w:bottom w:val="single" w:color="auto" w:sz="4" w:space="0"/>
              <w:right w:val="single" w:color="auto" w:sz="4" w:space="0"/>
            </w:tcBorders>
          </w:tcPr>
          <w:p>
            <w:pPr>
              <w:spacing w:after="0" w:line="480" w:lineRule="auto"/>
              <w:jc w:val="center"/>
              <w:rPr>
                <w:rFonts w:ascii="Times New Roman" w:hAnsi="Times New Roman" w:eastAsia="Times New Roman" w:cs="Times New Roman"/>
                <w:color w:val="000000"/>
                <w:sz w:val="24"/>
                <w:szCs w:val="24"/>
                <w:lang w:eastAsia="en-IN"/>
              </w:rPr>
            </w:pPr>
          </w:p>
        </w:tc>
        <w:tc>
          <w:tcPr>
            <w:tcW w:w="2329" w:type="dxa"/>
            <w:tcBorders>
              <w:top w:val="nil"/>
              <w:left w:val="nil"/>
              <w:bottom w:val="single" w:color="auto" w:sz="4" w:space="0"/>
              <w:right w:val="single" w:color="auto" w:sz="4" w:space="0"/>
            </w:tcBorders>
          </w:tcPr>
          <w:p>
            <w:pPr>
              <w:spacing w:after="0" w:line="480" w:lineRule="auto"/>
              <w:jc w:val="center"/>
              <w:rPr>
                <w:rFonts w:ascii="Times New Roman" w:hAnsi="Times New Roman" w:eastAsia="Times New Roman" w:cs="Times New Roman"/>
                <w:color w:val="000000"/>
                <w:sz w:val="24"/>
                <w:szCs w:val="24"/>
                <w:lang w:eastAsia="en-IN"/>
              </w:rPr>
            </w:pPr>
          </w:p>
        </w:tc>
        <w:tc>
          <w:tcPr>
            <w:tcW w:w="1757" w:type="dxa"/>
            <w:tcBorders>
              <w:top w:val="nil"/>
              <w:left w:val="nil"/>
              <w:bottom w:val="single" w:color="auto" w:sz="4" w:space="0"/>
              <w:right w:val="single" w:color="auto" w:sz="4" w:space="0"/>
            </w:tcBorders>
          </w:tcPr>
          <w:p>
            <w:pPr>
              <w:spacing w:after="0" w:line="480" w:lineRule="auto"/>
              <w:jc w:val="center"/>
              <w:rPr>
                <w:rFonts w:ascii="Times New Roman" w:hAnsi="Times New Roman" w:eastAsia="Times New Roman" w:cs="Times New Roman"/>
                <w:color w:val="000000"/>
                <w:sz w:val="24"/>
                <w:szCs w:val="24"/>
                <w:lang w:eastAsia="en-IN"/>
              </w:rPr>
            </w:pPr>
          </w:p>
        </w:tc>
      </w:tr>
    </w:tbl>
    <w:p>
      <w:pPr>
        <w:pStyle w:val="7"/>
        <w:spacing w:after="0" w:line="480" w:lineRule="auto"/>
        <w:ind w:left="0"/>
        <w:outlineLvl w:val="0"/>
        <w:rPr>
          <w:rFonts w:ascii="Times New Roman" w:hAnsi="Times New Roman" w:cs="Times New Roman"/>
          <w:b/>
          <w:sz w:val="24"/>
          <w:szCs w:val="24"/>
        </w:rPr>
      </w:pPr>
      <w:r>
        <w:rPr>
          <w:rFonts w:ascii="Times New Roman" w:hAnsi="Times New Roman" w:cs="Times New Roman"/>
          <w:b/>
          <w:sz w:val="24"/>
          <w:szCs w:val="24"/>
        </w:rPr>
        <w:t xml:space="preserve">Source: International Health care Research Centre and Global Healthcare Resources </w:t>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spacing w:after="0" w:line="240" w:lineRule="auto"/>
        <w:jc w:val="center"/>
        <w:rPr>
          <w:rFonts w:ascii="Times New Roman" w:hAnsi="Times New Roman"/>
          <w:b/>
          <w:sz w:val="24"/>
          <w:szCs w:val="24"/>
        </w:rPr>
      </w:pPr>
      <w:r>
        <w:rPr>
          <w:rFonts w:ascii="Times New Roman" w:hAnsi="Times New Roman"/>
          <w:b/>
          <w:sz w:val="24"/>
          <w:szCs w:val="24"/>
        </w:rPr>
        <w:t>Table 2: Demographic Profiling of the Respondents</w:t>
      </w:r>
    </w:p>
    <w:p>
      <w:pPr>
        <w:spacing w:after="0" w:line="240" w:lineRule="auto"/>
        <w:jc w:val="center"/>
        <w:rPr>
          <w:rFonts w:ascii="Times New Roman" w:hAnsi="Times New Roman"/>
          <w:b/>
          <w:sz w:val="24"/>
          <w:szCs w:val="24"/>
        </w:rPr>
      </w:pPr>
    </w:p>
    <w:tbl>
      <w:tblPr>
        <w:tblStyle w:val="6"/>
        <w:tblW w:w="7814" w:type="dxa"/>
        <w:tblInd w:w="91" w:type="dxa"/>
        <w:tblLayout w:type="fixed"/>
        <w:tblCellMar>
          <w:top w:w="0" w:type="dxa"/>
          <w:left w:w="108" w:type="dxa"/>
          <w:bottom w:w="0" w:type="dxa"/>
          <w:right w:w="108" w:type="dxa"/>
        </w:tblCellMar>
      </w:tblPr>
      <w:tblGrid>
        <w:gridCol w:w="2002"/>
        <w:gridCol w:w="3766"/>
        <w:gridCol w:w="791"/>
        <w:gridCol w:w="1255"/>
      </w:tblGrid>
      <w:tr>
        <w:tblPrEx>
          <w:tblLayout w:type="fixed"/>
          <w:tblCellMar>
            <w:top w:w="0" w:type="dxa"/>
            <w:left w:w="108" w:type="dxa"/>
            <w:bottom w:w="0" w:type="dxa"/>
            <w:right w:w="108" w:type="dxa"/>
          </w:tblCellMar>
        </w:tblPrEx>
        <w:trPr>
          <w:trHeight w:val="300" w:hRule="atLeast"/>
        </w:trPr>
        <w:tc>
          <w:tcPr>
            <w:tcW w:w="200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Parameters</w:t>
            </w:r>
          </w:p>
        </w:tc>
        <w:tc>
          <w:tcPr>
            <w:tcW w:w="3766"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Demographic Profiles</w:t>
            </w:r>
          </w:p>
        </w:tc>
        <w:tc>
          <w:tcPr>
            <w:tcW w:w="79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Nos</w:t>
            </w:r>
          </w:p>
        </w:tc>
        <w:tc>
          <w:tcPr>
            <w:tcW w:w="1255"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Percentage</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Gender</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Male</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71.11</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Female</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28.89</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Area</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Urban</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114</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63.33</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Rural</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66</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36.67</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Socio-Economic Classifications</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SEC A</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60.00</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SEC B</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54</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30.00</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SEC C</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10.00</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Age</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 to 25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12.22</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26 to 35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34</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18.89</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 to 45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15.56</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46 to 55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22.78</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More than 55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55</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30.56</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Educational Background</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Illiterate</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2.78</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literate but with no formal education</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3.33</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School - 5 to 9 years</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17</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9.44</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School - SSC / HSC</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12.22</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Some College but not graduate</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20.00</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Graduate / Post graduate - General</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23.33</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Graduate / Post graduate - Professional</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28.89</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Marital Status</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Unmarried</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15.56</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Married and without Children</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20</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11.11</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Married with Children</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86</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47.78</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Widowed / Divorced / Separated</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14</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7.78</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Older Couple Staying Alone</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17.78</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MHI</w:t>
            </w:r>
          </w:p>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(Monthly Household Income) in Rs.</w:t>
            </w:r>
          </w:p>
          <w:p>
            <w:pPr>
              <w:spacing w:after="0" w:line="240" w:lineRule="auto"/>
              <w:jc w:val="center"/>
              <w:rPr>
                <w:rFonts w:ascii="Calibri" w:hAnsi="Calibri" w:eastAsia="Times New Roman" w:cs="Calibri"/>
                <w:color w:val="000000"/>
                <w:lang w:eastAsia="en-IN"/>
              </w:rPr>
            </w:pPr>
          </w:p>
          <w:p>
            <w:pPr>
              <w:spacing w:after="0" w:line="240" w:lineRule="auto"/>
              <w:jc w:val="center"/>
              <w:rPr>
                <w:rFonts w:ascii="Calibri" w:hAnsi="Calibri" w:eastAsia="Times New Roman" w:cs="Calibri"/>
                <w:color w:val="000000"/>
                <w:lang w:eastAsia="en-IN"/>
              </w:rPr>
            </w:pPr>
          </w:p>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Less than Rs. 10000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17</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9.44</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 10001 - Rs. 20000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12.22</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Rs.20001 - Rs. 30000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37</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20.56</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 30001 - Rs. 50000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58</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32.22</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More than Rs. 50000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46</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25.56</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Type of Visit</w:t>
            </w: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First Visit</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65</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36.11</w:t>
            </w:r>
          </w:p>
        </w:tc>
      </w:tr>
      <w:tr>
        <w:tblPrEx>
          <w:tblLayout w:type="fixed"/>
          <w:tblCellMar>
            <w:top w:w="0" w:type="dxa"/>
            <w:left w:w="108" w:type="dxa"/>
            <w:bottom w:w="0" w:type="dxa"/>
            <w:right w:w="108" w:type="dxa"/>
          </w:tblCellMar>
        </w:tblPrEx>
        <w:trPr>
          <w:trHeight w:val="300" w:hRule="atLeast"/>
        </w:trPr>
        <w:tc>
          <w:tcPr>
            <w:tcW w:w="2002" w:type="dxa"/>
            <w:vMerge w:val="continue"/>
            <w:tcBorders>
              <w:top w:val="nil"/>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Repeat Visit</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115</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63.89</w:t>
            </w:r>
          </w:p>
        </w:tc>
      </w:tr>
      <w:tr>
        <w:tblPrEx>
          <w:tblLayout w:type="fixed"/>
          <w:tblCellMar>
            <w:top w:w="0" w:type="dxa"/>
            <w:left w:w="108" w:type="dxa"/>
            <w:bottom w:w="0" w:type="dxa"/>
            <w:right w:w="108" w:type="dxa"/>
          </w:tblCellMar>
        </w:tblPrEx>
        <w:trPr>
          <w:trHeight w:val="300" w:hRule="atLeast"/>
        </w:trPr>
        <w:tc>
          <w:tcPr>
            <w:tcW w:w="2002" w:type="dxa"/>
            <w:vMerge w:val="restart"/>
            <w:tcBorders>
              <w:top w:val="nil"/>
              <w:left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Average Spending per visit</w:t>
            </w:r>
          </w:p>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in Rs.</w:t>
            </w:r>
          </w:p>
          <w:p>
            <w:pPr>
              <w:spacing w:after="0" w:line="240" w:lineRule="auto"/>
              <w:jc w:val="center"/>
              <w:rPr>
                <w:rFonts w:ascii="Calibri" w:hAnsi="Calibri" w:eastAsia="Times New Roman" w:cs="Calibri"/>
                <w:color w:val="000000"/>
                <w:lang w:eastAsia="en-IN"/>
              </w:rPr>
            </w:pPr>
          </w:p>
          <w:p>
            <w:pPr>
              <w:spacing w:after="0" w:line="240" w:lineRule="auto"/>
              <w:jc w:val="center"/>
              <w:rPr>
                <w:rFonts w:ascii="Calibri" w:hAnsi="Calibri" w:eastAsia="Times New Roman" w:cs="Calibri"/>
                <w:color w:val="000000"/>
                <w:lang w:eastAsia="en-IN"/>
              </w:rPr>
            </w:pPr>
          </w:p>
          <w:p>
            <w:pPr>
              <w:spacing w:after="0" w:line="240" w:lineRule="auto"/>
              <w:jc w:val="center"/>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Less than Rs. 1000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5.56</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 1000 to Rs. 3000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12.22</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 3001 to Rs. 5000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51</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28.33</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Rs. 5001 to Rs. 10000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65</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36.11</w:t>
            </w:r>
          </w:p>
        </w:tc>
      </w:tr>
      <w:tr>
        <w:tblPrEx>
          <w:tblLayout w:type="fixed"/>
          <w:tblCellMar>
            <w:top w:w="0" w:type="dxa"/>
            <w:left w:w="108" w:type="dxa"/>
            <w:bottom w:w="0" w:type="dxa"/>
            <w:right w:w="108" w:type="dxa"/>
          </w:tblCellMar>
        </w:tblPrEx>
        <w:trPr>
          <w:trHeight w:val="300" w:hRule="atLeast"/>
        </w:trPr>
        <w:tc>
          <w:tcPr>
            <w:tcW w:w="2002" w:type="dxa"/>
            <w:vMerge w:val="continue"/>
            <w:tcBorders>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lang w:eastAsia="en-IN"/>
              </w:rPr>
            </w:pPr>
          </w:p>
        </w:tc>
        <w:tc>
          <w:tcPr>
            <w:tcW w:w="3766"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More than Rs. 10000</w:t>
            </w:r>
          </w:p>
        </w:tc>
        <w:tc>
          <w:tcPr>
            <w:tcW w:w="791"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32</w:t>
            </w:r>
          </w:p>
        </w:tc>
        <w:tc>
          <w:tcPr>
            <w:tcW w:w="125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17.78</w:t>
            </w:r>
          </w:p>
        </w:tc>
      </w:tr>
    </w:tbl>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cs="Times New Roman"/>
          <w:b/>
          <w:bCs/>
          <w:sz w:val="24"/>
          <w:szCs w:val="24"/>
        </w:rPr>
      </w:pPr>
      <w:r>
        <w:rPr>
          <w:rFonts w:ascii="Times New Roman" w:hAnsi="Times New Roman"/>
          <w:b/>
          <w:sz w:val="24"/>
          <w:szCs w:val="24"/>
        </w:rPr>
        <w:t>Table 3: GAP Analysis of SERVQUAL dimensions</w:t>
      </w:r>
    </w:p>
    <w:p>
      <w:pPr>
        <w:pStyle w:val="7"/>
        <w:ind w:left="0"/>
        <w:jc w:val="both"/>
        <w:rPr>
          <w:rFonts w:ascii="Times New Roman" w:hAnsi="Times New Roman" w:eastAsia="Times New Roman" w:cs="Times New Roman"/>
          <w:color w:val="000000"/>
          <w:sz w:val="24"/>
          <w:szCs w:val="24"/>
          <w:lang w:eastAsia="en-IN"/>
        </w:rPr>
      </w:pPr>
    </w:p>
    <w:tbl>
      <w:tblPr>
        <w:tblStyle w:val="6"/>
        <w:tblW w:w="9036" w:type="dxa"/>
        <w:tblInd w:w="91" w:type="dxa"/>
        <w:tblLayout w:type="fixed"/>
        <w:tblCellMar>
          <w:top w:w="0" w:type="dxa"/>
          <w:left w:w="108" w:type="dxa"/>
          <w:bottom w:w="0" w:type="dxa"/>
          <w:right w:w="108" w:type="dxa"/>
        </w:tblCellMar>
      </w:tblPr>
      <w:tblGrid>
        <w:gridCol w:w="1528"/>
        <w:gridCol w:w="4018"/>
        <w:gridCol w:w="1316"/>
        <w:gridCol w:w="1235"/>
        <w:gridCol w:w="939"/>
      </w:tblGrid>
      <w:tr>
        <w:tblPrEx>
          <w:tblLayout w:type="fixed"/>
          <w:tblCellMar>
            <w:top w:w="0" w:type="dxa"/>
            <w:left w:w="108" w:type="dxa"/>
            <w:bottom w:w="0" w:type="dxa"/>
            <w:right w:w="108" w:type="dxa"/>
          </w:tblCellMar>
        </w:tblPrEx>
        <w:trPr>
          <w:trHeight w:val="300" w:hRule="atLeast"/>
        </w:trPr>
        <w:tc>
          <w:tcPr>
            <w:tcW w:w="1528" w:type="dxa"/>
            <w:vMerge w:val="restart"/>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Parameters</w:t>
            </w:r>
          </w:p>
        </w:tc>
        <w:tc>
          <w:tcPr>
            <w:tcW w:w="401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Quality </w:t>
            </w:r>
          </w:p>
        </w:tc>
        <w:tc>
          <w:tcPr>
            <w:tcW w:w="1316" w:type="dxa"/>
            <w:vMerge w:val="restart"/>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Mean Expectations</w:t>
            </w:r>
          </w:p>
        </w:tc>
        <w:tc>
          <w:tcPr>
            <w:tcW w:w="1235" w:type="dxa"/>
            <w:vMerge w:val="restart"/>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Mean Perception</w:t>
            </w:r>
          </w:p>
        </w:tc>
        <w:tc>
          <w:tcPr>
            <w:tcW w:w="939" w:type="dxa"/>
            <w:vMerge w:val="restart"/>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Gap Analysis</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Statements</w:t>
            </w:r>
          </w:p>
        </w:tc>
        <w:tc>
          <w:tcPr>
            <w:tcW w:w="1316"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1235"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93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r>
      <w:tr>
        <w:tblPrEx>
          <w:tblLayout w:type="fixed"/>
        </w:tblPrEx>
        <w:trPr>
          <w:trHeight w:val="300" w:hRule="atLeast"/>
        </w:trPr>
        <w:tc>
          <w:tcPr>
            <w:tcW w:w="1528"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Assurance</w:t>
            </w: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Courteous and friendly behaviour of Doctors and staffs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4.18</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2.95</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1.23</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Wide spectrum of knowledge possessed by the doctors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4.35</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3.32</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1.03</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Treatment of patients with dignity and respect</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4.15</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2.86</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1.29</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Thorough explanations to Patients about their conditions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4.29</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1.49</w:t>
            </w:r>
          </w:p>
        </w:tc>
      </w:tr>
      <w:tr>
        <w:tblPrEx>
          <w:tblLayout w:type="fixed"/>
          <w:tblCellMar>
            <w:top w:w="0" w:type="dxa"/>
            <w:left w:w="108" w:type="dxa"/>
            <w:bottom w:w="0" w:type="dxa"/>
            <w:right w:w="108" w:type="dxa"/>
          </w:tblCellMar>
        </w:tblPrEx>
        <w:trPr>
          <w:trHeight w:val="300" w:hRule="atLeast"/>
        </w:trPr>
        <w:tc>
          <w:tcPr>
            <w:tcW w:w="1528"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Empathy</w:t>
            </w: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Feedbacks from the patients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4.32</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2.44</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Round the clock availability of services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4.14</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1.86</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Patients’ best interests at heart</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4.25</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2.35</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1.9</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Understanding about the specific needs of patients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4.22</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3.37</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0.85</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Personal attention given to the patients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4.11</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2.42</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1.69</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Patients are dealt in a caring fashion</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4.22</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2.15</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2.07</w:t>
            </w:r>
          </w:p>
        </w:tc>
      </w:tr>
      <w:tr>
        <w:tblPrEx>
          <w:tblLayout w:type="fixed"/>
          <w:tblCellMar>
            <w:top w:w="0" w:type="dxa"/>
            <w:left w:w="108" w:type="dxa"/>
            <w:bottom w:w="0" w:type="dxa"/>
            <w:right w:w="108" w:type="dxa"/>
          </w:tblCellMar>
        </w:tblPrEx>
        <w:trPr>
          <w:trHeight w:val="300" w:hRule="atLeast"/>
        </w:trPr>
        <w:tc>
          <w:tcPr>
            <w:tcW w:w="1528"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Reliability</w:t>
            </w: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availability of Services in the appointed time</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4.26</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2.95</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1.31</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Carrying out the services accurately</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4.22</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3.37</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0.85</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Professional and competent doctors and staffs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3.58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0.62</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System of error free and fast retrieval of documents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4.12</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1.32</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Cost of treatment and consistency of charges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1.52</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2.68</w:t>
            </w:r>
          </w:p>
        </w:tc>
      </w:tr>
      <w:tr>
        <w:tblPrEx>
          <w:tblLayout w:type="fixed"/>
          <w:tblCellMar>
            <w:top w:w="0" w:type="dxa"/>
            <w:left w:w="108" w:type="dxa"/>
            <w:bottom w:w="0" w:type="dxa"/>
            <w:right w:w="108" w:type="dxa"/>
          </w:tblCellMar>
        </w:tblPrEx>
        <w:trPr>
          <w:trHeight w:val="300" w:hRule="atLeast"/>
        </w:trPr>
        <w:tc>
          <w:tcPr>
            <w:tcW w:w="1528"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Responsiveness</w:t>
            </w: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Provision of prompt services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4.34</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1.88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2.46</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Responsiveness shown by doctors and staffs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4.32</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2.88</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1.44</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Attitude of doctors and staff that instil confidence in patients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4.22</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3.35</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0.87</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Waiting time not exceeding one hour</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4.17</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2.6</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1.57</w:t>
            </w:r>
          </w:p>
        </w:tc>
      </w:tr>
      <w:tr>
        <w:tblPrEx>
          <w:tblLayout w:type="fixed"/>
          <w:tblCellMar>
            <w:top w:w="0" w:type="dxa"/>
            <w:left w:w="108" w:type="dxa"/>
            <w:bottom w:w="0" w:type="dxa"/>
            <w:right w:w="108" w:type="dxa"/>
          </w:tblCellMar>
        </w:tblPrEx>
        <w:trPr>
          <w:trHeight w:val="300" w:hRule="atLeast"/>
        </w:trPr>
        <w:tc>
          <w:tcPr>
            <w:tcW w:w="1528"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Tangibility</w:t>
            </w: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Up-to-date and well-maintained facilities and equipment</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4.37</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3.14</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1.23</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000000" w:fill="DDD9C3"/>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Clean and comfortable environment with good directional signs</w:t>
            </w:r>
          </w:p>
        </w:tc>
        <w:tc>
          <w:tcPr>
            <w:tcW w:w="1316"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4.26</w:t>
            </w:r>
          </w:p>
        </w:tc>
        <w:tc>
          <w:tcPr>
            <w:tcW w:w="1235"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3.6</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0.66</w:t>
            </w:r>
          </w:p>
        </w:tc>
      </w:tr>
      <w:tr>
        <w:tblPrEx>
          <w:tblLayout w:type="fixed"/>
          <w:tblCellMar>
            <w:top w:w="0" w:type="dxa"/>
            <w:left w:w="108" w:type="dxa"/>
            <w:bottom w:w="0" w:type="dxa"/>
            <w:right w:w="108" w:type="dxa"/>
          </w:tblCellMar>
        </w:tblPrEx>
        <w:trPr>
          <w:trHeight w:val="300" w:hRule="atLeast"/>
        </w:trPr>
        <w:tc>
          <w:tcPr>
            <w:tcW w:w="152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b/>
                <w:bCs/>
                <w:color w:val="000000"/>
                <w:lang w:eastAsia="en-IN"/>
              </w:rPr>
            </w:pPr>
          </w:p>
        </w:tc>
        <w:tc>
          <w:tcPr>
            <w:tcW w:w="4018" w:type="dxa"/>
            <w:tcBorders>
              <w:top w:val="nil"/>
              <w:left w:val="nil"/>
              <w:bottom w:val="single" w:color="auto" w:sz="4" w:space="0"/>
              <w:right w:val="single" w:color="auto" w:sz="4" w:space="0"/>
            </w:tcBorders>
            <w:shd w:val="clear" w:color="auto" w:fill="auto"/>
          </w:tcPr>
          <w:p>
            <w:pPr>
              <w:spacing w:after="0" w:line="24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Neat appearance of doctors and staffs</w:t>
            </w:r>
          </w:p>
        </w:tc>
        <w:tc>
          <w:tcPr>
            <w:tcW w:w="1316"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4.17</w:t>
            </w:r>
          </w:p>
        </w:tc>
        <w:tc>
          <w:tcPr>
            <w:tcW w:w="1235" w:type="dxa"/>
            <w:tcBorders>
              <w:top w:val="nil"/>
              <w:left w:val="nil"/>
              <w:bottom w:val="single" w:color="auto" w:sz="4" w:space="0"/>
              <w:right w:val="single" w:color="auto" w:sz="4" w:space="0"/>
            </w:tcBorders>
            <w:shd w:val="clear" w:color="auto" w:fill="auto"/>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3.09</w:t>
            </w:r>
          </w:p>
        </w:tc>
        <w:tc>
          <w:tcPr>
            <w:tcW w:w="939" w:type="dxa"/>
            <w:tcBorders>
              <w:top w:val="nil"/>
              <w:left w:val="nil"/>
              <w:bottom w:val="single" w:color="auto" w:sz="4" w:space="0"/>
              <w:right w:val="single" w:color="auto" w:sz="4" w:space="0"/>
            </w:tcBorders>
            <w:shd w:val="clear" w:color="000000" w:fill="DDD9C3"/>
          </w:tcPr>
          <w:p>
            <w:pPr>
              <w:spacing w:after="0" w:line="24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1.08</w:t>
            </w:r>
          </w:p>
        </w:tc>
      </w:tr>
    </w:tbl>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p>
    <w:p>
      <w:pPr>
        <w:spacing w:after="0"/>
        <w:jc w:val="center"/>
        <w:rPr>
          <w:rFonts w:ascii="Times New Roman" w:hAnsi="Times New Roman" w:cs="Times New Roman"/>
          <w:b/>
          <w:bCs/>
          <w:sz w:val="24"/>
          <w:szCs w:val="24"/>
        </w:rPr>
      </w:pPr>
      <w:r>
        <w:rPr>
          <w:rFonts w:ascii="Times New Roman" w:hAnsi="Times New Roman" w:cs="Times New Roman"/>
          <w:b/>
          <w:bCs/>
          <w:sz w:val="24"/>
          <w:szCs w:val="24"/>
        </w:rPr>
        <w:t>Table 4:  Attitudinal Loyalty Scoring</w:t>
      </w:r>
    </w:p>
    <w:p>
      <w:pPr>
        <w:spacing w:line="360" w:lineRule="auto"/>
        <w:jc w:val="center"/>
        <w:rPr>
          <w:rFonts w:ascii="Times New Roman" w:hAnsi="Times New Roman" w:cs="Times New Roman"/>
          <w:b/>
          <w:bCs/>
          <w:sz w:val="24"/>
          <w:szCs w:val="24"/>
        </w:rPr>
      </w:pPr>
    </w:p>
    <w:tbl>
      <w:tblPr>
        <w:tblStyle w:val="6"/>
        <w:tblW w:w="8868" w:type="dxa"/>
        <w:tblInd w:w="93" w:type="dxa"/>
        <w:tblLayout w:type="fixed"/>
        <w:tblCellMar>
          <w:top w:w="0" w:type="dxa"/>
          <w:left w:w="108" w:type="dxa"/>
          <w:bottom w:w="0" w:type="dxa"/>
          <w:right w:w="108" w:type="dxa"/>
        </w:tblCellMar>
      </w:tblPr>
      <w:tblGrid>
        <w:gridCol w:w="460"/>
        <w:gridCol w:w="6926"/>
        <w:gridCol w:w="1482"/>
      </w:tblGrid>
      <w:tr>
        <w:tblPrEx>
          <w:tblLayout w:type="fixed"/>
          <w:tblCellMar>
            <w:top w:w="0" w:type="dxa"/>
            <w:left w:w="108" w:type="dxa"/>
            <w:bottom w:w="0" w:type="dxa"/>
            <w:right w:w="108" w:type="dxa"/>
          </w:tblCellMar>
        </w:tblPrEx>
        <w:trPr>
          <w:trHeight w:val="300" w:hRule="atLeast"/>
        </w:trPr>
        <w:tc>
          <w:tcPr>
            <w:tcW w:w="4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b/>
                <w:bCs/>
                <w:color w:val="000000"/>
                <w:lang w:eastAsia="en-IN"/>
              </w:rPr>
            </w:pPr>
            <w:r>
              <w:rPr>
                <w:rFonts w:ascii="Cambria" w:hAnsi="Cambria" w:eastAsia="Times New Roman" w:cs="Calibri"/>
                <w:b/>
                <w:bCs/>
                <w:color w:val="000000"/>
                <w:lang w:eastAsia="en-IN"/>
              </w:rPr>
              <w:t xml:space="preserve">Sl. </w:t>
            </w:r>
          </w:p>
        </w:tc>
        <w:tc>
          <w:tcPr>
            <w:tcW w:w="6926" w:type="dxa"/>
            <w:tcBorders>
              <w:top w:val="single" w:color="auto" w:sz="4" w:space="0"/>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b/>
                <w:bCs/>
                <w:color w:val="000000"/>
                <w:lang w:eastAsia="en-IN"/>
              </w:rPr>
            </w:pPr>
            <w:r>
              <w:rPr>
                <w:rFonts w:ascii="Cambria" w:hAnsi="Cambria" w:eastAsia="Times New Roman" w:cs="Calibri"/>
                <w:b/>
                <w:bCs/>
                <w:color w:val="000000"/>
                <w:lang w:eastAsia="en-IN"/>
              </w:rPr>
              <w:t>Statements</w:t>
            </w:r>
          </w:p>
        </w:tc>
        <w:tc>
          <w:tcPr>
            <w:tcW w:w="1482" w:type="dxa"/>
            <w:tcBorders>
              <w:top w:val="single" w:color="auto" w:sz="4" w:space="0"/>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b/>
                <w:bCs/>
                <w:color w:val="000000"/>
                <w:lang w:eastAsia="en-IN"/>
              </w:rPr>
            </w:pPr>
            <w:r>
              <w:rPr>
                <w:rFonts w:ascii="Cambria" w:hAnsi="Cambria" w:eastAsia="Times New Roman" w:cs="Calibri"/>
                <w:b/>
                <w:bCs/>
                <w:color w:val="000000"/>
                <w:lang w:eastAsia="en-IN"/>
              </w:rPr>
              <w:t>Mean Scores</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1</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consider this hospital’s services are good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4.12</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2</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This hospital’s services are better than those of other hospitals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4.03</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3</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In general, the quality of this hospital’s service is high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4.08</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4</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will say positive things about this hospital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4.15</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5</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will recommend this hospital to someone who seeks my advice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4.12</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6</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will encourage my friends and relatives to undergo medical treatment in this hospital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4.17</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7</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consider this hospital as the first choice for medical treatment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4.09</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8</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will do all medical treatments in this hospital in the future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3.65</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9</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 will continue my medical treatment in this hospital, in case I change my residence to any other locality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2.94</w:t>
            </w:r>
          </w:p>
        </w:tc>
      </w:tr>
      <w:tr>
        <w:tblPrEx>
          <w:tblLayout w:type="fixed"/>
          <w:tblCellMar>
            <w:top w:w="0" w:type="dxa"/>
            <w:left w:w="108" w:type="dxa"/>
            <w:bottom w:w="0" w:type="dxa"/>
            <w:right w:w="108" w:type="dxa"/>
          </w:tblCellMar>
        </w:tblPrEx>
        <w:trPr>
          <w:trHeight w:val="300" w:hRule="atLeast"/>
        </w:trPr>
        <w:tc>
          <w:tcPr>
            <w:tcW w:w="460"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10</w:t>
            </w:r>
          </w:p>
        </w:tc>
        <w:tc>
          <w:tcPr>
            <w:tcW w:w="6926" w:type="dxa"/>
            <w:tcBorders>
              <w:top w:val="nil"/>
              <w:left w:val="nil"/>
              <w:bottom w:val="single" w:color="auto" w:sz="4" w:space="0"/>
              <w:right w:val="single" w:color="auto" w:sz="4" w:space="0"/>
            </w:tcBorders>
            <w:shd w:val="clear" w:color="auto" w:fill="auto"/>
            <w:vAlign w:val="bottom"/>
          </w:tcPr>
          <w:p>
            <w:pPr>
              <w:spacing w:after="0" w:line="480" w:lineRule="auto"/>
              <w:rPr>
                <w:rFonts w:ascii="Cambria" w:hAnsi="Cambria" w:eastAsia="Times New Roman" w:cs="Calibri"/>
                <w:color w:val="000000"/>
                <w:lang w:eastAsia="en-IN"/>
              </w:rPr>
            </w:pPr>
            <w:r>
              <w:rPr>
                <w:rFonts w:ascii="Cambria" w:hAnsi="Cambria" w:eastAsia="Times New Roman" w:cs="Calibri"/>
                <w:color w:val="000000"/>
                <w:lang w:eastAsia="en-IN"/>
              </w:rPr>
              <w:t xml:space="preserve">In every visit, I find better quality in this hospital’s service </w:t>
            </w:r>
          </w:p>
        </w:tc>
        <w:tc>
          <w:tcPr>
            <w:tcW w:w="1482"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Cambria" w:hAnsi="Cambria" w:eastAsia="Times New Roman" w:cs="Calibri"/>
                <w:color w:val="000000"/>
                <w:lang w:eastAsia="en-IN"/>
              </w:rPr>
            </w:pPr>
            <w:r>
              <w:rPr>
                <w:rFonts w:ascii="Cambria" w:hAnsi="Cambria" w:eastAsia="Times New Roman" w:cs="Calibri"/>
                <w:color w:val="000000"/>
                <w:lang w:eastAsia="en-IN"/>
              </w:rPr>
              <w:t>3.18</w:t>
            </w:r>
          </w:p>
        </w:tc>
      </w:tr>
    </w:tbl>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5:  Things we need to look upon</w:t>
      </w:r>
    </w:p>
    <w:tbl>
      <w:tblPr>
        <w:tblStyle w:val="6"/>
        <w:tblW w:w="9210" w:type="dxa"/>
        <w:tblInd w:w="91" w:type="dxa"/>
        <w:tblLayout w:type="fixed"/>
        <w:tblCellMar>
          <w:top w:w="0" w:type="dxa"/>
          <w:left w:w="108" w:type="dxa"/>
          <w:bottom w:w="0" w:type="dxa"/>
          <w:right w:w="108" w:type="dxa"/>
        </w:tblCellMar>
      </w:tblPr>
      <w:tblGrid>
        <w:gridCol w:w="455"/>
        <w:gridCol w:w="7500"/>
        <w:gridCol w:w="1255"/>
      </w:tblGrid>
      <w:tr>
        <w:tblPrEx>
          <w:tblLayout w:type="fixed"/>
          <w:tblCellMar>
            <w:top w:w="0" w:type="dxa"/>
            <w:left w:w="108" w:type="dxa"/>
            <w:bottom w:w="0" w:type="dxa"/>
            <w:right w:w="108" w:type="dxa"/>
          </w:tblCellMar>
        </w:tblPrEx>
        <w:trPr>
          <w:trHeight w:val="300" w:hRule="atLeast"/>
        </w:trPr>
        <w:tc>
          <w:tcPr>
            <w:tcW w:w="45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Sl.</w:t>
            </w:r>
          </w:p>
        </w:tc>
        <w:tc>
          <w:tcPr>
            <w:tcW w:w="7500" w:type="dxa"/>
            <w:tcBorders>
              <w:top w:val="single" w:color="auto" w:sz="4" w:space="0"/>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DISLIKES / GRIEVANCES ABOUT THE HOSPITAL</w:t>
            </w:r>
          </w:p>
        </w:tc>
        <w:tc>
          <w:tcPr>
            <w:tcW w:w="1255" w:type="dxa"/>
            <w:tcBorders>
              <w:top w:val="single" w:color="auto" w:sz="4" w:space="0"/>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Percentage</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Waiting time for availing healthcare and associated services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55</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Absence of feedback &amp; grievance handling mechanisms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51</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Rude Behaviours of Doctors and Staffs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46</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Unavailability of equipments (Essentials and Regular)</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45</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5</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Inefficient medical recordkeeping / retrieval system</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6</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Unavailability of experienced doctors &amp; Specialists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7</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Unavailability of Ambulance at the time of need</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42</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8</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Uncontrollable Crowding at key places like the OPD Units, OT, medicine outlets and testing labs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41</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9</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Improper lab tastings (Delay &amp; Chaos in obtaining, processing, &amp; publication of reports)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35</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10</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Unavailability of round the clock services and irresponsive nature of staffs in odd hours of operations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34</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11</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Inadequate facilities / amenities for patient's attendants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33</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12</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Informal / longer procedures of discharging after treatment / death / post mortem procedure</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32</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13</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Improper attention towards the indoor patients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27</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14</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Improper functioning of specialist information system in the premises (Where to go and whom to consult?) for the patients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26</w:t>
            </w:r>
          </w:p>
        </w:tc>
      </w:tr>
      <w:tr>
        <w:tblPrEx>
          <w:tblLayout w:type="fixed"/>
          <w:tblCellMar>
            <w:top w:w="0" w:type="dxa"/>
            <w:left w:w="108" w:type="dxa"/>
            <w:bottom w:w="0" w:type="dxa"/>
            <w:right w:w="108" w:type="dxa"/>
          </w:tblCellMar>
        </w:tblPrEx>
        <w:trPr>
          <w:trHeight w:val="300" w:hRule="atLeast"/>
        </w:trPr>
        <w:tc>
          <w:tcPr>
            <w:tcW w:w="455" w:type="dxa"/>
            <w:tcBorders>
              <w:top w:val="nil"/>
              <w:left w:val="single" w:color="auto" w:sz="4" w:space="0"/>
              <w:bottom w:val="single" w:color="auto" w:sz="4" w:space="0"/>
              <w:right w:val="single" w:color="auto" w:sz="4" w:space="0"/>
            </w:tcBorders>
            <w:shd w:val="clear" w:color="auto" w:fill="auto"/>
            <w:vAlign w:val="bottom"/>
          </w:tcPr>
          <w:p>
            <w:pPr>
              <w:spacing w:after="0" w:line="480" w:lineRule="auto"/>
              <w:jc w:val="right"/>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15</w:t>
            </w:r>
          </w:p>
        </w:tc>
        <w:tc>
          <w:tcPr>
            <w:tcW w:w="7500" w:type="dxa"/>
            <w:tcBorders>
              <w:top w:val="nil"/>
              <w:left w:val="nil"/>
              <w:bottom w:val="single" w:color="auto" w:sz="4" w:space="0"/>
              <w:right w:val="single" w:color="auto" w:sz="4" w:space="0"/>
            </w:tcBorders>
            <w:shd w:val="clear" w:color="auto" w:fill="auto"/>
            <w:vAlign w:val="bottom"/>
          </w:tcPr>
          <w:p>
            <w:pPr>
              <w:spacing w:after="0" w:line="48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Inadequate / Inconvenient and unsafe parking places</w:t>
            </w:r>
          </w:p>
        </w:tc>
        <w:tc>
          <w:tcPr>
            <w:tcW w:w="1255" w:type="dxa"/>
            <w:tcBorders>
              <w:top w:val="nil"/>
              <w:left w:val="nil"/>
              <w:bottom w:val="single" w:color="auto" w:sz="4" w:space="0"/>
              <w:right w:val="single" w:color="auto" w:sz="4" w:space="0"/>
            </w:tcBorders>
            <w:shd w:val="clear" w:color="auto" w:fill="auto"/>
            <w:vAlign w:val="bottom"/>
          </w:tcPr>
          <w:p>
            <w:pPr>
              <w:spacing w:after="0" w:line="480" w:lineRule="auto"/>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22</w:t>
            </w:r>
          </w:p>
        </w:tc>
      </w:tr>
    </w:tbl>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i/>
          <w:sz w:val="24"/>
          <w:szCs w:val="24"/>
        </w:rPr>
      </w:pPr>
    </w:p>
    <w:p>
      <w:pPr>
        <w:pStyle w:val="7"/>
        <w:ind w:left="0"/>
        <w:jc w:val="both"/>
        <w:rPr>
          <w:rFonts w:ascii="Times New Roman" w:hAnsi="Times New Roman"/>
          <w:i/>
          <w:sz w:val="24"/>
          <w:szCs w:val="24"/>
        </w:rPr>
      </w:pPr>
    </w:p>
    <w:p>
      <w:pPr>
        <w:pStyle w:val="7"/>
        <w:ind w:left="0"/>
        <w:jc w:val="both"/>
        <w:rPr>
          <w:rFonts w:ascii="Times New Roman" w:hAnsi="Times New Roman"/>
          <w:i/>
          <w:sz w:val="24"/>
          <w:szCs w:val="24"/>
        </w:rPr>
      </w:pPr>
    </w:p>
    <w:p>
      <w:pPr>
        <w:spacing w:after="0" w:line="240" w:lineRule="auto"/>
        <w:jc w:val="center"/>
        <w:outlineLvl w:val="0"/>
        <w:rPr>
          <w:rFonts w:ascii="Times New Roman" w:hAnsi="Times New Roman" w:cs="Times New Roman"/>
          <w:b/>
          <w:sz w:val="24"/>
          <w:szCs w:val="28"/>
        </w:rPr>
      </w:pPr>
      <w:r>
        <w:rPr>
          <w:rFonts w:ascii="Times New Roman" w:hAnsi="Times New Roman" w:cs="Times New Roman"/>
          <w:b/>
          <w:sz w:val="24"/>
          <w:szCs w:val="28"/>
        </w:rPr>
        <w:t>Figure 1: Aspects of Medical Tourism Industry</w:t>
      </w:r>
    </w:p>
    <w:p>
      <w:pPr>
        <w:pStyle w:val="7"/>
        <w:ind w:left="0"/>
        <w:jc w:val="both"/>
        <w:rPr>
          <w:rFonts w:ascii="Times New Roman" w:hAnsi="Times New Roman" w:eastAsia="Times New Roman" w:cs="Times New Roman"/>
          <w:color w:val="000000"/>
          <w:sz w:val="24"/>
          <w:szCs w:val="24"/>
          <w:lang w:eastAsia="en-IN"/>
        </w:rPr>
      </w:pPr>
    </w:p>
    <w:p>
      <w:pPr>
        <w:pStyle w:val="7"/>
        <w:ind w:left="0"/>
        <w:jc w:val="center"/>
        <w:rPr>
          <w:rFonts w:ascii="Times New Roman" w:hAnsi="Times New Roman" w:cs="Times New Roman"/>
          <w:b/>
          <w:sz w:val="24"/>
          <w:szCs w:val="24"/>
        </w:rPr>
      </w:pPr>
      <w:r>
        <w:rPr>
          <w:rFonts w:ascii="Times New Roman" w:hAnsi="Times New Roman" w:eastAsia="Times New Roman" w:cs="Times New Roman"/>
          <w:color w:val="000000"/>
          <w:sz w:val="24"/>
          <w:szCs w:val="24"/>
          <w:lang w:val="en-IN" w:eastAsia="en-IN" w:bidi="or-IN"/>
        </w:rPr>
        <w:drawing>
          <wp:inline distT="0" distB="0" distL="114300" distR="114300">
            <wp:extent cx="5729605" cy="3957955"/>
            <wp:effectExtent l="0" t="0" r="10795" b="4445"/>
            <wp:docPr id="3" name="Picture 3" descr="Screenshot 2017-11-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17-11-28 12.12.09"/>
                    <pic:cNvPicPr>
                      <a:picLocks noChangeAspect="1"/>
                    </pic:cNvPicPr>
                  </pic:nvPicPr>
                  <pic:blipFill>
                    <a:blip r:embed="rId6"/>
                    <a:stretch>
                      <a:fillRect/>
                    </a:stretch>
                  </pic:blipFill>
                  <pic:spPr>
                    <a:xfrm>
                      <a:off x="0" y="0"/>
                      <a:ext cx="5729605" cy="3957955"/>
                    </a:xfrm>
                    <a:prstGeom prst="rect">
                      <a:avLst/>
                    </a:prstGeom>
                  </pic:spPr>
                </pic:pic>
              </a:graphicData>
            </a:graphic>
          </wp:inline>
        </w:drawing>
      </w:r>
      <w:r>
        <w:rPr>
          <w:rFonts w:ascii="Times New Roman" w:hAnsi="Times New Roman" w:cs="Times New Roman"/>
          <w:b/>
          <w:sz w:val="24"/>
          <w:szCs w:val="24"/>
        </w:rPr>
        <w:t>Source: IMaCS Research</w:t>
      </w: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p>
    <w:p>
      <w:pPr>
        <w:spacing w:line="360" w:lineRule="auto"/>
        <w:jc w:val="center"/>
        <w:rPr>
          <w:rFonts w:ascii="Times New Roman" w:hAnsi="Times New Roman"/>
          <w:b/>
          <w:sz w:val="24"/>
          <w:szCs w:val="24"/>
        </w:rPr>
      </w:pPr>
    </w:p>
    <w:p>
      <w:pPr>
        <w:spacing w:line="360" w:lineRule="auto"/>
        <w:jc w:val="center"/>
        <w:rPr>
          <w:rFonts w:ascii="Times New Roman" w:hAnsi="Times New Roman"/>
          <w:b/>
          <w:sz w:val="24"/>
          <w:szCs w:val="24"/>
        </w:rPr>
      </w:pPr>
      <w:r>
        <w:rPr>
          <w:rFonts w:ascii="Times New Roman" w:hAnsi="Times New Roman"/>
          <w:b/>
          <w:sz w:val="24"/>
          <w:szCs w:val="24"/>
        </w:rPr>
        <w:t>Figure 2: Various reasons of people choosing for a particular hospital</w:t>
      </w:r>
    </w:p>
    <w:p>
      <w:pPr>
        <w:pStyle w:val="7"/>
        <w:ind w:left="0"/>
        <w:jc w:val="both"/>
        <w:rPr>
          <w:rFonts w:ascii="Times New Roman" w:hAnsi="Times New Roman"/>
          <w:i/>
          <w:sz w:val="24"/>
          <w:szCs w:val="24"/>
          <w:lang w:eastAsia="en-IN"/>
        </w:rPr>
      </w:pPr>
    </w:p>
    <w:p>
      <w:pPr>
        <w:pStyle w:val="7"/>
        <w:ind w:left="0"/>
        <w:jc w:val="both"/>
        <w:rPr>
          <w:rFonts w:ascii="Times New Roman" w:hAnsi="Times New Roman" w:eastAsia="Times New Roman" w:cs="Times New Roman"/>
          <w:color w:val="000000"/>
          <w:sz w:val="24"/>
          <w:szCs w:val="24"/>
          <w:lang w:eastAsia="en-IN"/>
        </w:rPr>
      </w:pPr>
      <w:r>
        <w:rPr>
          <w:rFonts w:ascii="Times New Roman" w:hAnsi="Times New Roman"/>
          <w:b/>
          <w:sz w:val="24"/>
          <w:szCs w:val="24"/>
          <w:lang w:val="en-IN" w:eastAsia="en-IN" w:bidi="or-IN"/>
        </w:rPr>
        <w:drawing>
          <wp:inline distT="0" distB="0" distL="114300" distR="114300">
            <wp:extent cx="5861685" cy="2705100"/>
            <wp:effectExtent l="4445" t="4445" r="13970" b="825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spacing w:line="240" w:lineRule="auto"/>
        <w:jc w:val="both"/>
        <w:rPr>
          <w:rFonts w:ascii="Times New Roman" w:hAnsi="Times New Roman" w:cs="Times New Roman"/>
          <w:bCs/>
          <w:sz w:val="24"/>
          <w:szCs w:val="24"/>
        </w:rPr>
      </w:pPr>
    </w:p>
    <w:p>
      <w:pPr>
        <w:pStyle w:val="7"/>
        <w:ind w:left="0"/>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Figure 3:  Mean difference between the expectations and perceptions</w:t>
      </w:r>
    </w:p>
    <w:p>
      <w:pPr>
        <w:pStyle w:val="7"/>
        <w:ind w:left="0"/>
        <w:jc w:val="center"/>
        <w:rPr>
          <w:rFonts w:ascii="Times New Roman" w:hAnsi="Times New Roman" w:cs="Times New Roman"/>
          <w:b/>
          <w:bCs/>
          <w:sz w:val="24"/>
          <w:szCs w:val="24"/>
          <w:lang w:eastAsia="en-IN"/>
        </w:rPr>
      </w:pPr>
    </w:p>
    <w:p>
      <w:pPr>
        <w:pStyle w:val="7"/>
        <w:ind w:left="0"/>
        <w:jc w:val="both"/>
        <w:rPr>
          <w:rFonts w:ascii="Times New Roman" w:hAnsi="Times New Roman" w:eastAsia="Times New Roman" w:cs="Times New Roman"/>
          <w:color w:val="000000"/>
          <w:sz w:val="24"/>
          <w:szCs w:val="24"/>
          <w:lang w:eastAsia="en-IN"/>
        </w:rPr>
      </w:pPr>
      <w:r>
        <w:rPr>
          <w:rFonts w:ascii="Times New Roman" w:hAnsi="Times New Roman" w:cs="Times New Roman"/>
          <w:b/>
          <w:bCs/>
          <w:sz w:val="24"/>
          <w:szCs w:val="24"/>
          <w:lang w:val="en-IN" w:eastAsia="en-IN" w:bidi="or-IN"/>
        </w:rPr>
        <w:drawing>
          <wp:inline distT="0" distB="0" distL="114300" distR="114300">
            <wp:extent cx="5706110" cy="2063115"/>
            <wp:effectExtent l="4445" t="4445" r="17145"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4:  Satisfaction scores</w:t>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r>
        <w:rPr>
          <w:rFonts w:ascii="Times New Roman" w:hAnsi="Times New Roman" w:cs="Times New Roman"/>
          <w:b/>
          <w:bCs/>
          <w:sz w:val="24"/>
          <w:szCs w:val="24"/>
          <w:lang w:val="en-IN" w:eastAsia="en-IN" w:bidi="or-IN"/>
        </w:rPr>
        <w:drawing>
          <wp:inline distT="0" distB="0" distL="114300" distR="114300">
            <wp:extent cx="5765165" cy="3339465"/>
            <wp:effectExtent l="4445" t="4445" r="8890" b="889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5:  Views towards Pricing Options</w:t>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r>
        <w:rPr>
          <w:rFonts w:ascii="Times New Roman" w:hAnsi="Times New Roman" w:cs="Times New Roman"/>
          <w:b/>
          <w:bCs/>
          <w:sz w:val="24"/>
          <w:szCs w:val="24"/>
          <w:lang w:val="en-IN" w:eastAsia="en-IN" w:bidi="or-IN"/>
        </w:rPr>
        <w:drawing>
          <wp:inline distT="0" distB="0" distL="114300" distR="114300">
            <wp:extent cx="5711190" cy="1692275"/>
            <wp:effectExtent l="4445" t="4445" r="12065" b="508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7"/>
        <w:ind w:left="0"/>
        <w:jc w:val="both"/>
        <w:rPr>
          <w:rFonts w:ascii="Times New Roman" w:hAnsi="Times New Roman" w:eastAsia="Times New Roman" w:cs="Times New Roman"/>
          <w:color w:val="000000"/>
          <w:sz w:val="24"/>
          <w:szCs w:val="24"/>
          <w:lang w:eastAsia="en-IN"/>
        </w:rPr>
      </w:pPr>
    </w:p>
    <w:p>
      <w:pPr>
        <w:pStyle w:val="2"/>
        <w:rPr>
          <w:rFonts w:ascii="Times New Roman" w:hAnsi="Times New Roman"/>
          <w:i/>
          <w:sz w:val="24"/>
          <w:szCs w:val="24"/>
        </w:rPr>
      </w:pPr>
    </w:p>
    <w:p>
      <w:pPr>
        <w:spacing w:line="360" w:lineRule="auto"/>
        <w:jc w:val="both"/>
        <w:rPr>
          <w:rFonts w:ascii="Times New Roman" w:hAnsi="Times New Roman" w:eastAsia="SimSun" w:cs="Times New Roman"/>
          <w:color w:val="222222"/>
          <w:sz w:val="24"/>
          <w:szCs w:val="24"/>
          <w:shd w:val="clear" w:color="auto" w:fill="FFFFFF"/>
        </w:rPr>
      </w:pPr>
    </w:p>
    <w:sectPr>
      <w:endnotePr>
        <w:numFmt w:val="decimal"/>
      </w:endnote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Kalinga">
    <w:panose1 w:val="020B0502040204020203"/>
    <w:charset w:val="00"/>
    <w:family w:val="swiss"/>
    <w:pitch w:val="default"/>
    <w:sig w:usb0="00080003"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27F1"/>
    <w:multiLevelType w:val="singleLevel"/>
    <w:tmpl w:val="5A2627F1"/>
    <w:lvl w:ilvl="0" w:tentative="0">
      <w:start w:val="1"/>
      <w:numFmt w:val="bullet"/>
      <w:lvlText w:val=""/>
      <w:lvlJc w:val="left"/>
      <w:pPr>
        <w:ind w:left="420" w:hanging="420"/>
      </w:pPr>
      <w:rPr>
        <w:rFonts w:hint="default" w:ascii="Wingdings" w:hAnsi="Wingdings"/>
      </w:rPr>
    </w:lvl>
  </w:abstractNum>
  <w:abstractNum w:abstractNumId="1">
    <w:nsid w:val="5A2B9034"/>
    <w:multiLevelType w:val="singleLevel"/>
    <w:tmpl w:val="5A2B9034"/>
    <w:lvl w:ilvl="0" w:tentative="0">
      <w:start w:val="1"/>
      <w:numFmt w:val="decimal"/>
      <w:lvlText w:val="%1."/>
      <w:lvlJc w:val="left"/>
      <w:pPr>
        <w:ind w:left="425" w:hanging="425"/>
      </w:pPr>
      <w:rPr>
        <w:rFonts w:hint="default"/>
      </w:rPr>
    </w:lvl>
  </w:abstractNum>
  <w:abstractNum w:abstractNumId="2">
    <w:nsid w:val="65D1443E"/>
    <w:multiLevelType w:val="multilevel"/>
    <w:tmpl w:val="65D144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7B82D00"/>
    <w:multiLevelType w:val="multilevel"/>
    <w:tmpl w:val="77B82D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BF6335"/>
    <w:rsid w:val="00376F63"/>
    <w:rsid w:val="003A2F3E"/>
    <w:rsid w:val="004A7B96"/>
    <w:rsid w:val="005B670D"/>
    <w:rsid w:val="006E1A36"/>
    <w:rsid w:val="007A37A9"/>
    <w:rsid w:val="008574BB"/>
    <w:rsid w:val="00964B4E"/>
    <w:rsid w:val="00B7130B"/>
    <w:rsid w:val="00BD7C02"/>
    <w:rsid w:val="00BF6335"/>
    <w:rsid w:val="00C32358"/>
    <w:rsid w:val="00D52C58"/>
    <w:rsid w:val="00D76292"/>
    <w:rsid w:val="00E03710"/>
    <w:rsid w:val="00FA03A5"/>
    <w:rsid w:val="031C2F91"/>
    <w:rsid w:val="041317F5"/>
    <w:rsid w:val="0467740F"/>
    <w:rsid w:val="051B72F9"/>
    <w:rsid w:val="08390275"/>
    <w:rsid w:val="0A91286F"/>
    <w:rsid w:val="0ADB2A58"/>
    <w:rsid w:val="0B0920B4"/>
    <w:rsid w:val="0C022576"/>
    <w:rsid w:val="0D43201B"/>
    <w:rsid w:val="0D8B7CD4"/>
    <w:rsid w:val="0E3D5AAA"/>
    <w:rsid w:val="0E720D30"/>
    <w:rsid w:val="0E96341D"/>
    <w:rsid w:val="10C55BD1"/>
    <w:rsid w:val="10E20ED5"/>
    <w:rsid w:val="11011C3A"/>
    <w:rsid w:val="11CC1510"/>
    <w:rsid w:val="1261588F"/>
    <w:rsid w:val="12CC3B6D"/>
    <w:rsid w:val="12EF5B89"/>
    <w:rsid w:val="14555635"/>
    <w:rsid w:val="14B178DF"/>
    <w:rsid w:val="14B63451"/>
    <w:rsid w:val="15085B7C"/>
    <w:rsid w:val="16AF69FF"/>
    <w:rsid w:val="16B47254"/>
    <w:rsid w:val="177774C3"/>
    <w:rsid w:val="179F7BC6"/>
    <w:rsid w:val="19914295"/>
    <w:rsid w:val="1A4C6A3C"/>
    <w:rsid w:val="1C2B334D"/>
    <w:rsid w:val="1D72716C"/>
    <w:rsid w:val="1E5F63D7"/>
    <w:rsid w:val="1ECA5883"/>
    <w:rsid w:val="1F6E6D46"/>
    <w:rsid w:val="21F91FF2"/>
    <w:rsid w:val="22D11909"/>
    <w:rsid w:val="23663672"/>
    <w:rsid w:val="23997EC1"/>
    <w:rsid w:val="25D91BBA"/>
    <w:rsid w:val="26554D0D"/>
    <w:rsid w:val="269378EF"/>
    <w:rsid w:val="26CC18C9"/>
    <w:rsid w:val="27BD4D72"/>
    <w:rsid w:val="27EA1C3C"/>
    <w:rsid w:val="2A7F7DEE"/>
    <w:rsid w:val="2BFE458D"/>
    <w:rsid w:val="2D7F5E1D"/>
    <w:rsid w:val="2D855150"/>
    <w:rsid w:val="2DC82A58"/>
    <w:rsid w:val="2EE01CD5"/>
    <w:rsid w:val="2F1A4F1D"/>
    <w:rsid w:val="2F364DB9"/>
    <w:rsid w:val="300358A4"/>
    <w:rsid w:val="30CB3D1D"/>
    <w:rsid w:val="31037B80"/>
    <w:rsid w:val="311A2B1C"/>
    <w:rsid w:val="32F12D36"/>
    <w:rsid w:val="33665581"/>
    <w:rsid w:val="35223188"/>
    <w:rsid w:val="37651371"/>
    <w:rsid w:val="3787073F"/>
    <w:rsid w:val="378B7AD7"/>
    <w:rsid w:val="3825197C"/>
    <w:rsid w:val="38372DDE"/>
    <w:rsid w:val="38EA311B"/>
    <w:rsid w:val="3A487B7D"/>
    <w:rsid w:val="3A715F40"/>
    <w:rsid w:val="3BED34E8"/>
    <w:rsid w:val="3BF77527"/>
    <w:rsid w:val="3C9A78C6"/>
    <w:rsid w:val="3FC70B4A"/>
    <w:rsid w:val="42974FD4"/>
    <w:rsid w:val="441917B4"/>
    <w:rsid w:val="44F97E38"/>
    <w:rsid w:val="45507BCA"/>
    <w:rsid w:val="47624F36"/>
    <w:rsid w:val="47DF2987"/>
    <w:rsid w:val="482D6D11"/>
    <w:rsid w:val="49991493"/>
    <w:rsid w:val="4C5569CF"/>
    <w:rsid w:val="4C9B71D1"/>
    <w:rsid w:val="4C9D6A5C"/>
    <w:rsid w:val="4D2448E0"/>
    <w:rsid w:val="4D5D17CF"/>
    <w:rsid w:val="4D8A67FB"/>
    <w:rsid w:val="4DF97795"/>
    <w:rsid w:val="4E3A6EDB"/>
    <w:rsid w:val="4E5D149F"/>
    <w:rsid w:val="4ED60C2F"/>
    <w:rsid w:val="4EDD3896"/>
    <w:rsid w:val="4EF20F1C"/>
    <w:rsid w:val="4F1107D6"/>
    <w:rsid w:val="4FF10AB2"/>
    <w:rsid w:val="50EC4E42"/>
    <w:rsid w:val="511A4AC2"/>
    <w:rsid w:val="51B96509"/>
    <w:rsid w:val="53A801F7"/>
    <w:rsid w:val="541974F5"/>
    <w:rsid w:val="54435FD3"/>
    <w:rsid w:val="572A461E"/>
    <w:rsid w:val="585368DA"/>
    <w:rsid w:val="58EB3947"/>
    <w:rsid w:val="590A3552"/>
    <w:rsid w:val="5A3234FC"/>
    <w:rsid w:val="5A4B1269"/>
    <w:rsid w:val="5AB32906"/>
    <w:rsid w:val="5ADA7604"/>
    <w:rsid w:val="5BB64468"/>
    <w:rsid w:val="5D1D3BE1"/>
    <w:rsid w:val="5E610341"/>
    <w:rsid w:val="5EAD0FFE"/>
    <w:rsid w:val="5FBD30A6"/>
    <w:rsid w:val="5FF07FFF"/>
    <w:rsid w:val="6098729C"/>
    <w:rsid w:val="60FB36B6"/>
    <w:rsid w:val="61801BCF"/>
    <w:rsid w:val="65946D52"/>
    <w:rsid w:val="6664765F"/>
    <w:rsid w:val="66C46CBF"/>
    <w:rsid w:val="67AC387E"/>
    <w:rsid w:val="67C96A60"/>
    <w:rsid w:val="69743ACC"/>
    <w:rsid w:val="6A326C73"/>
    <w:rsid w:val="6B677ACD"/>
    <w:rsid w:val="6C0E471F"/>
    <w:rsid w:val="6DBD4778"/>
    <w:rsid w:val="6DEF56C6"/>
    <w:rsid w:val="6E382EC6"/>
    <w:rsid w:val="6F346D4A"/>
    <w:rsid w:val="7114463C"/>
    <w:rsid w:val="71AE2964"/>
    <w:rsid w:val="73EE27CE"/>
    <w:rsid w:val="74791EE9"/>
    <w:rsid w:val="77845457"/>
    <w:rsid w:val="781F1E51"/>
    <w:rsid w:val="793F3610"/>
    <w:rsid w:val="79992620"/>
    <w:rsid w:val="7A287DAE"/>
    <w:rsid w:val="7A994399"/>
    <w:rsid w:val="7D4E5AC4"/>
    <w:rsid w:val="7E837006"/>
    <w:rsid w:val="7F84472A"/>
    <w:rsid w:val="7FB54C16"/>
    <w:rsid w:val="7FC522A2"/>
    <w:rsid w:val="7FF22C4E"/>
  </w:rsids>
  <m:mathPr>
    <m:mathFont m:val="Cambria Math"/>
    <m:brkBin m:val="before"/>
    <m:brkBinSub m:val="--"/>
    <m:smallFrac m:val="1"/>
    <m:dispDef/>
    <m:lMargin m:val="0"/>
    <m:rMargin m:val="0"/>
    <m:defJc m:val="centerGroup"/>
    <m:wrapIndent m:val="1440"/>
    <m:intLim m:val="subSup"/>
    <m:naryLim m:val="undOvr"/>
  </m:mathPr>
  <w:themeFontLang w:val="en-IN" w:eastAsia="zh-CN" w:bidi="o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endnote text"/>
    <w:basedOn w:val="1"/>
    <w:uiPriority w:val="0"/>
    <w:pPr>
      <w:snapToGrid w:val="0"/>
    </w:pPr>
  </w:style>
  <w:style w:type="character" w:styleId="4">
    <w:name w:val="endnote reference"/>
    <w:basedOn w:val="3"/>
    <w:qFormat/>
    <w:uiPriority w:val="0"/>
    <w:rPr>
      <w:vertAlign w:val="superscript"/>
    </w:rPr>
  </w:style>
  <w:style w:type="character" w:styleId="5">
    <w:name w:val="Hyperlink"/>
    <w:qFormat/>
    <w:uiPriority w:val="0"/>
    <w:rPr>
      <w:color w:val="0000FF"/>
      <w:u w:val="single"/>
    </w:rPr>
  </w:style>
  <w:style w:type="paragraph" w:customStyle="1" w:styleId="7">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127971566803253"/>
          <c:y val="0.0415011704618003"/>
          <c:w val="0.987202843319675"/>
          <c:h val="0.470535007448393"/>
        </c:manualLayout>
      </c:layout>
      <c:barChart>
        <c:barDir val="col"/>
        <c:grouping val="clustered"/>
        <c:varyColors val="0"/>
        <c:ser>
          <c:idx val="0"/>
          <c:order val="0"/>
          <c:tx>
            <c:strRef>
              <c:f>Sheet1!$C$53</c:f>
              <c:strCache>
                <c:ptCount val="1"/>
                <c:pt idx="0">
                  <c:v>Percentage</c:v>
                </c:pt>
              </c:strCache>
            </c:strRef>
          </c:tx>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Sheet1!$B$54:$B$63</c:f>
              <c:strCache>
                <c:ptCount val="10"/>
                <c:pt idx="0">
                  <c:v>Quality of Services</c:v>
                </c:pt>
                <c:pt idx="1">
                  <c:v>Hospital Image</c:v>
                </c:pt>
                <c:pt idx="2">
                  <c:v>Range of Services</c:v>
                </c:pt>
                <c:pt idx="3">
                  <c:v>Professional Advice</c:v>
                </c:pt>
                <c:pt idx="4">
                  <c:v>Convenience of Access</c:v>
                </c:pt>
                <c:pt idx="5">
                  <c:v>Patient Delight</c:v>
                </c:pt>
                <c:pt idx="6">
                  <c:v>Payment Modes</c:v>
                </c:pt>
                <c:pt idx="7">
                  <c:v>Coverage of Health Insurance</c:v>
                </c:pt>
                <c:pt idx="8">
                  <c:v>Administrative Procedures</c:v>
                </c:pt>
                <c:pt idx="9">
                  <c:v>Cost of Treatments</c:v>
                </c:pt>
              </c:strCache>
            </c:strRef>
          </c:cat>
          <c:val>
            <c:numRef>
              <c:f>Sheet1!$C$54:$C$63</c:f>
              <c:numCache>
                <c:formatCode>0.00</c:formatCode>
                <c:ptCount val="10"/>
                <c:pt idx="0">
                  <c:v>36.1111111111111</c:v>
                </c:pt>
                <c:pt idx="1">
                  <c:v>32.2222222222223</c:v>
                </c:pt>
                <c:pt idx="2">
                  <c:v>30.5555555555556</c:v>
                </c:pt>
                <c:pt idx="3">
                  <c:v>30</c:v>
                </c:pt>
                <c:pt idx="4">
                  <c:v>26.6666666666667</c:v>
                </c:pt>
                <c:pt idx="5">
                  <c:v>23.3333333333333</c:v>
                </c:pt>
                <c:pt idx="6">
                  <c:v>21.1111111111111</c:v>
                </c:pt>
                <c:pt idx="7">
                  <c:v>20</c:v>
                </c:pt>
                <c:pt idx="8">
                  <c:v>15.5555555555556</c:v>
                </c:pt>
                <c:pt idx="9">
                  <c:v>11.1111111111111</c:v>
                </c:pt>
              </c:numCache>
            </c:numRef>
          </c:val>
        </c:ser>
        <c:dLbls>
          <c:showLegendKey val="0"/>
          <c:showVal val="1"/>
          <c:showCatName val="0"/>
          <c:showSerName val="0"/>
          <c:showPercent val="0"/>
          <c:showBubbleSize val="0"/>
        </c:dLbls>
        <c:gapWidth val="150"/>
        <c:axId val="116483968"/>
        <c:axId val="116485504"/>
      </c:barChart>
      <c:catAx>
        <c:axId val="116483968"/>
        <c:scaling>
          <c:orientation val="minMax"/>
        </c:scaling>
        <c:delete val="0"/>
        <c:axPos val="b"/>
        <c:majorTickMark val="out"/>
        <c:minorTickMark val="none"/>
        <c:tickLblPos val="nextTo"/>
        <c:txPr>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p>
        </c:txPr>
        <c:crossAx val="116485504"/>
        <c:crosses val="autoZero"/>
        <c:auto val="1"/>
        <c:lblAlgn val="ctr"/>
        <c:lblOffset val="100"/>
        <c:noMultiLvlLbl val="0"/>
      </c:catAx>
      <c:valAx>
        <c:axId val="116485504"/>
        <c:scaling>
          <c:orientation val="minMax"/>
        </c:scaling>
        <c:delete val="1"/>
        <c:axPos val="l"/>
        <c:numFmt formatCode="0.00"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483968"/>
        <c:crosses val="autoZero"/>
        <c:crossBetween val="between"/>
      </c:valAx>
    </c:plotArea>
    <c:plotVisOnly val="1"/>
    <c:dispBlanksAs val="gap"/>
    <c:showDLblsOverMax val="0"/>
  </c:chart>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Sheet1!$D$2</c:f>
              <c:strCache>
                <c:ptCount val="1"/>
                <c:pt idx="0">
                  <c:v>Mean Score of Expectation</c:v>
                </c:pt>
              </c:strCache>
            </c:strRef>
          </c:tx>
          <c:spPr>
            <a:solidFill>
              <a:srgbClr val="00B050"/>
            </a:solidFill>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Sheet1!$C$3:$C$7</c:f>
              <c:strCache>
                <c:ptCount val="5"/>
                <c:pt idx="0">
                  <c:v>Assurance</c:v>
                </c:pt>
                <c:pt idx="1">
                  <c:v>Empathy</c:v>
                </c:pt>
                <c:pt idx="2">
                  <c:v>Reliability</c:v>
                </c:pt>
                <c:pt idx="3">
                  <c:v>Responsiveness</c:v>
                </c:pt>
                <c:pt idx="4">
                  <c:v>Tangibility</c:v>
                </c:pt>
              </c:strCache>
            </c:strRef>
          </c:cat>
          <c:val>
            <c:numRef>
              <c:f>Sheet1!$D$3:$D$7</c:f>
              <c:numCache>
                <c:formatCode>0.00</c:formatCode>
                <c:ptCount val="5"/>
                <c:pt idx="0">
                  <c:v>4.24</c:v>
                </c:pt>
                <c:pt idx="1">
                  <c:v>4.21</c:v>
                </c:pt>
                <c:pt idx="2">
                  <c:v>4.2</c:v>
                </c:pt>
                <c:pt idx="3">
                  <c:v>4.26</c:v>
                </c:pt>
                <c:pt idx="4">
                  <c:v>4.26</c:v>
                </c:pt>
              </c:numCache>
            </c:numRef>
          </c:val>
        </c:ser>
        <c:ser>
          <c:idx val="1"/>
          <c:order val="1"/>
          <c:tx>
            <c:strRef>
              <c:f>Sheet1!$E$2</c:f>
              <c:strCache>
                <c:ptCount val="1"/>
                <c:pt idx="0">
                  <c:v>Mean Score of Perception</c:v>
                </c:pt>
              </c:strCache>
            </c:strRef>
          </c:tx>
          <c:spPr>
            <a:solidFill>
              <a:srgbClr val="FF0000"/>
            </a:solidFill>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Sheet1!$C$3:$C$7</c:f>
              <c:strCache>
                <c:ptCount val="5"/>
                <c:pt idx="0">
                  <c:v>Assurance</c:v>
                </c:pt>
                <c:pt idx="1">
                  <c:v>Empathy</c:v>
                </c:pt>
                <c:pt idx="2">
                  <c:v>Reliability</c:v>
                </c:pt>
                <c:pt idx="3">
                  <c:v>Responsiveness</c:v>
                </c:pt>
                <c:pt idx="4">
                  <c:v>Tangibility</c:v>
                </c:pt>
              </c:strCache>
            </c:strRef>
          </c:cat>
          <c:val>
            <c:numRef>
              <c:f>Sheet1!$E$3:$E$7</c:f>
              <c:numCache>
                <c:formatCode>0.00</c:formatCode>
                <c:ptCount val="5"/>
                <c:pt idx="0">
                  <c:v>2.98</c:v>
                </c:pt>
                <c:pt idx="1">
                  <c:v>2.41</c:v>
                </c:pt>
                <c:pt idx="2">
                  <c:v>2.9</c:v>
                </c:pt>
                <c:pt idx="3">
                  <c:v>2.68</c:v>
                </c:pt>
                <c:pt idx="4">
                  <c:v>3.28</c:v>
                </c:pt>
              </c:numCache>
            </c:numRef>
          </c:val>
        </c:ser>
        <c:dLbls>
          <c:showLegendKey val="0"/>
          <c:showVal val="1"/>
          <c:showCatName val="0"/>
          <c:showSerName val="0"/>
          <c:showPercent val="0"/>
          <c:showBubbleSize val="0"/>
        </c:dLbls>
        <c:gapWidth val="150"/>
        <c:axId val="116477952"/>
        <c:axId val="116479488"/>
      </c:barChart>
      <c:catAx>
        <c:axId val="116477952"/>
        <c:scaling>
          <c:orientation val="minMax"/>
        </c:scaling>
        <c:delete val="0"/>
        <c:axPos val="b"/>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479488"/>
        <c:crosses val="autoZero"/>
        <c:auto val="1"/>
        <c:lblAlgn val="ctr"/>
        <c:lblOffset val="100"/>
        <c:noMultiLvlLbl val="0"/>
      </c:catAx>
      <c:valAx>
        <c:axId val="116479488"/>
        <c:scaling>
          <c:orientation val="minMax"/>
        </c:scaling>
        <c:delete val="1"/>
        <c:axPos val="l"/>
        <c:numFmt formatCode="0.00"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477952"/>
        <c:crosses val="autoZero"/>
        <c:crossBetween val="between"/>
      </c:valAx>
    </c:plotArea>
    <c:legend>
      <c:legendPos val="t"/>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242321765143203"/>
          <c:y val="0.0497933380434436"/>
          <c:w val="0.95153564697136"/>
          <c:h val="0.554988704361661"/>
        </c:manualLayout>
      </c:layout>
      <c:barChart>
        <c:barDir val="col"/>
        <c:grouping val="clustered"/>
        <c:varyColors val="0"/>
        <c:ser>
          <c:idx val="0"/>
          <c:order val="0"/>
          <c:invertIfNegative val="0"/>
          <c:dPt>
            <c:idx val="0"/>
            <c:invertIfNegative val="0"/>
            <c:bubble3D val="0"/>
            <c:spPr>
              <a:solidFill>
                <a:srgbClr val="FF0000"/>
              </a:solidFill>
            </c:spPr>
          </c:dPt>
          <c:dPt>
            <c:idx val="1"/>
            <c:invertIfNegative val="0"/>
            <c:bubble3D val="0"/>
            <c:spPr>
              <a:solidFill>
                <a:srgbClr val="FF8C47"/>
              </a:solidFill>
            </c:spPr>
          </c:dPt>
          <c:dPt>
            <c:idx val="2"/>
            <c:invertIfNegative val="0"/>
            <c:bubble3D val="0"/>
            <c:spPr>
              <a:solidFill>
                <a:srgbClr val="FFFF00"/>
              </a:solidFill>
            </c:spPr>
          </c:dPt>
          <c:dPt>
            <c:idx val="3"/>
            <c:invertIfNegative val="0"/>
            <c:bubble3D val="0"/>
            <c:spPr>
              <a:solidFill>
                <a:srgbClr val="00B0F0"/>
              </a:solidFill>
            </c:spPr>
          </c:dPt>
          <c:dPt>
            <c:idx val="4"/>
            <c:invertIfNegative val="0"/>
            <c:bubble3D val="0"/>
            <c:spPr>
              <a:solidFill>
                <a:srgbClr val="00B050"/>
              </a:solidFill>
            </c:spPr>
          </c:dPt>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Sheet2!$H$20:$H$24</c:f>
              <c:strCache>
                <c:ptCount val="5"/>
                <c:pt idx="0">
                  <c:v>Extremely dissatisfied</c:v>
                </c:pt>
                <c:pt idx="1">
                  <c:v>Somewhat dissatisfied</c:v>
                </c:pt>
                <c:pt idx="2">
                  <c:v>neither satisfied nor dissatisfied</c:v>
                </c:pt>
                <c:pt idx="3">
                  <c:v>Somewhat satisfied</c:v>
                </c:pt>
                <c:pt idx="4">
                  <c:v>Extremely satisfied</c:v>
                </c:pt>
              </c:strCache>
            </c:strRef>
          </c:cat>
          <c:val>
            <c:numRef>
              <c:f>Sheet2!$I$20:$I$24</c:f>
              <c:numCache>
                <c:formatCode>0.00</c:formatCode>
                <c:ptCount val="5"/>
                <c:pt idx="0">
                  <c:v>6.11111111111111</c:v>
                </c:pt>
                <c:pt idx="1">
                  <c:v>23.8888888888889</c:v>
                </c:pt>
                <c:pt idx="2">
                  <c:v>10</c:v>
                </c:pt>
                <c:pt idx="3">
                  <c:v>42.7777777777778</c:v>
                </c:pt>
                <c:pt idx="4">
                  <c:v>17.2222222222222</c:v>
                </c:pt>
              </c:numCache>
            </c:numRef>
          </c:val>
        </c:ser>
        <c:dLbls>
          <c:showLegendKey val="0"/>
          <c:showVal val="1"/>
          <c:showCatName val="0"/>
          <c:showSerName val="0"/>
          <c:showPercent val="0"/>
          <c:showBubbleSize val="0"/>
        </c:dLbls>
        <c:gapWidth val="150"/>
        <c:axId val="116497408"/>
        <c:axId val="116503296"/>
      </c:barChart>
      <c:catAx>
        <c:axId val="116497408"/>
        <c:scaling>
          <c:orientation val="minMax"/>
        </c:scaling>
        <c:delete val="0"/>
        <c:axPos val="b"/>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503296"/>
        <c:crosses val="autoZero"/>
        <c:auto val="1"/>
        <c:lblAlgn val="ctr"/>
        <c:lblOffset val="100"/>
        <c:noMultiLvlLbl val="0"/>
      </c:catAx>
      <c:valAx>
        <c:axId val="116503296"/>
        <c:scaling>
          <c:orientation val="minMax"/>
        </c:scaling>
        <c:delete val="1"/>
        <c:axPos val="l"/>
        <c:numFmt formatCode="0.00"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497408"/>
        <c:crosses val="autoZero"/>
        <c:crossBetween val="between"/>
      </c:valAx>
    </c:plotArea>
    <c:plotVisOnly val="1"/>
    <c:dispBlanksAs val="gap"/>
    <c:showDLblsOverMax val="0"/>
  </c:chart>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455859461863465"/>
          <c:y val="0.154666666666667"/>
          <c:w val="0.951078496775628"/>
          <c:h val="0.602133333333333"/>
        </c:manualLayout>
      </c:layout>
      <c:barChart>
        <c:barDir val="col"/>
        <c:grouping val="clustered"/>
        <c:varyColors val="0"/>
        <c:ser>
          <c:idx val="0"/>
          <c:order val="0"/>
          <c:spPr>
            <a:solidFill>
              <a:srgbClr val="00B050"/>
            </a:solidFill>
          </c:spPr>
          <c:invertIfNegative val="0"/>
          <c:dPt>
            <c:idx val="2"/>
            <c:invertIfNegative val="0"/>
            <c:bubble3D val="0"/>
            <c:spPr>
              <a:solidFill>
                <a:srgbClr val="00B0F0"/>
              </a:solidFill>
            </c:spPr>
          </c:dPt>
          <c:dPt>
            <c:idx val="3"/>
            <c:invertIfNegative val="0"/>
            <c:bubble3D val="0"/>
            <c:spPr>
              <a:solidFill>
                <a:srgbClr val="FF8C47"/>
              </a:solidFill>
            </c:spPr>
          </c:dPt>
          <c:dPt>
            <c:idx val="4"/>
            <c:invertIfNegative val="0"/>
            <c:bubble3D val="0"/>
            <c:spPr>
              <a:solidFill>
                <a:srgbClr val="FF0000"/>
              </a:solidFill>
            </c:spPr>
          </c:dPt>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Sheet2!$H$36:$H$40</c:f>
              <c:strCache>
                <c:ptCount val="5"/>
                <c:pt idx="0">
                  <c:v>Very Cheap</c:v>
                </c:pt>
                <c:pt idx="1">
                  <c:v>Cheap</c:v>
                </c:pt>
                <c:pt idx="2">
                  <c:v>Reasonable</c:v>
                </c:pt>
                <c:pt idx="3">
                  <c:v>Expensive</c:v>
                </c:pt>
                <c:pt idx="4">
                  <c:v>Very Expensive</c:v>
                </c:pt>
              </c:strCache>
            </c:strRef>
          </c:cat>
          <c:val>
            <c:numRef>
              <c:f>Sheet2!$I$36:$I$40</c:f>
              <c:numCache>
                <c:formatCode>0.00</c:formatCode>
                <c:ptCount val="5"/>
                <c:pt idx="0">
                  <c:v>0</c:v>
                </c:pt>
                <c:pt idx="1">
                  <c:v>6.11111111111111</c:v>
                </c:pt>
                <c:pt idx="2">
                  <c:v>21.1111111111111</c:v>
                </c:pt>
                <c:pt idx="3">
                  <c:v>49.4444444444443</c:v>
                </c:pt>
                <c:pt idx="4">
                  <c:v>23.3333333333333</c:v>
                </c:pt>
              </c:numCache>
            </c:numRef>
          </c:val>
        </c:ser>
        <c:dLbls>
          <c:showLegendKey val="0"/>
          <c:showVal val="1"/>
          <c:showCatName val="0"/>
          <c:showSerName val="0"/>
          <c:showPercent val="0"/>
          <c:showBubbleSize val="0"/>
        </c:dLbls>
        <c:gapWidth val="150"/>
        <c:axId val="116515968"/>
        <c:axId val="116517504"/>
      </c:barChart>
      <c:catAx>
        <c:axId val="116515968"/>
        <c:scaling>
          <c:orientation val="minMax"/>
        </c:scaling>
        <c:delete val="0"/>
        <c:axPos val="b"/>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517504"/>
        <c:crosses val="autoZero"/>
        <c:auto val="1"/>
        <c:lblAlgn val="ctr"/>
        <c:lblOffset val="100"/>
        <c:noMultiLvlLbl val="0"/>
      </c:catAx>
      <c:valAx>
        <c:axId val="116517504"/>
        <c:scaling>
          <c:orientation val="minMax"/>
        </c:scaling>
        <c:delete val="1"/>
        <c:axPos val="l"/>
        <c:numFmt formatCode="0.00"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6515968"/>
        <c:crosses val="autoZero"/>
        <c:crossBetween val="between"/>
      </c:valAx>
    </c:plotArea>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3955</Words>
  <Characters>22550</Characters>
  <Lines>187</Lines>
  <Paragraphs>52</Paragraphs>
  <ScaleCrop>false</ScaleCrop>
  <LinksUpToDate>false</LinksUpToDate>
  <CharactersWithSpaces>26453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2017-12-01T04:11:00Z</dcterms:created>
  <dc:creator>KIIT130</dc:creator>
  <cp:lastModifiedBy>KIIT130</cp:lastModifiedBy>
  <dcterms:modified xsi:type="dcterms:W3CDTF">2017-12-20T03:38:06Z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