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4E53" w14:textId="77777777" w:rsidR="00A17756" w:rsidRPr="008B3261" w:rsidRDefault="00EE1463" w:rsidP="00D73C86">
      <w:pPr>
        <w:jc w:val="both"/>
        <w:rPr>
          <w:rFonts w:ascii="Times New Roman" w:hAnsi="Times New Roman" w:cs="Times New Roman"/>
          <w:b/>
          <w:sz w:val="24"/>
          <w:szCs w:val="24"/>
        </w:rPr>
      </w:pPr>
      <w:r w:rsidRPr="008B3261">
        <w:rPr>
          <w:rFonts w:ascii="Times New Roman" w:hAnsi="Times New Roman" w:cs="Times New Roman"/>
          <w:b/>
          <w:sz w:val="24"/>
          <w:szCs w:val="24"/>
        </w:rPr>
        <w:t>A Qualitative Study of IEC Member’s Understanding of Research Guidelines, Privacy, and Challenges to Privacy Protection</w:t>
      </w:r>
    </w:p>
    <w:p w14:paraId="6EBAB02C" w14:textId="77777777" w:rsidR="00E33285" w:rsidRPr="008B3261" w:rsidRDefault="00A17756" w:rsidP="00D73C86">
      <w:pPr>
        <w:jc w:val="both"/>
        <w:rPr>
          <w:rFonts w:ascii="Times New Roman" w:hAnsi="Times New Roman" w:cs="Times New Roman"/>
          <w:b/>
          <w:sz w:val="24"/>
          <w:szCs w:val="24"/>
        </w:rPr>
      </w:pPr>
      <w:r w:rsidRPr="008B3261">
        <w:rPr>
          <w:rFonts w:ascii="Times New Roman" w:hAnsi="Times New Roman" w:cs="Times New Roman"/>
          <w:b/>
          <w:sz w:val="24"/>
          <w:szCs w:val="24"/>
        </w:rPr>
        <w:t>N.N.Mishra</w:t>
      </w:r>
      <w:r w:rsidRPr="008B3261">
        <w:rPr>
          <w:rFonts w:ascii="Times New Roman" w:hAnsi="Times New Roman" w:cs="Times New Roman"/>
          <w:b/>
          <w:sz w:val="24"/>
          <w:szCs w:val="24"/>
          <w:vertAlign w:val="superscript"/>
        </w:rPr>
        <w:t>1</w:t>
      </w:r>
      <w:r w:rsidRPr="008B3261">
        <w:rPr>
          <w:rFonts w:ascii="Times New Roman" w:hAnsi="Times New Roman" w:cs="Times New Roman"/>
          <w:b/>
          <w:sz w:val="24"/>
          <w:szCs w:val="24"/>
        </w:rPr>
        <w:t>, Triptish Bhatia</w:t>
      </w:r>
      <w:r w:rsidRPr="008B3261">
        <w:rPr>
          <w:rFonts w:ascii="Times New Roman" w:hAnsi="Times New Roman" w:cs="Times New Roman"/>
          <w:b/>
          <w:sz w:val="24"/>
          <w:szCs w:val="24"/>
          <w:vertAlign w:val="superscript"/>
        </w:rPr>
        <w:t>2</w:t>
      </w:r>
      <w:r w:rsidRPr="008B3261">
        <w:rPr>
          <w:rFonts w:ascii="Times New Roman" w:hAnsi="Times New Roman" w:cs="Times New Roman"/>
          <w:sz w:val="24"/>
          <w:szCs w:val="24"/>
        </w:rPr>
        <w:t xml:space="preserve">, </w:t>
      </w:r>
      <w:r w:rsidRPr="008B3261">
        <w:rPr>
          <w:rFonts w:ascii="Times New Roman" w:hAnsi="Times New Roman" w:cs="Times New Roman"/>
          <w:b/>
          <w:bCs/>
          <w:sz w:val="24"/>
          <w:szCs w:val="24"/>
        </w:rPr>
        <w:t>Vishwajit L Nimgaonkar</w:t>
      </w:r>
      <w:r w:rsidRPr="008B3261">
        <w:rPr>
          <w:rFonts w:ascii="Times New Roman" w:hAnsi="Times New Roman" w:cs="Times New Roman"/>
          <w:b/>
          <w:bCs/>
          <w:sz w:val="24"/>
          <w:szCs w:val="24"/>
          <w:vertAlign w:val="superscript"/>
        </w:rPr>
        <w:t>3</w:t>
      </w:r>
      <w:r w:rsidRPr="008B3261">
        <w:rPr>
          <w:rFonts w:ascii="Times New Roman" w:hAnsi="Times New Roman" w:cs="Times New Roman"/>
          <w:bCs/>
          <w:sz w:val="24"/>
          <w:szCs w:val="24"/>
        </w:rPr>
        <w:t xml:space="preserve">, </w:t>
      </w:r>
      <w:r w:rsidRPr="008B3261">
        <w:rPr>
          <w:rFonts w:ascii="Times New Roman" w:hAnsi="Times New Roman" w:cs="Times New Roman"/>
          <w:b/>
          <w:bCs/>
          <w:sz w:val="24"/>
          <w:szCs w:val="24"/>
        </w:rPr>
        <w:t>Smita N. Deshpande</w:t>
      </w:r>
      <w:r w:rsidRPr="008B3261">
        <w:rPr>
          <w:rFonts w:ascii="Times New Roman" w:hAnsi="Times New Roman" w:cs="Times New Roman"/>
          <w:b/>
          <w:bCs/>
          <w:sz w:val="24"/>
          <w:szCs w:val="24"/>
          <w:vertAlign w:val="superscript"/>
        </w:rPr>
        <w:t>4</w:t>
      </w:r>
      <w:r w:rsidRPr="008B3261">
        <w:rPr>
          <w:rFonts w:ascii="Times New Roman" w:hAnsi="Times New Roman" w:cs="Times New Roman"/>
          <w:b/>
          <w:bCs/>
          <w:sz w:val="24"/>
          <w:szCs w:val="24"/>
        </w:rPr>
        <w:t xml:space="preserve">, </w:t>
      </w:r>
      <w:r w:rsidRPr="008B3261">
        <w:rPr>
          <w:rFonts w:ascii="Times New Roman" w:hAnsi="Times New Roman" w:cs="Times New Roman"/>
          <w:b/>
          <w:sz w:val="24"/>
          <w:szCs w:val="24"/>
        </w:rPr>
        <w:t>Lisa S. Parker</w:t>
      </w:r>
      <w:r w:rsidRPr="008B3261">
        <w:rPr>
          <w:rFonts w:ascii="Times New Roman" w:hAnsi="Times New Roman" w:cs="Times New Roman"/>
          <w:b/>
          <w:sz w:val="24"/>
          <w:szCs w:val="24"/>
          <w:vertAlign w:val="superscript"/>
        </w:rPr>
        <w:t>5</w:t>
      </w:r>
    </w:p>
    <w:p w14:paraId="0B058904" w14:textId="77777777" w:rsidR="00A17756" w:rsidRPr="008B3261" w:rsidRDefault="00A17756" w:rsidP="00D73C86">
      <w:pPr>
        <w:jc w:val="both"/>
        <w:rPr>
          <w:rFonts w:ascii="Times New Roman" w:hAnsi="Times New Roman" w:cs="Times New Roman"/>
          <w:b/>
          <w:sz w:val="24"/>
          <w:szCs w:val="24"/>
        </w:rPr>
      </w:pPr>
    </w:p>
    <w:p w14:paraId="6E6609D6" w14:textId="77777777"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8B3261">
        <w:rPr>
          <w:rFonts w:ascii="Times New Roman" w:hAnsi="Times New Roman" w:cs="Times New Roman"/>
          <w:sz w:val="24"/>
          <w:szCs w:val="24"/>
          <w:vertAlign w:val="superscript"/>
        </w:rPr>
        <w:t>1</w:t>
      </w:r>
      <w:r w:rsidRPr="008B3261">
        <w:rPr>
          <w:rFonts w:ascii="Times New Roman" w:hAnsi="Times New Roman" w:cs="Times New Roman"/>
          <w:sz w:val="24"/>
          <w:szCs w:val="24"/>
        </w:rPr>
        <w:t xml:space="preserve">Assistant Professor and HOD, </w:t>
      </w:r>
      <w:r w:rsidRPr="008B3261">
        <w:rPr>
          <w:rFonts w:ascii="Times New Roman" w:eastAsia="Times New Roman" w:hAnsi="Times New Roman" w:cs="Times New Roman"/>
          <w:color w:val="000000"/>
          <w:sz w:val="24"/>
          <w:szCs w:val="24"/>
          <w:lang w:eastAsia="en-IN"/>
        </w:rPr>
        <w:t>Dept. of Psychology L.S.College, MuzaffarpurB.R.A.Bihar University, Muzaffarpur Bihar, India. PH No-09818566102 Mobile #  07762085421</w:t>
      </w:r>
      <w:r w:rsidR="008B3261" w:rsidRPr="008B3261">
        <w:rPr>
          <w:rFonts w:ascii="Times New Roman" w:eastAsia="Times New Roman" w:hAnsi="Times New Roman" w:cs="Times New Roman"/>
          <w:color w:val="000000"/>
          <w:sz w:val="24"/>
          <w:szCs w:val="24"/>
          <w:lang w:eastAsia="en-IN"/>
        </w:rPr>
        <w:t>Email: drmishrarml@yahoo.com</w:t>
      </w:r>
    </w:p>
    <w:p w14:paraId="5B943719" w14:textId="77777777"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6012AAB3" w14:textId="77777777"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8B3261">
        <w:rPr>
          <w:rFonts w:ascii="Times New Roman" w:eastAsia="Times New Roman" w:hAnsi="Times New Roman" w:cs="Times New Roman"/>
          <w:color w:val="000000"/>
          <w:sz w:val="24"/>
          <w:szCs w:val="24"/>
          <w:vertAlign w:val="superscript"/>
          <w:lang w:eastAsia="en-IN"/>
        </w:rPr>
        <w:t>2</w:t>
      </w:r>
      <w:r w:rsidRPr="008B3261">
        <w:rPr>
          <w:rFonts w:ascii="Times New Roman" w:eastAsia="Times New Roman" w:hAnsi="Times New Roman" w:cs="Times New Roman"/>
          <w:color w:val="000000"/>
          <w:sz w:val="24"/>
          <w:szCs w:val="24"/>
          <w:lang w:eastAsia="en-IN"/>
        </w:rPr>
        <w:t>Senior Research Scientist, Indo-US Projects, Center of Excellence in Mental Health, Dept. of Psychiatry, PGIMER-Dr.R.M.L.Hospital, New Delhi</w:t>
      </w:r>
      <w:r w:rsidR="00EE1463" w:rsidRPr="008B3261">
        <w:rPr>
          <w:rFonts w:ascii="Times New Roman" w:eastAsia="Times New Roman" w:hAnsi="Times New Roman" w:cs="Times New Roman"/>
          <w:color w:val="000000"/>
          <w:sz w:val="24"/>
          <w:szCs w:val="24"/>
          <w:lang w:eastAsia="en-IN"/>
        </w:rPr>
        <w:t>-110001, India</w:t>
      </w:r>
      <w:r w:rsidR="008B3261" w:rsidRPr="008B3261">
        <w:rPr>
          <w:rFonts w:ascii="Times New Roman" w:eastAsia="Times New Roman" w:hAnsi="Times New Roman" w:cs="Times New Roman"/>
          <w:color w:val="000000"/>
          <w:sz w:val="24"/>
          <w:szCs w:val="24"/>
          <w:lang w:eastAsia="en-IN"/>
        </w:rPr>
        <w:t>, Phone: 23404363; Email: bhatiatriptish@yahoo.co.in</w:t>
      </w:r>
    </w:p>
    <w:p w14:paraId="472B6F17" w14:textId="77777777"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6851ABEE" w14:textId="77777777" w:rsidR="00A17756" w:rsidRPr="008B3261" w:rsidRDefault="00A17756" w:rsidP="00D73C86">
      <w:pPr>
        <w:jc w:val="both"/>
        <w:rPr>
          <w:rFonts w:ascii="Times New Roman" w:eastAsia="Times New Roman" w:hAnsi="Times New Roman" w:cs="Times New Roman"/>
          <w:sz w:val="24"/>
          <w:szCs w:val="24"/>
          <w:lang w:eastAsia="en-IN"/>
        </w:rPr>
      </w:pPr>
      <w:r w:rsidRPr="008B3261">
        <w:rPr>
          <w:rFonts w:ascii="Times New Roman" w:eastAsia="Times New Roman" w:hAnsi="Times New Roman" w:cs="Times New Roman"/>
          <w:color w:val="000000"/>
          <w:sz w:val="24"/>
          <w:szCs w:val="24"/>
          <w:vertAlign w:val="superscript"/>
          <w:lang w:eastAsia="en-IN"/>
        </w:rPr>
        <w:t xml:space="preserve">3 </w:t>
      </w:r>
      <w:r w:rsidRPr="008B3261">
        <w:rPr>
          <w:rFonts w:ascii="Times New Roman" w:eastAsia="Times New Roman" w:hAnsi="Times New Roman" w:cs="Times New Roman"/>
          <w:sz w:val="24"/>
          <w:szCs w:val="24"/>
          <w:lang w:eastAsia="en-IN"/>
        </w:rPr>
        <w:t>Professor of Psychiatry and Human Genetics,Director, Program for Genetics and Psychosis,University of Pittsburgh,Pittsburgh PA 15213,</w:t>
      </w:r>
      <w:r w:rsidR="00EE1463" w:rsidRPr="008B3261">
        <w:rPr>
          <w:rFonts w:ascii="Times New Roman" w:eastAsia="Times New Roman" w:hAnsi="Times New Roman" w:cs="Times New Roman"/>
          <w:sz w:val="24"/>
          <w:szCs w:val="24"/>
          <w:lang w:eastAsia="en-IN"/>
        </w:rPr>
        <w:t xml:space="preserve">PA, USA. </w:t>
      </w:r>
      <w:r w:rsidRPr="008B3261">
        <w:rPr>
          <w:rFonts w:ascii="Times New Roman" w:eastAsia="Times New Roman" w:hAnsi="Times New Roman" w:cs="Times New Roman"/>
          <w:sz w:val="24"/>
          <w:szCs w:val="24"/>
          <w:lang w:eastAsia="en-IN"/>
        </w:rPr>
        <w:t xml:space="preserve">Ph 412-246-6353, Fax 412-246-6350, </w:t>
      </w:r>
      <w:r w:rsidR="004155A7">
        <w:rPr>
          <w:rFonts w:ascii="Times New Roman" w:eastAsia="Times New Roman" w:hAnsi="Times New Roman" w:cs="Times New Roman"/>
          <w:sz w:val="24"/>
          <w:szCs w:val="24"/>
          <w:lang w:eastAsia="en-IN"/>
        </w:rPr>
        <w:t>E</w:t>
      </w:r>
      <w:r w:rsidRPr="008B3261">
        <w:rPr>
          <w:rFonts w:ascii="Times New Roman" w:eastAsia="Times New Roman" w:hAnsi="Times New Roman" w:cs="Times New Roman"/>
          <w:sz w:val="24"/>
          <w:szCs w:val="24"/>
          <w:lang w:eastAsia="en-IN"/>
        </w:rPr>
        <w:t>mail</w:t>
      </w:r>
      <w:r w:rsidR="004155A7">
        <w:rPr>
          <w:rFonts w:ascii="Times New Roman" w:eastAsia="Times New Roman" w:hAnsi="Times New Roman" w:cs="Times New Roman"/>
          <w:sz w:val="24"/>
          <w:szCs w:val="24"/>
          <w:lang w:eastAsia="en-IN"/>
        </w:rPr>
        <w:t>:</w:t>
      </w:r>
      <w:r w:rsidRPr="008B3261">
        <w:rPr>
          <w:rFonts w:ascii="Times New Roman" w:eastAsia="Times New Roman" w:hAnsi="Times New Roman" w:cs="Times New Roman"/>
          <w:sz w:val="24"/>
          <w:szCs w:val="24"/>
          <w:lang w:eastAsia="en-IN"/>
        </w:rPr>
        <w:t> </w:t>
      </w:r>
      <w:hyperlink r:id="rId7" w:history="1">
        <w:r w:rsidRPr="008B3261">
          <w:rPr>
            <w:rFonts w:ascii="Times New Roman" w:eastAsia="Times New Roman" w:hAnsi="Times New Roman" w:cs="Times New Roman"/>
            <w:color w:val="196AD4"/>
            <w:sz w:val="24"/>
            <w:szCs w:val="24"/>
            <w:u w:val="single"/>
            <w:lang w:eastAsia="en-IN"/>
          </w:rPr>
          <w:t>nimga@pitt.edu</w:t>
        </w:r>
      </w:hyperlink>
    </w:p>
    <w:p w14:paraId="203DBCDA" w14:textId="77777777" w:rsidR="00A17756" w:rsidRPr="008B3261" w:rsidRDefault="00A17756" w:rsidP="00D73C86">
      <w:pPr>
        <w:shd w:val="clear" w:color="auto" w:fill="FFFFFF"/>
        <w:jc w:val="both"/>
        <w:rPr>
          <w:rFonts w:ascii="Times New Roman" w:eastAsia="Times New Roman" w:hAnsi="Times New Roman" w:cs="Times New Roman"/>
          <w:sz w:val="24"/>
          <w:szCs w:val="24"/>
          <w:lang w:eastAsia="en-IN"/>
        </w:rPr>
      </w:pPr>
      <w:r w:rsidRPr="008B3261">
        <w:rPr>
          <w:rFonts w:ascii="Times New Roman" w:eastAsia="Times New Roman" w:hAnsi="Times New Roman" w:cs="Times New Roman"/>
          <w:sz w:val="24"/>
          <w:szCs w:val="24"/>
          <w:vertAlign w:val="superscript"/>
          <w:lang w:eastAsia="en-IN"/>
        </w:rPr>
        <w:t>4</w:t>
      </w:r>
      <w:r w:rsidRPr="008B3261">
        <w:rPr>
          <w:rFonts w:ascii="Times New Roman" w:eastAsia="Times New Roman" w:hAnsi="Times New Roman" w:cs="Times New Roman"/>
          <w:sz w:val="24"/>
          <w:szCs w:val="24"/>
          <w:lang w:eastAsia="en-IN"/>
        </w:rPr>
        <w:t xml:space="preserve"> Professor and Head, Dept. of Psychiatry, Central India Unit of UNESCO Bioethics Chair Haifa, Centre of Excellence in Mental Health, PGIMER-Dr. Ram Manohar LohiaHospital,New Delhi 110001</w:t>
      </w:r>
      <w:r w:rsidR="00EE1463" w:rsidRPr="008B3261">
        <w:rPr>
          <w:rFonts w:ascii="Times New Roman" w:eastAsia="Times New Roman" w:hAnsi="Times New Roman" w:cs="Times New Roman"/>
          <w:sz w:val="24"/>
          <w:szCs w:val="24"/>
          <w:lang w:eastAsia="en-IN"/>
        </w:rPr>
        <w:t>, India.</w:t>
      </w:r>
      <w:r w:rsidR="008B3261" w:rsidRPr="008B3261">
        <w:rPr>
          <w:rFonts w:ascii="Times New Roman" w:eastAsia="Times New Roman" w:hAnsi="Times New Roman" w:cs="Times New Roman"/>
          <w:sz w:val="24"/>
          <w:szCs w:val="24"/>
          <w:lang w:eastAsia="en-IN"/>
        </w:rPr>
        <w:t xml:space="preserve">Phone:011-230404269, </w:t>
      </w:r>
      <w:r w:rsidRPr="008B3261">
        <w:rPr>
          <w:rFonts w:ascii="Times New Roman" w:eastAsia="Times New Roman" w:hAnsi="Times New Roman" w:cs="Times New Roman"/>
          <w:sz w:val="24"/>
          <w:szCs w:val="24"/>
          <w:lang w:eastAsia="en-IN"/>
        </w:rPr>
        <w:t>s</w:t>
      </w:r>
      <w:hyperlink r:id="rId8" w:tgtFrame="_blank" w:history="1">
        <w:r w:rsidRPr="008B3261">
          <w:rPr>
            <w:rFonts w:ascii="Times New Roman" w:eastAsia="Times New Roman" w:hAnsi="Times New Roman" w:cs="Times New Roman"/>
            <w:sz w:val="24"/>
            <w:szCs w:val="24"/>
            <w:lang w:eastAsia="en-IN"/>
          </w:rPr>
          <w:t>mitadeshp@gmail.com</w:t>
        </w:r>
      </w:hyperlink>
    </w:p>
    <w:p w14:paraId="7B82C68B" w14:textId="77777777" w:rsidR="008B3261" w:rsidRPr="008B3261" w:rsidRDefault="00A17756" w:rsidP="00D73C86">
      <w:pPr>
        <w:jc w:val="both"/>
        <w:rPr>
          <w:rFonts w:ascii="Times New Roman" w:eastAsia="Times New Roman" w:hAnsi="Times New Roman" w:cs="Times New Roman"/>
          <w:sz w:val="24"/>
          <w:szCs w:val="24"/>
          <w:lang w:eastAsia="en-IN"/>
        </w:rPr>
      </w:pPr>
      <w:r w:rsidRPr="008B3261">
        <w:rPr>
          <w:rFonts w:ascii="Times New Roman" w:hAnsi="Times New Roman" w:cs="Times New Roman"/>
          <w:sz w:val="24"/>
          <w:szCs w:val="24"/>
          <w:vertAlign w:val="superscript"/>
        </w:rPr>
        <w:t xml:space="preserve">5 </w:t>
      </w:r>
      <w:r w:rsidRPr="008B3261">
        <w:rPr>
          <w:rFonts w:ascii="Times New Roman" w:hAnsi="Times New Roman" w:cs="Times New Roman"/>
          <w:bCs/>
          <w:color w:val="26282A"/>
          <w:sz w:val="24"/>
          <w:szCs w:val="24"/>
        </w:rPr>
        <w:t>Director, </w:t>
      </w:r>
      <w:hyperlink r:id="rId9" w:tgtFrame="_blank" w:history="1">
        <w:r w:rsidRPr="008B3261">
          <w:rPr>
            <w:rStyle w:val="Hyperlink"/>
            <w:rFonts w:ascii="Times New Roman" w:hAnsi="Times New Roman" w:cs="Times New Roman"/>
            <w:color w:val="0033CC"/>
            <w:sz w:val="24"/>
            <w:szCs w:val="24"/>
          </w:rPr>
          <w:t>Center for Bioethics &amp; Health Law</w:t>
        </w:r>
      </w:hyperlink>
      <w:r w:rsidRPr="008B3261">
        <w:rPr>
          <w:rFonts w:ascii="Times New Roman" w:hAnsi="Times New Roman" w:cs="Times New Roman"/>
          <w:color w:val="0033CC"/>
          <w:sz w:val="24"/>
          <w:szCs w:val="24"/>
        </w:rPr>
        <w:t>,</w:t>
      </w:r>
      <w:r w:rsidRPr="008B3261">
        <w:rPr>
          <w:rFonts w:ascii="Times New Roman" w:hAnsi="Times New Roman" w:cs="Times New Roman"/>
          <w:bCs/>
          <w:color w:val="26282A"/>
          <w:sz w:val="24"/>
          <w:szCs w:val="24"/>
        </w:rPr>
        <w:t xml:space="preserve">University of Pittsburgh, </w:t>
      </w:r>
      <w:r w:rsidRPr="008B3261">
        <w:rPr>
          <w:rFonts w:ascii="Times New Roman" w:hAnsi="Times New Roman" w:cs="Times New Roman"/>
          <w:bCs/>
          <w:iCs/>
          <w:color w:val="26282A"/>
          <w:sz w:val="24"/>
          <w:szCs w:val="24"/>
        </w:rPr>
        <w:t>Pittsburgh, PA 15260</w:t>
      </w:r>
      <w:r w:rsidR="00EE1463" w:rsidRPr="008B3261">
        <w:rPr>
          <w:rFonts w:ascii="Times New Roman" w:hAnsi="Times New Roman" w:cs="Times New Roman"/>
          <w:bCs/>
          <w:iCs/>
          <w:color w:val="26282A"/>
          <w:sz w:val="24"/>
          <w:szCs w:val="24"/>
        </w:rPr>
        <w:t>, USA</w:t>
      </w:r>
      <w:r w:rsidR="008B3261" w:rsidRPr="008B3261">
        <w:rPr>
          <w:rFonts w:ascii="Times New Roman" w:hAnsi="Times New Roman" w:cs="Times New Roman"/>
          <w:bCs/>
          <w:iCs/>
          <w:color w:val="26282A"/>
          <w:sz w:val="24"/>
          <w:szCs w:val="24"/>
        </w:rPr>
        <w:t>, 412-648-700. Email:</w:t>
      </w:r>
      <w:r w:rsidR="008B3261" w:rsidRPr="008B3261">
        <w:rPr>
          <w:rFonts w:ascii="Times New Roman" w:eastAsia="Times New Roman" w:hAnsi="Times New Roman" w:cs="Times New Roman"/>
          <w:sz w:val="24"/>
          <w:szCs w:val="24"/>
          <w:lang w:eastAsia="en-IN"/>
        </w:rPr>
        <w:t>lisap@pitt.edu</w:t>
      </w:r>
    </w:p>
    <w:p w14:paraId="6307AA0C" w14:textId="77777777" w:rsidR="00A17756" w:rsidRDefault="00A17756" w:rsidP="00D73C86">
      <w:pPr>
        <w:pStyle w:val="yiv1396256721msonormal"/>
        <w:shd w:val="clear" w:color="auto" w:fill="FFFFFF"/>
        <w:jc w:val="both"/>
        <w:rPr>
          <w:color w:val="26282A"/>
        </w:rPr>
      </w:pPr>
    </w:p>
    <w:p w14:paraId="38136966" w14:textId="77777777" w:rsidR="004155A7" w:rsidRDefault="004155A7" w:rsidP="00D73C86">
      <w:pPr>
        <w:pStyle w:val="yiv1396256721msonormal"/>
        <w:shd w:val="clear" w:color="auto" w:fill="FFFFFF"/>
        <w:jc w:val="both"/>
        <w:rPr>
          <w:color w:val="26282A"/>
        </w:rPr>
      </w:pPr>
      <w:r w:rsidRPr="004155A7">
        <w:rPr>
          <w:b/>
          <w:color w:val="26282A"/>
        </w:rPr>
        <w:t>Conflict of Interest:</w:t>
      </w:r>
      <w:r>
        <w:rPr>
          <w:color w:val="26282A"/>
        </w:rPr>
        <w:t xml:space="preserve"> There is no conflict of interest of any of the authors to be declared.</w:t>
      </w:r>
    </w:p>
    <w:p w14:paraId="5BBF3C21" w14:textId="77777777" w:rsidR="004155A7" w:rsidRPr="00D73C86" w:rsidRDefault="004155A7" w:rsidP="00D73C86">
      <w:pPr>
        <w:autoSpaceDE w:val="0"/>
        <w:autoSpaceDN w:val="0"/>
        <w:adjustRightInd w:val="0"/>
        <w:spacing w:after="0" w:line="240" w:lineRule="auto"/>
        <w:jc w:val="both"/>
        <w:rPr>
          <w:color w:val="000000"/>
          <w:sz w:val="24"/>
          <w:szCs w:val="24"/>
        </w:rPr>
      </w:pPr>
      <w:r w:rsidRPr="00F42DD8">
        <w:rPr>
          <w:rFonts w:ascii="Times New Roman" w:eastAsia="Times New Roman" w:hAnsi="Times New Roman" w:cs="Times New Roman"/>
          <w:b/>
          <w:color w:val="000000"/>
          <w:sz w:val="24"/>
          <w:szCs w:val="24"/>
          <w:lang w:eastAsia="en-IN"/>
        </w:rPr>
        <w:t>Funding Source</w:t>
      </w:r>
      <w:r w:rsidRPr="00D73C86">
        <w:rPr>
          <w:rFonts w:ascii="Times New Roman" w:eastAsia="Times New Roman" w:hAnsi="Times New Roman" w:cs="Times New Roman"/>
          <w:color w:val="000000"/>
          <w:sz w:val="24"/>
          <w:szCs w:val="24"/>
          <w:lang w:eastAsia="en-IN"/>
        </w:rPr>
        <w:t>: The project was funded by Training Grant for Psychiatric Genetics in India: D43 TW006167</w:t>
      </w:r>
      <w:r w:rsidR="00D73C86" w:rsidRPr="00D73C86">
        <w:rPr>
          <w:rFonts w:ascii="Times New Roman" w:eastAsia="Times New Roman" w:hAnsi="Times New Roman" w:cs="Times New Roman"/>
          <w:color w:val="000000"/>
          <w:sz w:val="24"/>
          <w:szCs w:val="24"/>
          <w:lang w:eastAsia="en-IN"/>
        </w:rPr>
        <w:t xml:space="preserve"> to Dr. V.L.Nimgaonkar. </w:t>
      </w:r>
      <w:r w:rsidR="00D73C86">
        <w:rPr>
          <w:rFonts w:ascii="Times New Roman" w:eastAsia="Times New Roman" w:hAnsi="Times New Roman" w:cs="Times New Roman"/>
          <w:color w:val="000000"/>
          <w:sz w:val="24"/>
          <w:szCs w:val="24"/>
          <w:lang w:eastAsia="en-IN"/>
        </w:rPr>
        <w:t xml:space="preserve">The </w:t>
      </w:r>
      <w:r w:rsidR="00D73C86" w:rsidRPr="00D73C86">
        <w:rPr>
          <w:rFonts w:ascii="Times New Roman" w:eastAsia="Times New Roman" w:hAnsi="Times New Roman" w:cs="Times New Roman"/>
          <w:color w:val="000000"/>
          <w:sz w:val="24"/>
          <w:szCs w:val="24"/>
          <w:lang w:eastAsia="en-IN"/>
        </w:rPr>
        <w:t xml:space="preserve">content is solely the responsibility of the authors and does not necessarily represent the official views of NIH. Fogarty International Center, NIH had norole in the design and conduct of the study; collection, management, analysis and interpretationof the data; preparation, review or approval of the manuscript; and decision to submit the manuscript </w:t>
      </w:r>
      <w:r w:rsidR="00D73C86" w:rsidRPr="00D73C86">
        <w:rPr>
          <w:rFonts w:ascii="Times New Roman" w:hAnsi="Times New Roman" w:cs="Times New Roman"/>
          <w:color w:val="000000"/>
          <w:sz w:val="24"/>
          <w:szCs w:val="24"/>
        </w:rPr>
        <w:t>for publication.</w:t>
      </w:r>
    </w:p>
    <w:p w14:paraId="5272A22B" w14:textId="77777777" w:rsidR="004155A7" w:rsidRPr="00D73C86" w:rsidRDefault="004155A7" w:rsidP="00D73C86">
      <w:pPr>
        <w:pStyle w:val="yiv1396256721msonormal"/>
        <w:shd w:val="clear" w:color="auto" w:fill="FFFFFF"/>
        <w:jc w:val="both"/>
        <w:rPr>
          <w:color w:val="000000"/>
        </w:rPr>
      </w:pPr>
    </w:p>
    <w:p w14:paraId="12C41FD8" w14:textId="77777777" w:rsidR="004155A7" w:rsidRPr="00D73C86" w:rsidRDefault="004155A7" w:rsidP="00D73C86">
      <w:pPr>
        <w:pStyle w:val="yiv1396256721msonormal"/>
        <w:shd w:val="clear" w:color="auto" w:fill="FFFFFF"/>
        <w:jc w:val="both"/>
        <w:rPr>
          <w:color w:val="000000"/>
        </w:rPr>
      </w:pPr>
    </w:p>
    <w:p w14:paraId="09065B3E" w14:textId="77777777" w:rsidR="004155A7" w:rsidRDefault="004155A7" w:rsidP="00D73C86">
      <w:pPr>
        <w:pStyle w:val="yiv1396256721msonormal"/>
        <w:shd w:val="clear" w:color="auto" w:fill="FFFFFF"/>
        <w:jc w:val="both"/>
        <w:rPr>
          <w:color w:val="26282A"/>
        </w:rPr>
      </w:pPr>
    </w:p>
    <w:p w14:paraId="53E70EB9" w14:textId="77777777" w:rsidR="004155A7" w:rsidRDefault="004155A7" w:rsidP="00D73C86">
      <w:pPr>
        <w:pStyle w:val="yiv1396256721msonormal"/>
        <w:shd w:val="clear" w:color="auto" w:fill="FFFFFF"/>
        <w:jc w:val="both"/>
        <w:rPr>
          <w:color w:val="26282A"/>
        </w:rPr>
      </w:pPr>
    </w:p>
    <w:p w14:paraId="622CA7B2" w14:textId="77777777" w:rsidR="004155A7" w:rsidRDefault="004155A7" w:rsidP="00D73C86">
      <w:pPr>
        <w:pStyle w:val="yiv1396256721msonormal"/>
        <w:shd w:val="clear" w:color="auto" w:fill="FFFFFF"/>
        <w:jc w:val="both"/>
        <w:rPr>
          <w:color w:val="26282A"/>
        </w:rPr>
      </w:pPr>
    </w:p>
    <w:p w14:paraId="662A455B" w14:textId="77777777" w:rsidR="004155A7" w:rsidRDefault="004155A7" w:rsidP="00D73C86">
      <w:pPr>
        <w:pStyle w:val="yiv1396256721msonormal"/>
        <w:shd w:val="clear" w:color="auto" w:fill="FFFFFF"/>
        <w:jc w:val="both"/>
        <w:rPr>
          <w:color w:val="26282A"/>
        </w:rPr>
      </w:pPr>
    </w:p>
    <w:p w14:paraId="7EB3B143" w14:textId="77777777" w:rsidR="004155A7" w:rsidRDefault="004155A7" w:rsidP="00D73C86">
      <w:pPr>
        <w:pStyle w:val="yiv1396256721msonormal"/>
        <w:shd w:val="clear" w:color="auto" w:fill="FFFFFF"/>
        <w:jc w:val="both"/>
        <w:rPr>
          <w:color w:val="26282A"/>
        </w:rPr>
      </w:pPr>
    </w:p>
    <w:p w14:paraId="4EA4452F"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lastRenderedPageBreak/>
        <w:t>ABSTRACT</w:t>
      </w:r>
    </w:p>
    <w:p w14:paraId="0EFF0102"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 xml:space="preserve">Right to privacy of health-related information is a foundational bioethical principle. In India, the importance of protecting privacy is included in law and ethical guidelines. Institutional Ethics Committees (IEC) are entrusted the responsibility of protecting fundamental ethical principles including privacy and confidentiality. The present qualitative study was designed to understand ECs’ privacy-related obligations, and their experience implementing ethical guidelines and privacy protections in their institutions. An interview guide was prepared regarding knowledge of ethical guidelines. Interviews of nineteen EC members were recorded, transcribed and translated. Interviews were analyzed using thematic analysis. Themes related to following issues were extracted after analysis: awareness, understanding, and implementation of ethical guidelines; understanding of privacy-related obligations and their implementation; juridical risks to privacy of patients and research participants. </w:t>
      </w:r>
      <w:commentRangeStart w:id="0"/>
      <w:r w:rsidRPr="008B3261">
        <w:rPr>
          <w:rFonts w:ascii="Times New Roman" w:hAnsi="Times New Roman" w:cs="Times New Roman"/>
          <w:sz w:val="24"/>
          <w:szCs w:val="24"/>
        </w:rPr>
        <w:t>There was limited knowledge of ethical guidelines and members did not visualize any role in monitoring of the studies</w:t>
      </w:r>
      <w:commentRangeEnd w:id="0"/>
      <w:r w:rsidR="0014665E">
        <w:rPr>
          <w:rStyle w:val="CommentReference"/>
        </w:rPr>
        <w:commentReference w:id="0"/>
      </w:r>
      <w:r w:rsidRPr="008B3261">
        <w:rPr>
          <w:rFonts w:ascii="Times New Roman" w:hAnsi="Times New Roman" w:cs="Times New Roman"/>
          <w:sz w:val="24"/>
          <w:szCs w:val="24"/>
        </w:rPr>
        <w:t>. These results suggest that training programs and awareness workshops should be organized for ethics committee members for protection of rights of research participants.</w:t>
      </w:r>
    </w:p>
    <w:p w14:paraId="67D6508A" w14:textId="77777777" w:rsidR="008B3261" w:rsidRDefault="008B3261" w:rsidP="00D73C86">
      <w:pPr>
        <w:ind w:firstLine="720"/>
        <w:jc w:val="both"/>
        <w:rPr>
          <w:rFonts w:ascii="Times New Roman" w:hAnsi="Times New Roman" w:cs="Times New Roman"/>
          <w:sz w:val="24"/>
          <w:szCs w:val="24"/>
        </w:rPr>
      </w:pPr>
    </w:p>
    <w:p w14:paraId="23DC9B6C" w14:textId="77777777" w:rsidR="00F6717A" w:rsidRDefault="00F6717A" w:rsidP="00D73C86">
      <w:pPr>
        <w:ind w:firstLine="720"/>
        <w:jc w:val="both"/>
        <w:rPr>
          <w:rFonts w:ascii="Times New Roman" w:hAnsi="Times New Roman" w:cs="Times New Roman"/>
          <w:sz w:val="24"/>
          <w:szCs w:val="24"/>
        </w:rPr>
      </w:pPr>
    </w:p>
    <w:p w14:paraId="6143372E" w14:textId="77777777" w:rsidR="00F6717A" w:rsidRDefault="00F6717A" w:rsidP="00D73C86">
      <w:pPr>
        <w:ind w:firstLine="720"/>
        <w:jc w:val="both"/>
        <w:rPr>
          <w:rFonts w:ascii="Times New Roman" w:hAnsi="Times New Roman" w:cs="Times New Roman"/>
          <w:sz w:val="24"/>
          <w:szCs w:val="24"/>
        </w:rPr>
      </w:pPr>
    </w:p>
    <w:p w14:paraId="6AA8BB59" w14:textId="77777777" w:rsidR="00F6717A" w:rsidRDefault="00F6717A" w:rsidP="00D73C86">
      <w:pPr>
        <w:ind w:firstLine="720"/>
        <w:jc w:val="both"/>
        <w:rPr>
          <w:rFonts w:ascii="Times New Roman" w:hAnsi="Times New Roman" w:cs="Times New Roman"/>
          <w:sz w:val="24"/>
          <w:szCs w:val="24"/>
        </w:rPr>
      </w:pPr>
    </w:p>
    <w:p w14:paraId="662824CA" w14:textId="77777777" w:rsidR="00F6717A" w:rsidRDefault="00F6717A" w:rsidP="00D73C86">
      <w:pPr>
        <w:ind w:firstLine="720"/>
        <w:jc w:val="both"/>
        <w:rPr>
          <w:rFonts w:ascii="Times New Roman" w:hAnsi="Times New Roman" w:cs="Times New Roman"/>
          <w:sz w:val="24"/>
          <w:szCs w:val="24"/>
        </w:rPr>
      </w:pPr>
    </w:p>
    <w:p w14:paraId="2D1842F5" w14:textId="77777777" w:rsidR="00F6717A" w:rsidRDefault="00F6717A" w:rsidP="00D73C86">
      <w:pPr>
        <w:ind w:firstLine="720"/>
        <w:jc w:val="both"/>
        <w:rPr>
          <w:rFonts w:ascii="Times New Roman" w:hAnsi="Times New Roman" w:cs="Times New Roman"/>
          <w:sz w:val="24"/>
          <w:szCs w:val="24"/>
        </w:rPr>
      </w:pPr>
    </w:p>
    <w:p w14:paraId="16CD8839" w14:textId="77777777" w:rsidR="00F6717A" w:rsidRDefault="00F6717A" w:rsidP="00D73C86">
      <w:pPr>
        <w:ind w:firstLine="720"/>
        <w:jc w:val="both"/>
        <w:rPr>
          <w:rFonts w:ascii="Times New Roman" w:hAnsi="Times New Roman" w:cs="Times New Roman"/>
          <w:sz w:val="24"/>
          <w:szCs w:val="24"/>
        </w:rPr>
      </w:pPr>
    </w:p>
    <w:p w14:paraId="65EFB6AA" w14:textId="77777777" w:rsidR="00F6717A" w:rsidRDefault="00F6717A" w:rsidP="00D73C86">
      <w:pPr>
        <w:ind w:firstLine="720"/>
        <w:jc w:val="both"/>
        <w:rPr>
          <w:rFonts w:ascii="Times New Roman" w:hAnsi="Times New Roman" w:cs="Times New Roman"/>
          <w:sz w:val="24"/>
          <w:szCs w:val="24"/>
        </w:rPr>
      </w:pPr>
    </w:p>
    <w:p w14:paraId="383F8E4C" w14:textId="77777777" w:rsidR="00F6717A" w:rsidRDefault="00F6717A" w:rsidP="00D73C86">
      <w:pPr>
        <w:ind w:firstLine="720"/>
        <w:jc w:val="both"/>
        <w:rPr>
          <w:rFonts w:ascii="Times New Roman" w:hAnsi="Times New Roman" w:cs="Times New Roman"/>
          <w:sz w:val="24"/>
          <w:szCs w:val="24"/>
        </w:rPr>
      </w:pPr>
    </w:p>
    <w:p w14:paraId="7942BAB8" w14:textId="77777777" w:rsidR="00F6717A" w:rsidRDefault="00F6717A" w:rsidP="00D73C86">
      <w:pPr>
        <w:ind w:firstLine="720"/>
        <w:jc w:val="both"/>
        <w:rPr>
          <w:rFonts w:ascii="Times New Roman" w:hAnsi="Times New Roman" w:cs="Times New Roman"/>
          <w:sz w:val="24"/>
          <w:szCs w:val="24"/>
        </w:rPr>
      </w:pPr>
    </w:p>
    <w:p w14:paraId="10021F21" w14:textId="77777777" w:rsidR="00F6717A" w:rsidRDefault="00F6717A" w:rsidP="00D73C86">
      <w:pPr>
        <w:ind w:firstLine="720"/>
        <w:jc w:val="both"/>
        <w:rPr>
          <w:rFonts w:ascii="Times New Roman" w:hAnsi="Times New Roman" w:cs="Times New Roman"/>
          <w:sz w:val="24"/>
          <w:szCs w:val="24"/>
        </w:rPr>
      </w:pPr>
    </w:p>
    <w:p w14:paraId="3C70F940" w14:textId="77777777" w:rsidR="00F6717A" w:rsidRDefault="00F6717A" w:rsidP="00D73C86">
      <w:pPr>
        <w:ind w:firstLine="720"/>
        <w:jc w:val="both"/>
        <w:rPr>
          <w:rFonts w:ascii="Times New Roman" w:hAnsi="Times New Roman" w:cs="Times New Roman"/>
          <w:sz w:val="24"/>
          <w:szCs w:val="24"/>
        </w:rPr>
      </w:pPr>
    </w:p>
    <w:p w14:paraId="5516D1EF" w14:textId="77777777" w:rsidR="00F6717A" w:rsidRDefault="00F6717A" w:rsidP="00D73C86">
      <w:pPr>
        <w:ind w:firstLine="720"/>
        <w:jc w:val="both"/>
        <w:rPr>
          <w:rFonts w:ascii="Times New Roman" w:hAnsi="Times New Roman" w:cs="Times New Roman"/>
          <w:sz w:val="24"/>
          <w:szCs w:val="24"/>
        </w:rPr>
      </w:pPr>
    </w:p>
    <w:p w14:paraId="678094D0" w14:textId="77777777" w:rsidR="00F6717A" w:rsidRDefault="00F6717A" w:rsidP="00D73C86">
      <w:pPr>
        <w:ind w:firstLine="720"/>
        <w:jc w:val="both"/>
        <w:rPr>
          <w:rFonts w:ascii="Times New Roman" w:hAnsi="Times New Roman" w:cs="Times New Roman"/>
          <w:sz w:val="24"/>
          <w:szCs w:val="24"/>
        </w:rPr>
      </w:pPr>
    </w:p>
    <w:p w14:paraId="4AD9EB58" w14:textId="77777777" w:rsidR="00F6717A" w:rsidRDefault="00F6717A" w:rsidP="00D73C86">
      <w:pPr>
        <w:ind w:firstLine="720"/>
        <w:jc w:val="both"/>
        <w:rPr>
          <w:rFonts w:ascii="Times New Roman" w:hAnsi="Times New Roman" w:cs="Times New Roman"/>
          <w:sz w:val="24"/>
          <w:szCs w:val="24"/>
        </w:rPr>
      </w:pPr>
    </w:p>
    <w:p w14:paraId="25266B82" w14:textId="77777777" w:rsidR="00F6717A" w:rsidRDefault="00F6717A" w:rsidP="00D73C86">
      <w:pPr>
        <w:ind w:firstLine="720"/>
        <w:jc w:val="both"/>
        <w:rPr>
          <w:rFonts w:ascii="Times New Roman" w:hAnsi="Times New Roman" w:cs="Times New Roman"/>
          <w:sz w:val="24"/>
          <w:szCs w:val="24"/>
        </w:rPr>
      </w:pPr>
    </w:p>
    <w:p w14:paraId="4DF71A37" w14:textId="77777777" w:rsidR="00F6717A" w:rsidRDefault="00F6717A" w:rsidP="00D73C86">
      <w:pPr>
        <w:ind w:firstLine="720"/>
        <w:jc w:val="both"/>
        <w:rPr>
          <w:rFonts w:ascii="Times New Roman" w:hAnsi="Times New Roman" w:cs="Times New Roman"/>
          <w:sz w:val="24"/>
          <w:szCs w:val="24"/>
        </w:rPr>
      </w:pPr>
    </w:p>
    <w:p w14:paraId="1BB58E78" w14:textId="77777777" w:rsidR="00F6717A" w:rsidRDefault="00F6717A" w:rsidP="00D73C86">
      <w:pPr>
        <w:ind w:firstLine="720"/>
        <w:jc w:val="both"/>
        <w:rPr>
          <w:rFonts w:ascii="Times New Roman" w:hAnsi="Times New Roman" w:cs="Times New Roman"/>
          <w:sz w:val="24"/>
          <w:szCs w:val="24"/>
        </w:rPr>
      </w:pPr>
    </w:p>
    <w:p w14:paraId="1F2746F2" w14:textId="77777777" w:rsidR="00F6717A" w:rsidRPr="008B3261" w:rsidRDefault="00F6717A" w:rsidP="00D73C86">
      <w:pPr>
        <w:ind w:firstLine="720"/>
        <w:jc w:val="both"/>
        <w:rPr>
          <w:rFonts w:ascii="Times New Roman" w:hAnsi="Times New Roman" w:cs="Times New Roman"/>
          <w:sz w:val="24"/>
          <w:szCs w:val="24"/>
        </w:rPr>
      </w:pPr>
    </w:p>
    <w:p w14:paraId="40D971FA" w14:textId="77777777" w:rsidR="008B3261" w:rsidRPr="008B3261" w:rsidRDefault="008B3261" w:rsidP="00D73C86">
      <w:pPr>
        <w:ind w:firstLine="720"/>
        <w:jc w:val="both"/>
        <w:rPr>
          <w:rFonts w:ascii="Times New Roman" w:hAnsi="Times New Roman" w:cs="Times New Roman"/>
          <w:sz w:val="24"/>
          <w:szCs w:val="24"/>
        </w:rPr>
      </w:pPr>
    </w:p>
    <w:p w14:paraId="70F66945"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INTRODUCTION</w:t>
      </w:r>
    </w:p>
    <w:p w14:paraId="38317A06" w14:textId="77777777" w:rsidR="008B3261" w:rsidRPr="008B3261" w:rsidRDefault="008B3261" w:rsidP="00D73C86">
      <w:pPr>
        <w:jc w:val="both"/>
        <w:rPr>
          <w:rFonts w:ascii="Times New Roman" w:hAnsi="Times New Roman" w:cs="Times New Roman"/>
          <w:b/>
          <w:sz w:val="24"/>
          <w:szCs w:val="24"/>
        </w:rPr>
      </w:pPr>
    </w:p>
    <w:p w14:paraId="5D22F8B1" w14:textId="77777777"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Recognition of the right of privacy regarding health-related information is a corollary to the foundational bioethical principle that people have the right to give informed consent/refusal to control access to their bodies. The right to privacy refers to the right to limit “access of others to one’s body or mind … through physical contact or disclosure of thought or feelings”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&lt;EndNote&gt;&lt;Cite&gt;&lt;Author&gt;Winslade&lt;/Author&gt;&lt;Year&gt;2004&lt;/Year&gt;&lt;IDText&gt;Confidentiality.  Encyclopedia of Bioethics, 3rd ed.&lt;/IDText&gt;&lt;DisplayText&gt;(1)&lt;/DisplayText&gt;&lt;record&gt;&lt;titles&gt;&lt;title&gt;&lt;style font="default" size="100%"&gt;Confidentiality.  E&lt;/style&gt;&lt;style face="italic" font="default" size="100%"&gt;ncyclopedia of Bioethics, 3rd ed.&lt;/style&gt;&lt;/title&gt;&lt;/titles&gt;&lt;contributors&gt;&lt;authors&gt;&lt;author&gt;&lt;style font="default" size="100%"&gt;Winslade, W. (2004)    3 &lt;/style&gt;&lt;style face="superscript" font="default" size="100%"&gt;rd&lt;/style&gt;&lt;/author&gt;&lt;author&gt;&lt;style font="default" size="100%"&gt;ed., Vol. 1, Ed.&lt;/style&gt;&lt;/author&gt;&lt;/authors&gt;&lt;/contributors&gt;&lt;section&gt;494-502.&lt;/section&gt;&lt;added-date format="utc"&gt;1513840468&lt;/added-date&gt;&lt;pub-location&gt;New York&lt;/pub-location&gt;&lt;ref-type name="Book"&gt;6&lt;/ref-type&gt;&lt;dates&gt;&lt;year&gt;2004&lt;/year&gt;&lt;/dates&gt;&lt;rec-number&gt;59000&lt;/rec-number&gt;&lt;publisher&gt;Macmillan Reference USA&lt;/publisher&gt;&lt;last-updated-date format="utc"&gt;1513840611&lt;/last-updated-date&gt;&lt;contributors&gt;&lt;secondary-authors&gt;&lt;author&gt;S.G.Post&lt;/author&gt;&lt;/secondary-authors&gt;&lt;/contributors&gt;&lt;/record&gt;&lt;/Cite&gt;&lt;/EndNote&gt;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The related right of confidentiality, and the concomitant obligation to maintain it, arises in a fiduciary relationship, often a professional relationship, like that between patients and clinicians, or research participants and investigators. It requires that the professional maintain the privacy of information revealed by or about the patient or research participant. Patients’ and research subjects’ trust that their privacy will be protected and that information disclosed will be held in confidence facilitates their truthful and frank disclosures to those who seek to help them or who rely on such information in research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&lt;EndNote&gt;&lt;Cite&gt;&lt;Author&gt;Edwards&lt;/Author&gt;&lt;Year&gt;1988&lt;/Year&gt;&lt;IDText&gt;Confidentiality and the Professions&lt;/IDText&gt;&lt;DisplayText&gt;(2)&lt;/DisplayText&gt;&lt;record&gt;&lt;titles&gt;&lt;title&gt;Confidentiality and the Professions&lt;/title&gt;&lt;/titles&gt;&lt;titles&gt;&lt;secondary-title&gt;&lt;style face="italic" font="default" size="100%"&gt;Bioethics&lt;/style&gt;&lt;/secondary-title&gt;&lt;/titles&gt;&lt;pages&gt;72-81&lt;/pages&gt;&lt;contributors&gt;&lt;authors&gt;&lt;author&gt;Edwards, R.B.&lt;/author&gt;&lt;/authors&gt;&lt;/contributors&gt;&lt;added-date format="utc"&gt;1513765720&lt;/added-date&gt;&lt;pub-location&gt;San Diego&lt;/pub-location&gt;&lt;ref-type name="Book Section"&gt;5&lt;/ref-type&gt;&lt;dates&gt;&lt;year&gt;1988&lt;/year&gt;&lt;/dates&gt;&lt;rec-number&gt;58969&lt;/rec-number&gt;&lt;publisher&gt;Harcourt Brace Jovanovich&lt;/publisher&gt;&lt;last-updated-date format="utc"&gt;1513834729&lt;/last-updated-date&gt;&lt;contributors&gt;&lt;secondary-authors&gt;&lt;author&gt;Edwards, R.B.&lt;/author&gt;&lt;author&gt;GC Graber, G.C.   , 72-81.&lt;/author&gt;&lt;/secondary-authors&gt;&lt;/contributors&gt;&lt;/record&gt;&lt;/Cite&gt;&lt;/EndNote&gt;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(2)</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Privacy is also valued for its own sake as a prerequisite for individuals’ autonomy and constitutive element of their flourishing as unique individuals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&lt;EndNote&gt;&lt;Cite&gt;&lt;Author&gt;Parker&lt;/Author&gt;&lt;Year&gt;2002&lt;/Year&gt;&lt;IDText&gt;Information(al)&lt;/IDText&gt;&lt;DisplayText&gt;(3)&lt;/DisplayText&gt;&lt;record&gt;&lt;titles&gt;&lt;title&gt;Information(al)&amp;#xA;matters: Bioethics’ agenda and the boundaries of the public and the private&lt;/title&gt;&lt;/titles&gt;&lt;titles&gt;&lt;secondary-title&gt;&lt;style face="italic" font="default" size="100%"&gt;Social Philosophy and Public Policy  &lt;/style&gt;&lt;style font="default" size="100%"&gt; 2002&lt;/style&gt;&lt;/secondary-title&gt;&lt;/titles&gt;&lt;pages&gt;83-112&lt;/pages&gt;&lt;number&gt;2&lt;/number&gt;&lt;contributors&gt;&lt;authors&gt;&lt;author&gt;Parker, L.S.&lt;/author&gt;&lt;/authors&gt;&lt;/contributors&gt;&lt;added-date format="utc"&gt;1513837266&lt;/added-date&gt;&lt;ref-type name="Journal Article"&gt;17&lt;/ref-type&gt;&lt;dates&gt;&lt;year&gt;2002&lt;/year&gt;&lt;/dates&gt;&lt;rec-number&gt;58995&lt;/rec-number&gt;&lt;last-updated-date format="utc"&gt;1513837372&lt;/last-updated-date&gt;&lt;volume&gt;19&lt;/volume&gt;&lt;/record&gt;&lt;/Cite&gt;&lt;/EndNote&gt;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(3)</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The right to privacy enables people to keep “disruptive material out of the public arena” and protects “private life from the crippling effects of the external gaze”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&lt;EndNote&gt;&lt;Cite&gt;&lt;Author&gt;Nagel&lt;/Author&gt;&lt;Year&gt;1998&lt;/Year&gt;&lt;IDText&gt;Concealment&lt;/IDText&gt;&lt;DisplayText&gt;(4)&lt;/DisplayText&gt;&lt;record&gt;&lt;titles&gt;&lt;title&gt;Concealment&amp;#xA;and Exposure&lt;/title&gt;&lt;/titles&gt;&lt;titles&gt;&lt;secondary-title&gt;&lt;style face="underline" font="default" size="100%"&gt;Philosophy &amp;amp;&amp;#xA;Public Affairs&lt;/style&gt;&lt;/secondary-title&gt;&lt;/titles&gt;&lt;pages&gt;3-30&lt;/pages&gt;&lt;number&gt;1&lt;/number&gt;&lt;contributors&gt;&lt;authors&gt;&lt;author&gt;Nagel,&lt;/author&gt;&lt;author&gt;T.&lt;/author&gt;&lt;/authors&gt;&lt;/contributors&gt;&lt;added-date format="utc"&gt;1513837074&lt;/added-date&gt;&lt;ref-type name="Journal Article"&gt;17&lt;/ref-type&gt;&lt;dates&gt;&lt;year&gt;1998&lt;/year&gt;&lt;/dates&gt;&lt;rec-number&gt;58994&lt;/rec-number&gt;&lt;last-updated-date format="utc"&gt;1513837190&lt;/last-updated-date&gt;&lt;volume&gt;27&lt;/volume&gt;&lt;/record&gt;&lt;/Cite&gt;&lt;/EndNote&gt;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(4)</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particularly where those “crippling effects” include discrimination, stigmatization, and censure.</w:t>
      </w:r>
    </w:p>
    <w:p w14:paraId="21AB8734" w14:textId="77777777" w:rsidR="008B3261" w:rsidRPr="008B3261" w:rsidRDefault="008B3261" w:rsidP="00D73C86">
      <w:pPr>
        <w:jc w:val="both"/>
        <w:rPr>
          <w:rFonts w:ascii="Times New Roman" w:hAnsi="Times New Roman" w:cs="Times New Roman"/>
          <w:sz w:val="24"/>
          <w:szCs w:val="24"/>
        </w:rPr>
      </w:pPr>
    </w:p>
    <w:p w14:paraId="4C6E94C1" w14:textId="77777777" w:rsidR="008B3261" w:rsidRPr="008B3261" w:rsidRDefault="008B3261" w:rsidP="00D73C86">
      <w:pPr>
        <w:ind w:firstLine="720"/>
        <w:jc w:val="both"/>
        <w:rPr>
          <w:rFonts w:ascii="Times New Roman" w:hAnsi="Times New Roman" w:cs="Times New Roman"/>
          <w:iCs/>
          <w:sz w:val="24"/>
          <w:szCs w:val="24"/>
        </w:rPr>
      </w:pPr>
      <w:r w:rsidRPr="008B3261">
        <w:rPr>
          <w:rFonts w:ascii="Times New Roman" w:hAnsi="Times New Roman" w:cs="Times New Roman"/>
          <w:sz w:val="24"/>
          <w:szCs w:val="24"/>
        </w:rPr>
        <w:t xml:space="preserve">In India, the importance of protecting privacy is enshrined in law and ethical guidelines. Interpretation of Article 21 of the </w:t>
      </w:r>
      <w:r w:rsidRPr="008B3261">
        <w:rPr>
          <w:rFonts w:ascii="Times New Roman" w:hAnsi="Times New Roman" w:cs="Times New Roman"/>
          <w:i/>
          <w:sz w:val="24"/>
          <w:szCs w:val="24"/>
        </w:rPr>
        <w:t>Constitution of India – Right to Life and Personal Liberty</w:t>
      </w:r>
      <w:r w:rsidRPr="008B3261">
        <w:rPr>
          <w:rFonts w:ascii="Times New Roman" w:hAnsi="Times New Roman" w:cs="Times New Roman"/>
          <w:sz w:val="24"/>
          <w:szCs w:val="24"/>
        </w:rPr>
        <w:t xml:space="preserve"> has established a penumbral right of the privacy or the right to be free from encroachment on private life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&lt;EndNote&gt;&lt;Cite&gt;&lt;Author&gt;Supreme Court&amp;apos;s judgement on Right to Privacy 2017&lt;/Author&gt;&lt;Year&gt;2017&lt;/Year&gt;&lt;IDText&gt;Supreme Court&amp;apos;s judgement on Right to Privacy&lt;/IDText&gt;&lt;DisplayText&gt;(5)&lt;/DisplayText&gt;&lt;record&gt;&lt;titles&gt;&lt;title&gt;Supreme Court&amp;apos;s judgement on Right to Privacy&lt;/title&gt;&lt;secondary-title&gt;Hindustan Times&lt;/secondary-title&gt;&lt;/titles&gt;&lt;contributors&gt;&lt;authors&gt;&lt;author&gt;Supreme Court&amp;apos;s judgement on Right to Privacy 2017,&lt;/author&gt;&lt;/authors&gt;&lt;/contributors&gt;&lt;added-date format="utc"&gt;1513841636&lt;/added-date&gt;&lt;pub-location&gt;New Delhi&lt;/pub-location&gt;&lt;ref-type name="Case"&gt;7&lt;/ref-type&gt;&lt;dates&gt;&lt;year&gt;2017&lt;/year&gt;&lt;/dates&gt;&lt;rec-number&gt;59001&lt;/rec-number&gt;&lt;publisher&gt;K.K.Birla Group&amp;#xA; &lt;/publisher&gt;&lt;last-updated-date format="utc"&gt;1513842667&lt;/last-updated-date&gt;&lt;num-vols&gt;Daily&lt;/num-vols&gt;&lt;/record&gt;&lt;/Cite&gt;&lt;/EndNote&gt;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(5)</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The Medical Council of India Code of Ethics Regulations  states that confidences entrusted to physicians by their patients should not be revealed unless compelled by law (Article 2.2)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&lt;EndNote&gt;&lt;Cite&gt;&lt;Author&gt;Medical Council of India&lt;/Author&gt;&lt;Year&gt;2016&lt;/Year&gt;&lt;IDText&gt;Professional   Conduct  , Etiquette and   Ethics,      Regulations  ,   2002  . (  AMENDED   UPTO 8th OCTOBER  2016  )&lt;/IDText&gt;&lt;DisplayText&gt;(6)&lt;/DisplayText&gt;&lt;record&gt;&lt;titles&gt;&lt;title&gt;Professional   Conduct  , Etiquette and   Ethics,      Regulations  ,   2002  . (  AMENDED   UPTO 8th OCTOBER  2016  )&lt;/title&gt;&lt;/titles&gt;&lt;contributors&gt;&lt;authors&gt;&lt;author&gt;Medical Council of India,&lt;/author&gt;&lt;/authors&gt;&lt;/contributors&gt;&lt;added-date format="utc"&gt;1513764628&lt;/added-date&gt;&lt;ref-type name="Legal Rule or Regulation"&gt;50&lt;/ref-type&gt;&lt;dates&gt;&lt;year&gt;2016&lt;/year&gt;&lt;/dates&gt;&lt;rec-number&gt;58965&lt;/rec-number&gt;&lt;last-updated-date format="utc"&gt;1513764748&lt;/last-updated-date&gt;&lt;contributors&gt;&lt;secondary-authors&gt;&lt;author&gt;Medical Council of India&lt;/author&gt;&lt;/secondary-authors&gt;&lt;/contributors&gt;&lt;/record&gt;&lt;/Cite&gt;&lt;/EndNote&gt;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(6)</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though the Code’s next Article also suggests in apparent contradiction, that physicians need to share the patient’s prognosis with family members when doing so will serve the best interests of the patient </w:t>
      </w:r>
      <w:r w:rsidRPr="008B3261">
        <w:rPr>
          <w:rFonts w:ascii="Times New Roman" w:hAnsi="Times New Roman" w:cs="Times New Roman"/>
          <w:i/>
          <w:sz w:val="24"/>
          <w:szCs w:val="24"/>
        </w:rPr>
        <w:t>and the family</w:t>
      </w:r>
      <w:r w:rsidRPr="008B3261">
        <w:rPr>
          <w:rFonts w:ascii="Times New Roman" w:hAnsi="Times New Roman" w:cs="Times New Roman"/>
          <w:sz w:val="24"/>
          <w:szCs w:val="24"/>
        </w:rPr>
        <w:t xml:space="preserve"> (emphasis added; https://cis-india.org/internet-governance/health-privacy.pdf).  The fourth principle of the Indian Council for Medical Research (ICMR) </w:t>
      </w:r>
      <w:r w:rsidRPr="008B3261">
        <w:rPr>
          <w:rFonts w:ascii="Times New Roman" w:hAnsi="Times New Roman" w:cs="Times New Roman"/>
          <w:i/>
          <w:iCs/>
          <w:sz w:val="24"/>
          <w:szCs w:val="24"/>
        </w:rPr>
        <w:t xml:space="preserve">Ethical Guidelines for Biomedical Research on Human Participants year </w:t>
      </w:r>
      <w:r w:rsidRPr="008B3261">
        <w:rPr>
          <w:rFonts w:ascii="Times New Roman" w:hAnsi="Times New Roman" w:cs="Times New Roman"/>
          <w:iCs/>
          <w:sz w:val="24"/>
          <w:szCs w:val="24"/>
        </w:rPr>
        <w:t xml:space="preserve">articulates privacy protections that are to be implemented by Institutional Ethics Committees (IECs) to protect the interests of research </w:t>
      </w:r>
      <w:commentRangeStart w:id="1"/>
      <w:r w:rsidRPr="008B3261">
        <w:rPr>
          <w:rFonts w:ascii="Times New Roman" w:hAnsi="Times New Roman" w:cs="Times New Roman"/>
          <w:iCs/>
          <w:sz w:val="24"/>
          <w:szCs w:val="24"/>
        </w:rPr>
        <w:t>participants</w:t>
      </w:r>
      <w:commentRangeEnd w:id="1"/>
      <w:r w:rsidR="0014665E">
        <w:rPr>
          <w:rStyle w:val="CommentReference"/>
        </w:rPr>
        <w:commentReference w:id="1"/>
      </w:r>
      <w:r w:rsidRPr="008B3261">
        <w:rPr>
          <w:rFonts w:ascii="Times New Roman" w:hAnsi="Times New Roman" w:cs="Times New Roman"/>
          <w:iCs/>
          <w:sz w:val="24"/>
          <w:szCs w:val="24"/>
        </w:rPr>
        <w:t>.</w:t>
      </w:r>
    </w:p>
    <w:p w14:paraId="494D992A" w14:textId="77777777" w:rsidR="008B3261" w:rsidRPr="008B3261" w:rsidRDefault="008B3261" w:rsidP="00D73C86">
      <w:pPr>
        <w:ind w:firstLine="720"/>
        <w:jc w:val="both"/>
        <w:rPr>
          <w:rFonts w:ascii="Times New Roman" w:hAnsi="Times New Roman" w:cs="Times New Roman"/>
          <w:iCs/>
          <w:sz w:val="24"/>
          <w:szCs w:val="24"/>
        </w:rPr>
      </w:pPr>
    </w:p>
    <w:p w14:paraId="40F9AD0F" w14:textId="77777777" w:rsidR="008B3261" w:rsidRPr="008B3261" w:rsidRDefault="008B3261" w:rsidP="00D73C86">
      <w:pPr>
        <w:ind w:firstLine="720"/>
        <w:jc w:val="both"/>
        <w:rPr>
          <w:rFonts w:ascii="Times New Roman" w:hAnsi="Times New Roman" w:cs="Times New Roman"/>
          <w:sz w:val="24"/>
          <w:szCs w:val="24"/>
        </w:rPr>
      </w:pPr>
      <w:commentRangeStart w:id="2"/>
      <w:r w:rsidRPr="008B3261">
        <w:rPr>
          <w:rFonts w:ascii="Times New Roman" w:hAnsi="Times New Roman" w:cs="Times New Roman"/>
          <w:sz w:val="24"/>
          <w:szCs w:val="24"/>
        </w:rPr>
        <w:t>In</w:t>
      </w:r>
      <w:commentRangeEnd w:id="2"/>
      <w:r w:rsidR="0014665E">
        <w:rPr>
          <w:rStyle w:val="CommentReference"/>
        </w:rPr>
        <w:commentReference w:id="2"/>
      </w:r>
      <w:r w:rsidRPr="008B3261">
        <w:rPr>
          <w:rFonts w:ascii="Times New Roman" w:hAnsi="Times New Roman" w:cs="Times New Roman"/>
          <w:sz w:val="24"/>
          <w:szCs w:val="24"/>
        </w:rPr>
        <w:t xml:space="preserve"> this paper, we report the first empirical study in the Indian context examining IEC members’ awareness of ICMR’s </w:t>
      </w:r>
      <w:r w:rsidRPr="008B3261">
        <w:rPr>
          <w:rFonts w:ascii="Times New Roman" w:hAnsi="Times New Roman" w:cs="Times New Roman"/>
          <w:i/>
          <w:sz w:val="24"/>
          <w:szCs w:val="24"/>
        </w:rPr>
        <w:t>Ethical Guidelines</w:t>
      </w:r>
      <w:r w:rsidRPr="008B3261">
        <w:rPr>
          <w:rFonts w:ascii="Times New Roman" w:hAnsi="Times New Roman" w:cs="Times New Roman"/>
          <w:sz w:val="24"/>
          <w:szCs w:val="24"/>
        </w:rPr>
        <w:t xml:space="preserve">, how they understand their privacy-related obligations, and their experience implementing ethics guidelines and privacy protections in their institutions. Then, we report IEC members’ views regarding the </w:t>
      </w:r>
      <w:r w:rsidRPr="008B3261">
        <w:rPr>
          <w:rFonts w:ascii="Times New Roman" w:hAnsi="Times New Roman" w:cs="Times New Roman"/>
          <w:i/>
          <w:iCs/>
          <w:sz w:val="24"/>
          <w:szCs w:val="24"/>
        </w:rPr>
        <w:t>Right to Information Act 2005</w:t>
      </w:r>
      <w:r w:rsidRPr="008B3261">
        <w:rPr>
          <w:rFonts w:ascii="Times New Roman" w:hAnsi="Times New Roman" w:cs="Times New Roman"/>
          <w:iCs/>
          <w:sz w:val="24"/>
          <w:szCs w:val="24"/>
        </w:rPr>
        <w:t xml:space="preserve"> and the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 xml:space="preserve">(1995), which have been shown to present risks to patients’ and research participants’ privacy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&lt;EndNote&gt;&lt;Cite&gt;&lt;Author&gt;Mishra&lt;/Author&gt;&lt;Year&gt;2008&lt;/Year&gt;&lt;IDText&gt;Privacy and the Right to Information Act, 2005&lt;/IDText&gt;&lt;DisplayText&gt;(7)&lt;/DisplayText&gt;&lt;record&gt;&lt;dates&gt;&lt;pub-dates&gt;&lt;date&gt;2008 Oct-Dec&lt;/date&gt;&lt;/pub-dates&gt;&lt;year&gt;2008&lt;/year&gt;&lt;/dates&gt;&lt;keywords&gt;&lt;keyword&gt;Access to Information&lt;/keyword&gt;&lt;keyword&gt;Confidentiality&lt;/keyword&gt;&lt;keyword&gt;Humans&lt;/keyword&gt;&lt;keyword&gt;India&lt;/keyword&gt;&lt;keyword&gt;Privacy&lt;/keyword&gt;&lt;/keywords&gt;&lt;urls&gt;&lt;related-urls&gt;&lt;url&gt;https://www.ncbi.nlm.nih.gov/pubmed/18988373&lt;/url&gt;&lt;/related-urls&gt;&lt;/urls&gt;&lt;isbn&gt;0974-8466&lt;/isbn&gt;&lt;custom2&gt;PMC5473905&lt;/custom2&gt;&lt;titles&gt;&lt;title&gt;Privacy and the Right to Information Act, 2005&lt;/title&gt;&lt;secondary-title&gt;Indian J Med Ethics&lt;/secondary-title&gt;&lt;/titles&gt;&lt;pages&gt;158-61&lt;/pages&gt;&lt;number&gt;4&lt;/number&gt;&lt;contributors&gt;&lt;authors&gt;&lt;author&gt;Mishra, N. N.&lt;/author&gt;&lt;author&gt;Parker, L. S.&lt;/author&gt;&lt;author&gt;Nimgaonkar, V. L.&lt;/author&gt;&lt;author&gt;Deshpande, S. N.&lt;/author&gt;&lt;/authors&gt;&lt;/contributors&gt;&lt;language&gt;eng&lt;/language&gt;&lt;added-date format="utc"&gt;1513836895&lt;/added-date&gt;&lt;ref-type name="Journal Article"&gt;17&lt;/ref-type&gt;&lt;rec-number&gt;58992&lt;/rec-number&gt;&lt;last-updated-date format="utc"&gt;1513836895&lt;/last-updated-date&gt;&lt;accession-num&gt;18988373&lt;/accession-num&gt;&lt;volume&gt;5&lt;/volume&gt;&lt;/record&gt;&lt;/Cite&gt;&lt;/EndNote&gt;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(7)</w:t>
      </w:r>
      <w:r w:rsidR="0043665D" w:rsidRPr="008B3261">
        <w:rPr>
          <w:rFonts w:ascii="Times New Roman" w:hAnsi="Times New Roman" w:cs="Times New Roman"/>
          <w:sz w:val="24"/>
          <w:szCs w:val="24"/>
        </w:rPr>
        <w:fldChar w:fldCharType="end"/>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&lt;EndNote&gt;&lt;Cite&gt;&lt;Author&gt;Mishra&lt;/Author&gt;&lt;Year&gt;2012&lt;/Year&gt;&lt;IDText&gt;Disability certificates in India: a challenge to health privacy&lt;/IDText&gt;&lt;DisplayText&gt;(8)&lt;/DisplayText&gt;&lt;record&gt;&lt;dates&gt;&lt;pub-dates&gt;&lt;date&gt;2012 Jan-Mar&lt;/date&gt;&lt;/pub-dates&gt;&lt;year&gt;2012&lt;/year&gt;&lt;/dates&gt;&lt;keywords&gt;&lt;keyword&gt;Certification&lt;/keyword&gt;&lt;keyword&gt;Confidentiality&lt;/keyword&gt;&lt;keyword&gt;Disability Evaluation&lt;/keyword&gt;&lt;keyword&gt;Humans&lt;/keyword&gt;&lt;keyword&gt;India&lt;/keyword&gt;&lt;keyword&gt;Insurance, Disability&lt;/keyword&gt;&lt;keyword&gt;Mental Disorders&lt;/keyword&gt;&lt;/keywords&gt;&lt;urls&gt;&lt;related-urls&gt;&lt;url&gt;https://www.ncbi.nlm.nih.gov/pubmed/22319852&lt;/url&gt;&lt;/related-urls&gt;&lt;/urls&gt;&lt;isbn&gt;0974-8466&lt;/isbn&gt;&lt;custom2&gt;PMC5461400&lt;/custom2&gt;&lt;titles&gt;&lt;title&gt;Disability certificates in India: a challenge to health privacy&lt;/title&gt;&lt;secondary-title&gt;Indian J Med Ethics&lt;/secondary-title&gt;&lt;/titles&gt;&lt;pages&gt;43-5&lt;/pages&gt;&lt;number&gt;1&lt;/number&gt;&lt;contributors&gt;&lt;authors&gt;&lt;author&gt;Mishra, N. N.&lt;/author&gt;&lt;author&gt;Parker, L. S.&lt;/author&gt;&lt;author&gt;Nimgaonkar, V. L.&lt;/author&gt;&lt;author&gt;Deshpande, S. N.&lt;/author&gt;&lt;/authors&gt;&lt;/contributors&gt;&lt;language&gt;eng&lt;/language&gt;&lt;added-date format="utc"&gt;1513836998&lt;/added-date&gt;&lt;ref-type name="Journal Article"&gt;17&lt;/ref-type&gt;&lt;rec-number&gt;58993&lt;/rec-number&gt;&lt;last-updated-date format="utc"&gt;1513836998&lt;/last-updated-date&gt;&lt;accession-num&gt;22319852&lt;/accession-num&gt;&lt;volume&gt;9&lt;/volume&gt;&lt;/record&gt;&lt;/Cite&gt;&lt;/EndNote&gt;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(8)</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w:t>
      </w:r>
    </w:p>
    <w:p w14:paraId="4570F942" w14:textId="77777777" w:rsidR="008B3261" w:rsidRPr="008B3261" w:rsidRDefault="008B3261" w:rsidP="00D73C86">
      <w:pPr>
        <w:jc w:val="both"/>
        <w:rPr>
          <w:rFonts w:ascii="Times New Roman" w:hAnsi="Times New Roman" w:cs="Times New Roman"/>
          <w:sz w:val="24"/>
          <w:szCs w:val="24"/>
        </w:rPr>
      </w:pPr>
    </w:p>
    <w:p w14:paraId="1A172688" w14:textId="77777777" w:rsidR="008B3261" w:rsidRDefault="008B3261" w:rsidP="00D73C86">
      <w:pPr>
        <w:jc w:val="both"/>
        <w:rPr>
          <w:rFonts w:ascii="Times New Roman" w:hAnsi="Times New Roman" w:cs="Times New Roman"/>
          <w:b/>
          <w:sz w:val="24"/>
          <w:szCs w:val="24"/>
        </w:rPr>
      </w:pPr>
    </w:p>
    <w:p w14:paraId="052DE2D0" w14:textId="77777777" w:rsidR="008B3261" w:rsidRDefault="008B3261" w:rsidP="00D73C86">
      <w:pPr>
        <w:jc w:val="both"/>
        <w:rPr>
          <w:rFonts w:ascii="Times New Roman" w:hAnsi="Times New Roman" w:cs="Times New Roman"/>
          <w:b/>
          <w:sz w:val="24"/>
          <w:szCs w:val="24"/>
        </w:rPr>
      </w:pPr>
    </w:p>
    <w:p w14:paraId="4C62E9E7"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METHODOLOGY</w:t>
      </w:r>
    </w:p>
    <w:p w14:paraId="09B4206F" w14:textId="77777777" w:rsidR="008B3261" w:rsidRPr="008B3261" w:rsidRDefault="008B3261" w:rsidP="00D73C86">
      <w:pPr>
        <w:jc w:val="both"/>
        <w:rPr>
          <w:rFonts w:ascii="Times New Roman" w:hAnsi="Times New Roman" w:cs="Times New Roman"/>
          <w:b/>
          <w:sz w:val="24"/>
          <w:szCs w:val="24"/>
        </w:rPr>
      </w:pPr>
    </w:p>
    <w:p w14:paraId="5E4CE9CF"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Recruitment and informed consent</w:t>
      </w:r>
    </w:p>
    <w:p w14:paraId="47B29FD6"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Following approval for this interview-based study by the IEC of PGIMER-Dr. RML Hospital, New Delhi, a letter explaining the study was sent to members of the 22 IECs in the National Capital Region Delhi (i.e., Delhi and surrounding area) whose addresses were publicly available (n=</w:t>
      </w:r>
      <w:commentRangeStart w:id="3"/>
      <w:r w:rsidRPr="008B3261">
        <w:rPr>
          <w:rFonts w:ascii="Times New Roman" w:hAnsi="Times New Roman" w:cs="Times New Roman"/>
          <w:sz w:val="24"/>
          <w:szCs w:val="24"/>
        </w:rPr>
        <w:t>55</w:t>
      </w:r>
      <w:commentRangeEnd w:id="3"/>
      <w:r w:rsidR="001E2088">
        <w:rPr>
          <w:rStyle w:val="CommentReference"/>
        </w:rPr>
        <w:commentReference w:id="3"/>
      </w:r>
      <w:r w:rsidRPr="008B3261">
        <w:rPr>
          <w:rFonts w:ascii="Times New Roman" w:hAnsi="Times New Roman" w:cs="Times New Roman"/>
          <w:sz w:val="24"/>
          <w:szCs w:val="24"/>
        </w:rPr>
        <w:t>).  With a goal of enrolling and interviewing a maximum of two members from each IEC, by a combination of random and snowball sampling, IEC members were approached for their individual consent to be interviewed. Although IEC approval was obtained to interview as many as 45 IEC members, the actual number interviewed was determined by the goals of maximizing the diversity and range of responses and reaching “saturation” in the data collected</w:t>
      </w:r>
      <w:r w:rsidRPr="008B3261">
        <w:rPr>
          <w:rFonts w:ascii="Times New Roman" w:hAnsi="Times New Roman" w:cs="Times New Roman"/>
          <w:sz w:val="24"/>
          <w:szCs w:val="24"/>
          <w:lang w:bidi="hi-IN"/>
        </w:rPr>
        <w:t xml:space="preserve">.  </w:t>
      </w:r>
      <w:r w:rsidRPr="008B3261">
        <w:rPr>
          <w:rFonts w:ascii="Times New Roman" w:hAnsi="Times New Roman" w:cs="Times New Roman"/>
          <w:sz w:val="24"/>
          <w:szCs w:val="24"/>
        </w:rPr>
        <w:t xml:space="preserve">Data saturation (or redundancy in information gathered) is the goal for collecting data for the qualitative research method of thematic analysis employed in this study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&lt;EndNote&gt;&lt;Cite&gt;&lt;Author&gt;Rubin&lt;/Author&gt;&lt;Year&gt;1995&lt;/Year&gt;&lt;IDText&gt;Qualitative Interviewing: The Art of&lt;/IDText&gt;&lt;DisplayText&gt;(9)&lt;/DisplayText&gt;&lt;record&gt;&lt;titles&gt;&lt;title&gt;&lt;style face="italic" font="default" size="100%"&gt;Qualitative Interviewing: The Art of&amp;#xA;Hearting Data&lt;/style&gt;&lt;style font="default" size="100%"&gt; . &lt;/style&gt;&lt;/title&gt;&lt;/titles&gt;&lt;contributors&gt;&lt;authors&gt;&lt;author&gt;Rubin, H.J.&lt;/author&gt;&lt;author&gt;Rubin, I.S.&lt;/author&gt;&lt;/authors&gt;&lt;/contributors&gt;&lt;added-date format="utc"&gt;1513837550&lt;/added-date&gt;&lt;pub-location&gt;New Delhi&lt;/pub-location&gt;&lt;ref-type name="Book"&gt;6&lt;/ref-type&gt;&lt;dates&gt;&lt;year&gt;1995&lt;/year&gt;&lt;/dates&gt;&lt;rec-number&gt;58997&lt;/rec-number&gt;&lt;publisher&gt;Sage Publication&lt;/publisher&gt;&lt;last-updated-date format="utc"&gt;1513837635&lt;/last-updated-date&gt;&lt;/record&gt;&lt;/Cite&gt;&lt;/EndNote&gt;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(9)</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w:t>
      </w:r>
    </w:p>
    <w:p w14:paraId="2AAAB554" w14:textId="77777777" w:rsidR="008B3261" w:rsidRPr="008B3261" w:rsidRDefault="008B3261" w:rsidP="00D73C86">
      <w:pPr>
        <w:jc w:val="both"/>
        <w:rPr>
          <w:rFonts w:ascii="Times New Roman" w:hAnsi="Times New Roman" w:cs="Times New Roman"/>
          <w:b/>
          <w:bCs/>
          <w:sz w:val="24"/>
          <w:szCs w:val="24"/>
        </w:rPr>
      </w:pPr>
    </w:p>
    <w:p w14:paraId="71FB1029" w14:textId="77777777" w:rsidR="008B3261" w:rsidRPr="008B3261" w:rsidRDefault="008B3261" w:rsidP="00D73C86">
      <w:pPr>
        <w:jc w:val="both"/>
        <w:rPr>
          <w:rFonts w:ascii="Times New Roman" w:hAnsi="Times New Roman" w:cs="Times New Roman"/>
          <w:b/>
          <w:bCs/>
          <w:sz w:val="24"/>
          <w:szCs w:val="24"/>
        </w:rPr>
      </w:pPr>
      <w:r w:rsidRPr="008B3261">
        <w:rPr>
          <w:rFonts w:ascii="Times New Roman" w:hAnsi="Times New Roman" w:cs="Times New Roman"/>
          <w:b/>
          <w:bCs/>
          <w:sz w:val="24"/>
          <w:szCs w:val="24"/>
        </w:rPr>
        <w:t xml:space="preserve">Data collection and analysis </w:t>
      </w:r>
    </w:p>
    <w:p w14:paraId="47A7DB06"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 xml:space="preserve">Between March 2010 and May 2011, IEC </w:t>
      </w:r>
      <w:commentRangeStart w:id="4"/>
      <w:r w:rsidRPr="008B3261">
        <w:rPr>
          <w:rFonts w:ascii="Times New Roman" w:hAnsi="Times New Roman" w:cs="Times New Roman"/>
          <w:sz w:val="24"/>
          <w:szCs w:val="24"/>
        </w:rPr>
        <w:t>members</w:t>
      </w:r>
      <w:commentRangeEnd w:id="4"/>
      <w:r w:rsidR="001E2088">
        <w:rPr>
          <w:rStyle w:val="CommentReference"/>
        </w:rPr>
        <w:commentReference w:id="4"/>
      </w:r>
      <w:r w:rsidRPr="008B3261">
        <w:rPr>
          <w:rFonts w:ascii="Times New Roman" w:hAnsi="Times New Roman" w:cs="Times New Roman"/>
          <w:sz w:val="24"/>
          <w:szCs w:val="24"/>
        </w:rPr>
        <w:t xml:space="preserve"> were interviewed using semi-structured interview guides. Interviewees were given the option of conducting the interview in either Hindi or English. All but one chose English. Interviews were audiotaped, professionally transcribed, translated into English as necessary, and coded by the principal investigator (NNM) and one co-investigator (TB), who conferred to ensure inter-coder reliability. </w:t>
      </w:r>
    </w:p>
    <w:p w14:paraId="0D8A3ED6"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As is typical when employing thematic analysis, data collection and analysis were integrated. The interview </w:t>
      </w:r>
      <w:commentRangeStart w:id="5"/>
      <w:r w:rsidRPr="008B3261">
        <w:rPr>
          <w:rFonts w:ascii="Times New Roman" w:hAnsi="Times New Roman" w:cs="Times New Roman"/>
          <w:sz w:val="24"/>
          <w:szCs w:val="24"/>
        </w:rPr>
        <w:t>guide</w:t>
      </w:r>
      <w:commentRangeEnd w:id="5"/>
      <w:r w:rsidR="001E2088">
        <w:rPr>
          <w:rStyle w:val="CommentReference"/>
        </w:rPr>
        <w:commentReference w:id="5"/>
      </w:r>
      <w:r w:rsidRPr="008B3261">
        <w:rPr>
          <w:rFonts w:ascii="Times New Roman" w:hAnsi="Times New Roman" w:cs="Times New Roman"/>
          <w:sz w:val="24"/>
          <w:szCs w:val="24"/>
        </w:rPr>
        <w:t xml:space="preserve"> was continually revised to explore emerging concepts and themes. Interview responses were systematically analysed to identify responses clustering around common themes. Analysis proceeds through a series of sequential steps (</w:t>
      </w:r>
      <w:commentRangeStart w:id="6"/>
      <w:r w:rsidRPr="008B3261">
        <w:rPr>
          <w:rFonts w:ascii="Times New Roman" w:hAnsi="Times New Roman" w:cs="Times New Roman"/>
          <w:sz w:val="24"/>
          <w:szCs w:val="24"/>
        </w:rPr>
        <w:t>Rubin &amp; Rubin, 2011</w:t>
      </w:r>
      <w:commentRangeEnd w:id="6"/>
      <w:r w:rsidR="001E2088">
        <w:rPr>
          <w:rStyle w:val="CommentReference"/>
        </w:rPr>
        <w:commentReference w:id="6"/>
      </w:r>
      <w:r w:rsidRPr="008B3261">
        <w:rPr>
          <w:rFonts w:ascii="Times New Roman" w:hAnsi="Times New Roman" w:cs="Times New Roman"/>
          <w:sz w:val="24"/>
          <w:szCs w:val="24"/>
        </w:rPr>
        <w:t>):  repeated close reading of transcribed interviews, followed by coding of interview data and verification of inter-investigator reliability in coding. In this case, the final step involved normative analysis of the themes or concerns identified. Reporting of the results of this thematic analysis is thus integrated with the normative analysis or discussion of the themes identified.</w:t>
      </w:r>
    </w:p>
    <w:p w14:paraId="0B99606D" w14:textId="77777777" w:rsidR="008B3261" w:rsidRPr="008B3261" w:rsidRDefault="008B3261" w:rsidP="00D73C86">
      <w:pPr>
        <w:jc w:val="both"/>
        <w:rPr>
          <w:rFonts w:ascii="Times New Roman" w:hAnsi="Times New Roman" w:cs="Times New Roman"/>
          <w:sz w:val="24"/>
          <w:szCs w:val="24"/>
        </w:rPr>
      </w:pPr>
    </w:p>
    <w:p w14:paraId="1614F06B"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RESULTS AND DISCUSSION</w:t>
      </w:r>
    </w:p>
    <w:p w14:paraId="3C5802E7" w14:textId="77777777"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Demographic information about those interviewed is presented in Table 1. It is noteworthy that while all IECs are required to have at least one community representative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&lt;EndNote&gt;&lt;Cite&gt;&lt;Author&gt;Indian&lt;/Author&gt;&lt;Year&gt;2006&lt;/Year&gt;&lt;IDText&gt;Ethical&lt;/IDText&gt;&lt;DisplayText&gt;(10)&lt;/DisplayText&gt;&lt;record&gt;&lt;titles&gt;&lt;title&gt;&lt;style face="italic" font="default" size="100%"&gt;Ethical&amp;#xA;Guidelines for Biomedical Research on Human Participants&lt;/style&gt;&lt;/title&gt;&lt;/titles&gt;&lt;contributors&gt;&lt;authors&gt;&lt;author&gt;Indian&lt;/author&gt;&lt;author&gt;Council of Medical Research,&lt;/author&gt;&lt;/authors&gt;&lt;/contributors&gt;&lt;added-date format="utc"&gt;1513835625&lt;/added-date&gt;&lt;ref-type name="Book"&gt;6&lt;/ref-type&gt;&lt;dates&gt;&lt;year&gt;2006&lt;/year&gt;&lt;/dates&gt;&lt;rec-number&gt;58988&lt;/rec-number&gt;&lt;publisher&gt;Indian Council of Medical Research&lt;/publisher&gt;&lt;last-updated-date format="utc"&gt;1513836014&lt;/last-updated-date&gt;&lt;/record&gt;&lt;/Cite&gt;&lt;/EndNote&gt;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(10)</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the one community representative interviewed had a PhD and experience as a psychiatric social worker. Thus, all IEC members interviewed have graduate degrees and experience working in healthcare institutions.</w:t>
      </w:r>
    </w:p>
    <w:p w14:paraId="17741D14" w14:textId="77777777" w:rsidR="008B3261" w:rsidRDefault="008B3261" w:rsidP="00D73C86">
      <w:pPr>
        <w:jc w:val="both"/>
        <w:rPr>
          <w:rFonts w:ascii="Times New Roman" w:hAnsi="Times New Roman" w:cs="Times New Roman"/>
          <w:sz w:val="24"/>
          <w:szCs w:val="24"/>
        </w:rPr>
      </w:pPr>
    </w:p>
    <w:p w14:paraId="5C8C54D7" w14:textId="77777777" w:rsidR="008B3261" w:rsidRDefault="008B3261" w:rsidP="00D73C86">
      <w:pPr>
        <w:jc w:val="both"/>
        <w:rPr>
          <w:rFonts w:ascii="Times New Roman" w:hAnsi="Times New Roman" w:cs="Times New Roman"/>
          <w:sz w:val="24"/>
          <w:szCs w:val="24"/>
        </w:rPr>
      </w:pPr>
    </w:p>
    <w:p w14:paraId="0E9FAE60" w14:textId="77777777" w:rsidR="008B3261" w:rsidRDefault="008B3261" w:rsidP="00D73C86">
      <w:pPr>
        <w:jc w:val="both"/>
        <w:rPr>
          <w:rFonts w:ascii="Times New Roman" w:hAnsi="Times New Roman" w:cs="Times New Roman"/>
          <w:sz w:val="24"/>
          <w:szCs w:val="24"/>
        </w:rPr>
      </w:pPr>
    </w:p>
    <w:p w14:paraId="1EF14C6E"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Table 1: Enrolment and demographic details of IEC/IRB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314"/>
        <w:gridCol w:w="2309"/>
        <w:gridCol w:w="2306"/>
      </w:tblGrid>
      <w:tr w:rsidR="008B3261" w:rsidRPr="008B3261" w14:paraId="3E66DF1A" w14:textId="77777777" w:rsidTr="002559EE">
        <w:tc>
          <w:tcPr>
            <w:tcW w:w="2337" w:type="dxa"/>
            <w:shd w:val="clear" w:color="auto" w:fill="auto"/>
          </w:tcPr>
          <w:p w14:paraId="2A0DCA3D" w14:textId="77777777" w:rsidR="008B3261" w:rsidRPr="008B3261" w:rsidRDefault="008B3261" w:rsidP="00D73C86">
            <w:pPr>
              <w:spacing w:line="240" w:lineRule="auto"/>
              <w:jc w:val="both"/>
              <w:rPr>
                <w:rFonts w:ascii="Times New Roman" w:hAnsi="Times New Roman" w:cs="Times New Roman"/>
                <w:sz w:val="24"/>
                <w:szCs w:val="24"/>
                <w:lang w:bidi="hi-IN"/>
              </w:rPr>
            </w:pPr>
          </w:p>
        </w:tc>
        <w:tc>
          <w:tcPr>
            <w:tcW w:w="2337" w:type="dxa"/>
            <w:shd w:val="clear" w:color="auto" w:fill="auto"/>
          </w:tcPr>
          <w:p w14:paraId="6E145B6D"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Approached via mail</w:t>
            </w:r>
          </w:p>
        </w:tc>
        <w:tc>
          <w:tcPr>
            <w:tcW w:w="2338" w:type="dxa"/>
            <w:shd w:val="clear" w:color="auto" w:fill="auto"/>
          </w:tcPr>
          <w:p w14:paraId="1E045990"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Agreed to be contacted</w:t>
            </w:r>
          </w:p>
        </w:tc>
        <w:tc>
          <w:tcPr>
            <w:tcW w:w="2338" w:type="dxa"/>
            <w:shd w:val="clear" w:color="auto" w:fill="auto"/>
          </w:tcPr>
          <w:p w14:paraId="27ECB19F"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Finally enrolled</w:t>
            </w:r>
          </w:p>
        </w:tc>
      </w:tr>
      <w:tr w:rsidR="008B3261" w:rsidRPr="008B3261" w14:paraId="66CD22E9" w14:textId="77777777" w:rsidTr="002559EE">
        <w:tc>
          <w:tcPr>
            <w:tcW w:w="2337" w:type="dxa"/>
            <w:shd w:val="clear" w:color="auto" w:fill="auto"/>
          </w:tcPr>
          <w:p w14:paraId="0B89C715"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IEC/IRBs Contacted</w:t>
            </w:r>
          </w:p>
        </w:tc>
        <w:tc>
          <w:tcPr>
            <w:tcW w:w="2337" w:type="dxa"/>
            <w:shd w:val="clear" w:color="auto" w:fill="auto"/>
          </w:tcPr>
          <w:p w14:paraId="3FA733EA"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22</w:t>
            </w:r>
          </w:p>
        </w:tc>
        <w:tc>
          <w:tcPr>
            <w:tcW w:w="2338" w:type="dxa"/>
            <w:shd w:val="clear" w:color="auto" w:fill="auto"/>
          </w:tcPr>
          <w:p w14:paraId="0C7F7632"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15</w:t>
            </w:r>
          </w:p>
        </w:tc>
        <w:tc>
          <w:tcPr>
            <w:tcW w:w="2338" w:type="dxa"/>
            <w:shd w:val="clear" w:color="auto" w:fill="auto"/>
          </w:tcPr>
          <w:p w14:paraId="10E61C02"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11*</w:t>
            </w:r>
            <w:r w:rsidRPr="008B3261">
              <w:rPr>
                <w:rFonts w:ascii="Times New Roman" w:hAnsi="Times New Roman" w:cs="Times New Roman"/>
                <w:sz w:val="24"/>
                <w:szCs w:val="24"/>
                <w:vertAlign w:val="superscript"/>
                <w:lang w:bidi="hi-IN"/>
              </w:rPr>
              <w:t>#$</w:t>
            </w:r>
          </w:p>
        </w:tc>
      </w:tr>
      <w:tr w:rsidR="008B3261" w:rsidRPr="008B3261" w14:paraId="6393A8BF" w14:textId="77777777" w:rsidTr="002559EE">
        <w:tc>
          <w:tcPr>
            <w:tcW w:w="2337" w:type="dxa"/>
            <w:shd w:val="clear" w:color="auto" w:fill="auto"/>
          </w:tcPr>
          <w:p w14:paraId="66C12899"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IEC/IRB Members</w:t>
            </w:r>
          </w:p>
        </w:tc>
        <w:tc>
          <w:tcPr>
            <w:tcW w:w="2337" w:type="dxa"/>
            <w:shd w:val="clear" w:color="auto" w:fill="auto"/>
          </w:tcPr>
          <w:p w14:paraId="1B3F5B43"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55</w:t>
            </w:r>
          </w:p>
        </w:tc>
        <w:tc>
          <w:tcPr>
            <w:tcW w:w="2338" w:type="dxa"/>
            <w:shd w:val="clear" w:color="auto" w:fill="auto"/>
          </w:tcPr>
          <w:p w14:paraId="689CDF78"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32</w:t>
            </w:r>
          </w:p>
        </w:tc>
        <w:tc>
          <w:tcPr>
            <w:tcW w:w="2338" w:type="dxa"/>
            <w:shd w:val="clear" w:color="auto" w:fill="auto"/>
          </w:tcPr>
          <w:p w14:paraId="6535FF65"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19</w:t>
            </w:r>
          </w:p>
        </w:tc>
      </w:tr>
      <w:tr w:rsidR="008B3261" w:rsidRPr="008B3261" w14:paraId="35C0AB67" w14:textId="77777777" w:rsidTr="002559EE">
        <w:tc>
          <w:tcPr>
            <w:tcW w:w="2337" w:type="dxa"/>
            <w:shd w:val="clear" w:color="auto" w:fill="auto"/>
          </w:tcPr>
          <w:p w14:paraId="32BD862C"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Gender M/F</w:t>
            </w:r>
          </w:p>
        </w:tc>
        <w:tc>
          <w:tcPr>
            <w:tcW w:w="2337" w:type="dxa"/>
            <w:shd w:val="clear" w:color="auto" w:fill="auto"/>
          </w:tcPr>
          <w:p w14:paraId="2BD11735"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14:paraId="0F742233"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14:paraId="7550BF1D"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13/6</w:t>
            </w:r>
          </w:p>
        </w:tc>
      </w:tr>
      <w:tr w:rsidR="008B3261" w:rsidRPr="008B3261" w14:paraId="21AA6CBF" w14:textId="77777777" w:rsidTr="002559EE">
        <w:tc>
          <w:tcPr>
            <w:tcW w:w="2337" w:type="dxa"/>
            <w:shd w:val="clear" w:color="auto" w:fill="auto"/>
          </w:tcPr>
          <w:p w14:paraId="3B7C6F9A"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Average age in years</w:t>
            </w:r>
          </w:p>
        </w:tc>
        <w:tc>
          <w:tcPr>
            <w:tcW w:w="2337" w:type="dxa"/>
            <w:shd w:val="clear" w:color="auto" w:fill="auto"/>
          </w:tcPr>
          <w:p w14:paraId="2FD230FA"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14:paraId="2DADABFB"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14:paraId="7AAB88C2" w14:textId="77777777" w:rsidR="008B3261" w:rsidRPr="008B3261" w:rsidRDefault="008B3261" w:rsidP="00D73C86">
            <w:pPr>
              <w:spacing w:line="240" w:lineRule="auto"/>
              <w:jc w:val="both"/>
              <w:rPr>
                <w:rFonts w:ascii="Times New Roman" w:hAnsi="Times New Roman" w:cs="Times New Roman"/>
                <w:sz w:val="24"/>
                <w:szCs w:val="24"/>
                <w:lang w:bidi="hi-IN"/>
              </w:rPr>
            </w:pPr>
            <w:commentRangeStart w:id="7"/>
            <w:r w:rsidRPr="008B3261">
              <w:rPr>
                <w:rFonts w:ascii="Times New Roman" w:hAnsi="Times New Roman" w:cs="Times New Roman"/>
                <w:sz w:val="24"/>
                <w:szCs w:val="24"/>
                <w:lang w:bidi="hi-IN"/>
              </w:rPr>
              <w:t>55</w:t>
            </w:r>
            <w:commentRangeEnd w:id="7"/>
            <w:r w:rsidR="001E2088">
              <w:rPr>
                <w:rStyle w:val="CommentReference"/>
              </w:rPr>
              <w:commentReference w:id="7"/>
            </w:r>
          </w:p>
        </w:tc>
      </w:tr>
      <w:tr w:rsidR="008B3261" w:rsidRPr="008B3261" w14:paraId="36E26ACF" w14:textId="77777777" w:rsidTr="002559EE">
        <w:tc>
          <w:tcPr>
            <w:tcW w:w="2337" w:type="dxa"/>
            <w:shd w:val="clear" w:color="auto" w:fill="auto"/>
          </w:tcPr>
          <w:p w14:paraId="221A8F04"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School years</w:t>
            </w:r>
          </w:p>
        </w:tc>
        <w:tc>
          <w:tcPr>
            <w:tcW w:w="2337" w:type="dxa"/>
            <w:shd w:val="clear" w:color="auto" w:fill="auto"/>
          </w:tcPr>
          <w:p w14:paraId="6FED45B2"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14:paraId="7C97B52C"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14:paraId="630E4E65"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16**</w:t>
            </w:r>
          </w:p>
        </w:tc>
      </w:tr>
      <w:tr w:rsidR="008B3261" w:rsidRPr="008B3261" w14:paraId="235AEA9A" w14:textId="77777777" w:rsidTr="002559EE">
        <w:tc>
          <w:tcPr>
            <w:tcW w:w="2337" w:type="dxa"/>
            <w:shd w:val="clear" w:color="auto" w:fill="auto"/>
          </w:tcPr>
          <w:p w14:paraId="2728532E"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 xml:space="preserve">Experience </w:t>
            </w:r>
          </w:p>
        </w:tc>
        <w:tc>
          <w:tcPr>
            <w:tcW w:w="2337" w:type="dxa"/>
            <w:shd w:val="clear" w:color="auto" w:fill="auto"/>
          </w:tcPr>
          <w:p w14:paraId="510BC63B"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14:paraId="4BC099F4"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14:paraId="36DEFB49" w14:textId="77777777"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6 to &gt;10 years</w:t>
            </w:r>
          </w:p>
        </w:tc>
      </w:tr>
    </w:tbl>
    <w:p w14:paraId="71E6C991" w14:textId="77777777"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rPr>
        <w:t>*6 at government hospitals, 4 at private hospitals and 1 a private IEC</w:t>
      </w:r>
    </w:p>
    <w:p w14:paraId="3DCFC5A6" w14:textId="77777777"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vertAlign w:val="superscript"/>
        </w:rPr>
        <w:t>#</w:t>
      </w:r>
      <w:r w:rsidRPr="008B3261">
        <w:rPr>
          <w:rFonts w:ascii="Times New Roman" w:hAnsi="Times New Roman" w:cs="Times New Roman"/>
          <w:sz w:val="24"/>
          <w:szCs w:val="24"/>
        </w:rPr>
        <w:t xml:space="preserve"> clinicians 12, Specialists 4, Law graduates 2</w:t>
      </w:r>
    </w:p>
    <w:p w14:paraId="66DE4273" w14:textId="77777777"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vertAlign w:val="superscript"/>
        </w:rPr>
        <w:t>$</w:t>
      </w:r>
      <w:r w:rsidRPr="008B3261">
        <w:rPr>
          <w:rFonts w:ascii="Times New Roman" w:hAnsi="Times New Roman" w:cs="Times New Roman"/>
          <w:sz w:val="24"/>
          <w:szCs w:val="24"/>
        </w:rPr>
        <w:t xml:space="preserve">6intervieews served more than one IEC and two IECs had only one member interviewed in the study </w:t>
      </w:r>
    </w:p>
    <w:p w14:paraId="77A82B1D" w14:textId="77777777"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rPr>
        <w:t>**one was Ph.D. in psychology and worked as psychiatric social worker but was considered a community representative</w:t>
      </w:r>
    </w:p>
    <w:p w14:paraId="098AE29D"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 xml:space="preserve">Awareness, understanding, and implementation of ethical </w:t>
      </w:r>
      <w:commentRangeStart w:id="8"/>
      <w:r w:rsidRPr="008B3261">
        <w:rPr>
          <w:rFonts w:ascii="Times New Roman" w:hAnsi="Times New Roman" w:cs="Times New Roman"/>
          <w:b/>
          <w:sz w:val="24"/>
          <w:szCs w:val="24"/>
        </w:rPr>
        <w:t>guidelines</w:t>
      </w:r>
      <w:commentRangeEnd w:id="8"/>
      <w:r w:rsidR="0072487C">
        <w:rPr>
          <w:rStyle w:val="CommentReference"/>
        </w:rPr>
        <w:commentReference w:id="8"/>
      </w:r>
    </w:p>
    <w:p w14:paraId="302443E1" w14:textId="77777777" w:rsidR="008B3261" w:rsidRPr="008B3261" w:rsidRDefault="008B3261" w:rsidP="00D73C86">
      <w:pPr>
        <w:jc w:val="both"/>
        <w:rPr>
          <w:rFonts w:ascii="Times New Roman" w:hAnsi="Times New Roman" w:cs="Times New Roman"/>
          <w:i/>
          <w:sz w:val="24"/>
          <w:szCs w:val="24"/>
        </w:rPr>
      </w:pPr>
      <w:r w:rsidRPr="008B3261">
        <w:rPr>
          <w:rFonts w:ascii="Times New Roman" w:hAnsi="Times New Roman" w:cs="Times New Roman"/>
          <w:sz w:val="24"/>
          <w:szCs w:val="24"/>
        </w:rPr>
        <w:t xml:space="preserve">Of the nineteen IEC members, only three expressed less than full awareness of the </w:t>
      </w:r>
      <w:r w:rsidRPr="008B3261">
        <w:rPr>
          <w:rFonts w:ascii="Times New Roman" w:hAnsi="Times New Roman" w:cs="Times New Roman"/>
          <w:iCs/>
          <w:sz w:val="24"/>
          <w:szCs w:val="24"/>
        </w:rPr>
        <w:t xml:space="preserve">ICMR Ethical Guidelines for Research,  </w:t>
      </w:r>
      <w:r w:rsidR="0043665D" w:rsidRPr="008B3261">
        <w:rPr>
          <w:rFonts w:ascii="Times New Roman" w:hAnsi="Times New Roman" w:cs="Times New Roman"/>
          <w:iCs/>
          <w:sz w:val="24"/>
          <w:szCs w:val="24"/>
        </w:rPr>
        <w:fldChar w:fldCharType="begin"/>
      </w:r>
      <w:r w:rsidRPr="008B3261">
        <w:rPr>
          <w:rFonts w:ascii="Times New Roman" w:hAnsi="Times New Roman" w:cs="Times New Roman"/>
          <w:iCs/>
          <w:sz w:val="24"/>
          <w:szCs w:val="24"/>
        </w:rPr>
        <w:instrText xml:space="preserve"> ADDIN EN.CITE &lt;EndNote&gt;&lt;Cite&gt;&lt;Author&gt;Indian&lt;/Author&gt;&lt;Year&gt;2006&lt;/Year&gt;&lt;IDText&gt;Ethical&lt;/IDText&gt;&lt;DisplayText&gt;(10)&lt;/DisplayText&gt;&lt;record&gt;&lt;titles&gt;&lt;title&gt;&lt;style face="italic" font="default" size="100%"&gt;Ethical&amp;#xA;Guidelines for Biomedical Research on Human Participants&lt;/style&gt;&lt;/title&gt;&lt;/titles&gt;&lt;contributors&gt;&lt;authors&gt;&lt;author&gt;Indian&lt;/author&gt;&lt;author&gt;Council of Medical Research,&lt;/author&gt;&lt;/authors&gt;&lt;/contributors&gt;&lt;added-date format="utc"&gt;1513835625&lt;/added-date&gt;&lt;ref-type name="Book"&gt;6&lt;/ref-type&gt;&lt;dates&gt;&lt;year&gt;2006&lt;/year&gt;&lt;/dates&gt;&lt;rec-number&gt;58988&lt;/rec-number&gt;&lt;publisher&gt;Indian Council of Medical Research&lt;/publisher&gt;&lt;last-updated-date format="utc"&gt;1513836014&lt;/last-updated-date&gt;&lt;/record&gt;&lt;/Cite&gt;&lt;/EndNote&gt;</w:instrText>
      </w:r>
      <w:r w:rsidR="0043665D" w:rsidRPr="008B3261">
        <w:rPr>
          <w:rFonts w:ascii="Times New Roman" w:hAnsi="Times New Roman" w:cs="Times New Roman"/>
          <w:iCs/>
          <w:sz w:val="24"/>
          <w:szCs w:val="24"/>
        </w:rPr>
        <w:fldChar w:fldCharType="separate"/>
      </w:r>
      <w:r w:rsidRPr="008B3261">
        <w:rPr>
          <w:rFonts w:ascii="Times New Roman" w:hAnsi="Times New Roman" w:cs="Times New Roman"/>
          <w:iCs/>
          <w:noProof/>
          <w:sz w:val="24"/>
          <w:szCs w:val="24"/>
        </w:rPr>
        <w:t>(10)</w:t>
      </w:r>
      <w:r w:rsidR="0043665D" w:rsidRPr="008B3261">
        <w:rPr>
          <w:rFonts w:ascii="Times New Roman" w:hAnsi="Times New Roman" w:cs="Times New Roman"/>
          <w:iCs/>
          <w:sz w:val="24"/>
          <w:szCs w:val="24"/>
        </w:rPr>
        <w:fldChar w:fldCharType="end"/>
      </w:r>
      <w:r w:rsidRPr="008B3261">
        <w:rPr>
          <w:rFonts w:ascii="Times New Roman" w:hAnsi="Times New Roman" w:cs="Times New Roman"/>
          <w:iCs/>
          <w:sz w:val="24"/>
          <w:szCs w:val="24"/>
        </w:rPr>
        <w:t>, which  guide their review and monitoring of research protocols. One of these three expressed familiarity with guidelines from the United Kingdom and had a preference for following them, while stating that “</w:t>
      </w:r>
      <w:r w:rsidRPr="008B3261">
        <w:rPr>
          <w:rFonts w:ascii="Times New Roman" w:hAnsi="Times New Roman" w:cs="Times New Roman"/>
          <w:sz w:val="24"/>
          <w:szCs w:val="24"/>
        </w:rPr>
        <w:t>there is not a set protocol or a set guideline that is followed</w:t>
      </w:r>
      <w:r w:rsidRPr="008B3261">
        <w:rPr>
          <w:rFonts w:ascii="Times New Roman" w:hAnsi="Times New Roman" w:cs="Times New Roman"/>
          <w:iCs/>
          <w:sz w:val="24"/>
          <w:szCs w:val="24"/>
        </w:rPr>
        <w:t>” on the IEC.  A second referred to a lack of occasion to become familiar with the ICMR’s</w:t>
      </w:r>
      <w:r w:rsidRPr="008B3261">
        <w:rPr>
          <w:rFonts w:ascii="Times New Roman" w:hAnsi="Times New Roman" w:cs="Times New Roman"/>
          <w:i/>
          <w:iCs/>
          <w:sz w:val="24"/>
          <w:szCs w:val="24"/>
        </w:rPr>
        <w:t xml:space="preserve"> Ethical Guidelines</w:t>
      </w:r>
      <w:r w:rsidRPr="008B3261">
        <w:rPr>
          <w:rFonts w:ascii="Times New Roman" w:hAnsi="Times New Roman" w:cs="Times New Roman"/>
          <w:iCs/>
          <w:sz w:val="24"/>
          <w:szCs w:val="24"/>
        </w:rPr>
        <w:t>, and the third expressed having no knowledge of them: “</w:t>
      </w:r>
      <w:r w:rsidRPr="008B3261">
        <w:rPr>
          <w:rFonts w:ascii="Times New Roman" w:hAnsi="Times New Roman" w:cs="Times New Roman"/>
          <w:sz w:val="24"/>
          <w:szCs w:val="24"/>
        </w:rPr>
        <w:t>we have been going by general perception. We have not been given any guidelines for this</w:t>
      </w:r>
      <w:r w:rsidRPr="008B3261">
        <w:rPr>
          <w:rFonts w:ascii="Times New Roman" w:hAnsi="Times New Roman" w:cs="Times New Roman"/>
          <w:iCs/>
          <w:sz w:val="24"/>
          <w:szCs w:val="24"/>
        </w:rPr>
        <w:t xml:space="preserve">.” </w:t>
      </w:r>
      <w:r w:rsidRPr="008B3261">
        <w:rPr>
          <w:rFonts w:ascii="Times New Roman" w:hAnsi="Times New Roman" w:cs="Times New Roman"/>
          <w:sz w:val="24"/>
          <w:szCs w:val="24"/>
        </w:rPr>
        <w:t xml:space="preserve">A fourth interviewee reported that the committee mainly relies on the </w:t>
      </w:r>
      <w:r w:rsidRPr="008B3261">
        <w:rPr>
          <w:rFonts w:ascii="Times New Roman" w:hAnsi="Times New Roman" w:cs="Times New Roman"/>
          <w:i/>
          <w:sz w:val="24"/>
          <w:szCs w:val="24"/>
        </w:rPr>
        <w:t>ICMR Guidelines</w:t>
      </w:r>
      <w:r w:rsidRPr="008B3261">
        <w:rPr>
          <w:rFonts w:ascii="Times New Roman" w:hAnsi="Times New Roman" w:cs="Times New Roman"/>
          <w:sz w:val="24"/>
          <w:szCs w:val="24"/>
        </w:rPr>
        <w:t xml:space="preserve">, but noted that guidelines from the Department of Science and Technology are sometimes used and that there is “not much difference between them.” Still another commented that the ICMR’s </w:t>
      </w:r>
      <w:r w:rsidRPr="008B3261">
        <w:rPr>
          <w:rFonts w:ascii="Times New Roman" w:hAnsi="Times New Roman" w:cs="Times New Roman"/>
          <w:i/>
          <w:sz w:val="24"/>
          <w:szCs w:val="24"/>
        </w:rPr>
        <w:t xml:space="preserve">Guidelines </w:t>
      </w:r>
      <w:r w:rsidRPr="008B3261">
        <w:rPr>
          <w:rFonts w:ascii="Times New Roman" w:hAnsi="Times New Roman" w:cs="Times New Roman"/>
          <w:sz w:val="24"/>
          <w:szCs w:val="24"/>
        </w:rPr>
        <w:t>are “the law of the land, and they are accepted by NIH of USA; they are as good as any international guideline as of now.”</w:t>
      </w:r>
    </w:p>
    <w:p w14:paraId="7A4CD3F8" w14:textId="77777777" w:rsidR="008B3261" w:rsidRPr="008B3261" w:rsidRDefault="008B3261" w:rsidP="00D73C86">
      <w:pPr>
        <w:tabs>
          <w:tab w:val="left" w:pos="284"/>
        </w:tabs>
        <w:jc w:val="both"/>
        <w:rPr>
          <w:rFonts w:ascii="Times New Roman" w:hAnsi="Times New Roman" w:cs="Times New Roman"/>
          <w:sz w:val="24"/>
          <w:szCs w:val="24"/>
        </w:rPr>
      </w:pPr>
      <w:r w:rsidRPr="008B3261">
        <w:rPr>
          <w:rFonts w:ascii="Times New Roman" w:hAnsi="Times New Roman" w:cs="Times New Roman"/>
          <w:sz w:val="24"/>
          <w:szCs w:val="24"/>
        </w:rPr>
        <w:tab/>
        <w:t xml:space="preserve">Interviewees were also asked about their familiarity with international research guidelines, such as the </w:t>
      </w:r>
      <w:r w:rsidRPr="008B3261">
        <w:rPr>
          <w:rFonts w:ascii="Times New Roman" w:hAnsi="Times New Roman" w:cs="Times New Roman"/>
          <w:i/>
          <w:iCs/>
          <w:sz w:val="24"/>
          <w:szCs w:val="24"/>
        </w:rPr>
        <w:t xml:space="preserve">Declaration of Helsinki </w:t>
      </w:r>
      <w:r w:rsidRPr="008B3261">
        <w:rPr>
          <w:rFonts w:ascii="Times New Roman" w:hAnsi="Times New Roman" w:cs="Times New Roman"/>
          <w:iCs/>
          <w:sz w:val="24"/>
          <w:szCs w:val="24"/>
        </w:rPr>
        <w:t>orCouncil for International Organizations of Medical Sciences (CIOMS) guidelines</w:t>
      </w:r>
      <w:r w:rsidRPr="008B3261">
        <w:rPr>
          <w:rFonts w:ascii="Times New Roman" w:hAnsi="Times New Roman" w:cs="Times New Roman"/>
          <w:sz w:val="24"/>
          <w:szCs w:val="24"/>
        </w:rPr>
        <w:t xml:space="preserve">. While a third of those interviewed were not familiar with any international research guidelines, just over half were conversant with international guidelines and said that they referred to these to evaluate research protocols. One IEC member discussed that the International Organization for Standardization has guidelines focused on medical laboratories (ISO 15189) to be used for development of quality management systems and laboratory assessment. He observed that the laboratory assessment process requires assessors to sign a pledge that they will maintain confidentiality, and suggested that such a </w:t>
      </w:r>
      <w:r w:rsidRPr="008B3261">
        <w:rPr>
          <w:rFonts w:ascii="Times New Roman" w:hAnsi="Times New Roman" w:cs="Times New Roman"/>
          <w:sz w:val="24"/>
          <w:szCs w:val="24"/>
        </w:rPr>
        <w:lastRenderedPageBreak/>
        <w:t xml:space="preserve">confidentiality agreement should be in place for every research project. IEC members with less than a year’s experience had less familiarity with the ICMR </w:t>
      </w:r>
      <w:r w:rsidRPr="008B3261">
        <w:rPr>
          <w:rFonts w:ascii="Times New Roman" w:hAnsi="Times New Roman" w:cs="Times New Roman"/>
          <w:i/>
          <w:iCs/>
          <w:sz w:val="24"/>
          <w:szCs w:val="24"/>
        </w:rPr>
        <w:t xml:space="preserve">Guidelines </w:t>
      </w:r>
      <w:r w:rsidRPr="008B3261">
        <w:rPr>
          <w:rFonts w:ascii="Times New Roman" w:hAnsi="Times New Roman" w:cs="Times New Roman"/>
          <w:sz w:val="24"/>
          <w:szCs w:val="24"/>
        </w:rPr>
        <w:t xml:space="preserve">and did not know of the international documents. </w:t>
      </w:r>
    </w:p>
    <w:p w14:paraId="706CCB00" w14:textId="77777777"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Some IEC members expressed the common concern, documented in the bioethics literature internationally , that there is a preoccupation with written documentation and the “letter” of consent forms and guidelines, rather than their substance and “spirit”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&lt;EndNote&gt;&lt;Cite&gt;&lt;Author&gt;Bhutta&lt;/Author&gt;&lt;Year&gt;2004&lt;/Year&gt;&lt;IDText&gt;Beyond informed consent&lt;/IDText&gt;&lt;DisplayText&gt;(11)&lt;/DisplayText&gt;&lt;record&gt;&lt;dates&gt;&lt;pub-dates&gt;&lt;date&gt;Oct&lt;/date&gt;&lt;/pub-dates&gt;&lt;year&gt;2004&lt;/year&gt;&lt;/dates&gt;&lt;keywords&gt;&lt;keyword&gt;Codes of Ethics&lt;/keyword&gt;&lt;keyword&gt;Consent Forms&lt;/keyword&gt;&lt;keyword&gt;Culture&lt;/keyword&gt;&lt;keyword&gt;Developing Countries&lt;/keyword&gt;&lt;keyword&gt;Disclosure&lt;/keyword&gt;&lt;keyword&gt;Documentation&lt;/keyword&gt;&lt;keyword&gt;Ethics Committees, Research&lt;/keyword&gt;&lt;keyword&gt;Guidelines as Topic&lt;/keyword&gt;&lt;keyword&gt;Health Knowledge, Attitudes, Practice&lt;/keyword&gt;&lt;keyword&gt;Human Experimentation&lt;/keyword&gt;&lt;keyword&gt;Humans&lt;/keyword&gt;&lt;keyword&gt;Informed Consent&lt;/keyword&gt;&lt;keyword&gt;Mental Competency&lt;/keyword&gt;&lt;keyword&gt;Patient Selection&lt;/keyword&gt;&lt;keyword&gt;Biomedical and Behavioral Research&lt;/keyword&gt;&lt;/keywords&gt;&lt;urls&gt;&lt;related-urls&gt;&lt;url&gt;https://www.ncbi.nlm.nih.gov/pubmed/15643799&lt;/url&gt;&lt;/related-urls&gt;&lt;/urls&gt;&lt;isbn&gt;0042-9686&lt;/isbn&gt;&lt;custom2&gt;PMC2623030&lt;/custom2&gt;&lt;titles&gt;&lt;title&gt;Beyond informed consent&lt;/title&gt;&lt;secondary-title&gt;Bull World Health Organ&lt;/secondary-title&gt;&lt;/titles&gt;&lt;pages&gt;771-7&lt;/pages&gt;&lt;number&gt;10&lt;/number&gt;&lt;contributors&gt;&lt;authors&gt;&lt;author&gt;Bhutta, Z. A.&lt;/author&gt;&lt;/authors&gt;&lt;/contributors&gt;&lt;language&gt;eng&lt;/language&gt;&lt;added-date format="utc"&gt;1513843171&lt;/added-date&gt;&lt;ref-type name="Journal Article"&gt;17&lt;/ref-type&gt;&lt;rec-number&gt;59002&lt;/rec-number&gt;&lt;last-updated-date format="utc"&gt;1513843171&lt;/last-updated-date&gt;&lt;accession-num&gt;15643799&lt;/accession-num&gt;&lt;volume&gt;82&lt;/volume&gt;&lt;/record&gt;&lt;/Cite&gt;&lt;/EndNote&gt;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(11)</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One IEC member with legal background commented: “The consent form is just being used to get the sign of the patient; they are not reading out the contents, clause by clause. Most of these forms are not in vernacular language.  It has to be read out to the patient that after the completion of the project, this information has to be shared with other doctors or scientists or even with the media, so is the patient prepared for that.  This is not being told to the patient at the time of </w:t>
      </w:r>
      <w:r w:rsidR="004155A7" w:rsidRPr="008B3261">
        <w:rPr>
          <w:rFonts w:ascii="Times New Roman" w:hAnsi="Times New Roman" w:cs="Times New Roman"/>
          <w:sz w:val="24"/>
          <w:szCs w:val="24"/>
        </w:rPr>
        <w:t>enrolment</w:t>
      </w:r>
      <w:r w:rsidRPr="008B3261">
        <w:rPr>
          <w:rFonts w:ascii="Times New Roman" w:hAnsi="Times New Roman" w:cs="Times New Roman"/>
          <w:sz w:val="24"/>
          <w:szCs w:val="24"/>
        </w:rPr>
        <w:t xml:space="preserve"> by the clinical trial researcher.” </w:t>
      </w:r>
    </w:p>
    <w:p w14:paraId="18B4AD39" w14:textId="77777777"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Reflecting another common concern that time constraints are a barrier to obtaining truly informed consent, he explained that “most of the doctors are full time employees of the hospital, and research is additional work, so there is lack of time.”  This IEC member saw a hands-on role for the committee in training investigators: “Before a particular project is approved by the ethics committee all have to be trained. I have even suggested that … every member of ethics committee take a separate subject and let him explain to the researcher, like somebody has to deal with the compensation part, … insurance, privacy etc. It has been decided to organize a seminar or workshops on these topics by the ethics committee and impart training.” </w:t>
      </w:r>
    </w:p>
    <w:p w14:paraId="66661EAC"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However, contrary to the provisions of the ICMR </w:t>
      </w:r>
      <w:r w:rsidRPr="008B3261">
        <w:rPr>
          <w:rFonts w:ascii="Times New Roman" w:hAnsi="Times New Roman" w:cs="Times New Roman"/>
          <w:i/>
          <w:sz w:val="24"/>
          <w:szCs w:val="24"/>
        </w:rPr>
        <w:t>Guidelines</w:t>
      </w:r>
      <w:r w:rsidRPr="008B3261">
        <w:rPr>
          <w:rFonts w:ascii="Times New Roman" w:hAnsi="Times New Roman" w:cs="Times New Roman"/>
          <w:sz w:val="24"/>
          <w:szCs w:val="24"/>
        </w:rPr>
        <w:t xml:space="preserve">, the same IEC member does not see a role for the committee in monitoring conduct of research or management of information: “See we have no role to play, we only approve the project.  … we only see if that agreement, the consent form, adheres to the various clauses, but thereafter we have no role to play.  Once the trial is approved by the ethics committee, the role of the ethics committee is over.  We do not pay any attention if the records are being properly maintained or not in the respective hospital.  It is the job of the administration; it is not our job.  We can suggest to the hospital authorities that the records are to be properly maintained even after the completion of the project.  … Our work is only restricted and confined to approve the proposal.  … the implementation part is based on the faith that the researchers shall follow all the guidelines issued by the ICMR or any other national or international body.  … After the completion of the project a report is submitted to the ethics committee for information sake, … What happens to the data thereafter, it is the administrative matter and it does not fall within the purview  of the ethics committee.”   </w:t>
      </w:r>
    </w:p>
    <w:p w14:paraId="76B3AACF"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In contrast, another member from the same IEC referred to a monitoring role, as well as to having faith in the conduct of investigators, who “have to present a paper to our ethics committee for our approval, and we see that all these aspects have been properly described in that declaration…  Usually the researcher is from our own institution so we also have faith that they shall be following what they commit on that paper.  Once approved, thereafter during the study also we intermittently investigate and inspect if they are following those steps properly.”</w:t>
      </w:r>
    </w:p>
    <w:p w14:paraId="65ACD0D7" w14:textId="77777777" w:rsidR="008B3261" w:rsidRPr="008B3261" w:rsidRDefault="008B3261" w:rsidP="00D73C86">
      <w:pPr>
        <w:ind w:firstLine="720"/>
        <w:jc w:val="both"/>
        <w:rPr>
          <w:rFonts w:ascii="Times New Roman" w:hAnsi="Times New Roman" w:cs="Times New Roman"/>
          <w:sz w:val="24"/>
          <w:szCs w:val="24"/>
        </w:rPr>
      </w:pPr>
    </w:p>
    <w:p w14:paraId="31D4BBDF"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lastRenderedPageBreak/>
        <w:t>Understanding of privacy-related obligations and their implementation</w:t>
      </w:r>
    </w:p>
    <w:p w14:paraId="493825D7" w14:textId="77777777"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All nineteen IEC members interviewed expressed a fundamental commitment to protecting the privacy of patients and research participants. All stated that information regarding a patient’s or research participant’s disease and other personal information shared during treatment or research should be kept confidential, and considered it their responsibility to help maintain confidentiality. Some interviewees demonstrated a rather sophisticated understanding, specifically distinguishing between privacy and confidentiality, and explaining confidentiality as arising with regard to information shared within a professional relationship. Others used the two concepts interchangeably.  One of those with less than a year’s experience on the IEC referred to the non-instrumental value of privacy: “no patient wants [that] his ailment shall become a topic for broadcast and gossip; it does not matter if that brings him some benefit or not. Patients always want to keep personal health information within a limited space.” </w:t>
      </w:r>
    </w:p>
    <w:p w14:paraId="0A107C0E" w14:textId="77777777"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Many IEC members were themselves clinicians; indeed, all but two of our interviewees </w:t>
      </w:r>
      <w:r w:rsidR="004155A7" w:rsidRPr="008B3261">
        <w:rPr>
          <w:rFonts w:ascii="Times New Roman" w:hAnsi="Times New Roman" w:cs="Times New Roman"/>
          <w:sz w:val="24"/>
          <w:szCs w:val="24"/>
        </w:rPr>
        <w:t>had provided</w:t>
      </w:r>
      <w:r w:rsidRPr="008B3261">
        <w:rPr>
          <w:rFonts w:ascii="Times New Roman" w:hAnsi="Times New Roman" w:cs="Times New Roman"/>
          <w:sz w:val="24"/>
          <w:szCs w:val="24"/>
        </w:rPr>
        <w:t xml:space="preserve"> clinical care. Moreover, in the absence of the clinical ethics-</w:t>
      </w:r>
      <w:commentRangeStart w:id="9"/>
      <w:r w:rsidRPr="008B3261">
        <w:rPr>
          <w:rFonts w:ascii="Times New Roman" w:hAnsi="Times New Roman" w:cs="Times New Roman"/>
          <w:sz w:val="24"/>
          <w:szCs w:val="24"/>
        </w:rPr>
        <w:t>focused</w:t>
      </w:r>
      <w:commentRangeEnd w:id="9"/>
      <w:r w:rsidR="007B3C83">
        <w:rPr>
          <w:rStyle w:val="CommentReference"/>
        </w:rPr>
        <w:commentReference w:id="9"/>
      </w:r>
      <w:r w:rsidRPr="008B3261">
        <w:rPr>
          <w:rFonts w:ascii="Times New Roman" w:hAnsi="Times New Roman" w:cs="Times New Roman"/>
          <w:sz w:val="24"/>
          <w:szCs w:val="24"/>
        </w:rPr>
        <w:t xml:space="preserve"> hospital ethics committees or consultation services that are common in, for example, the US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&lt;EndNote&gt;&lt;Cite&gt;&lt;Author&gt;Aulisio&lt;/Author&gt;&lt;Year&gt;2016&lt;/Year&gt;&lt;IDText&gt;Why Did Hospital Ethics Committees Emerge in the US?&lt;/IDText&gt;&lt;DisplayText&gt;(12)&lt;/DisplayText&gt;&lt;record&gt;&lt;dates&gt;&lt;pub-dates&gt;&lt;date&gt;May&lt;/date&gt;&lt;/pub-dates&gt;&lt;year&gt;2016&lt;/year&gt;&lt;/dates&gt;&lt;keywords&gt;&lt;keyword&gt;Ethics Committees, Clinical&lt;/keyword&gt;&lt;keyword&gt;Ethics, Medical&lt;/keyword&gt;&lt;keyword&gt;History, 20th Century&lt;/keyword&gt;&lt;keyword&gt;Hospitals&lt;/keyword&gt;&lt;keyword&gt;Humans&lt;/keyword&gt;&lt;keyword&gt;United States&lt;/keyword&gt;&lt;/keywords&gt;&lt;urls&gt;&lt;related-urls&gt;&lt;url&gt;https://www.ncbi.nlm.nih.gov/pubmed/27213887&lt;/url&gt;&lt;/related-urls&gt;&lt;/urls&gt;&lt;isbn&gt;2376-6980&lt;/isbn&gt;&lt;titles&gt;&lt;title&gt;Why Did Hospital Ethics Committees Emerge in the US?&lt;/title&gt;&lt;secondary-title&gt;AMA J Ethics&lt;/secondary-title&gt;&lt;/titles&gt;&lt;pages&gt;546-53&lt;/pages&gt;&lt;number&gt;5&lt;/number&gt;&lt;contributors&gt;&lt;authors&gt;&lt;author&gt;Aulisio, M. P.&lt;/author&gt;&lt;/authors&gt;&lt;/contributors&gt;&lt;edition&gt;2016/05/01&lt;/edition&gt;&lt;language&gt;eng&lt;/language&gt;&lt;added-date format="utc"&gt;1514268455&lt;/added-date&gt;&lt;ref-type name="Journal Article"&gt;17&lt;/ref-type&gt;&lt;rec-number&gt;59004&lt;/rec-number&gt;&lt;last-updated-date format="utc"&gt;1514268455&lt;/last-updated-date&gt;&lt;accession-num&gt;27213887&lt;/accession-num&gt;&lt;electronic-resource-num&gt;10.1001/journalofethics.2016.18.5.mhst1-1605&lt;/electronic-resource-num&gt;&lt;volume&gt;18&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(12)</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IEC members are occasionally called upon by colleagues or hospital leadership to step outside their prescribed research oversight role to provide clinical ethics advice on an </w:t>
      </w:r>
      <w:r w:rsidRPr="008B3261">
        <w:rPr>
          <w:rFonts w:ascii="Times New Roman" w:hAnsi="Times New Roman" w:cs="Times New Roman"/>
          <w:i/>
          <w:sz w:val="24"/>
          <w:szCs w:val="24"/>
        </w:rPr>
        <w:t>ad hoc</w:t>
      </w:r>
      <w:r w:rsidRPr="008B3261">
        <w:rPr>
          <w:rFonts w:ascii="Times New Roman" w:hAnsi="Times New Roman" w:cs="Times New Roman"/>
          <w:sz w:val="24"/>
          <w:szCs w:val="24"/>
        </w:rPr>
        <w:t xml:space="preserve"> basis. Therefore, inspired by Mark Siegler’s influential study of confidentiality and of how many individuals had access to a patient’s hospital record during a typical hospital stay in the United States </w:t>
      </w:r>
      <w:r w:rsidR="0043665D" w:rsidRPr="008B3261">
        <w:rPr>
          <w:rFonts w:ascii="Times New Roman" w:hAnsi="Times New Roman" w:cs="Times New Roman"/>
          <w:sz w:val="24"/>
          <w:szCs w:val="24"/>
        </w:rPr>
        <w:fldChar w:fldCharType="begin">
          <w:fldData xml:space="preserve">PEVuZE5vdGU+PENpdGU+PEF1dGhvcj5TdWJyYW1hbnlhPC9BdXRob3I+PFllYXI+MjAwOTwvWWVh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</w:fldData>
        </w:fldChar>
      </w:r>
      <w:r w:rsidRPr="008B3261">
        <w:rPr>
          <w:rFonts w:ascii="Times New Roman" w:hAnsi="Times New Roman" w:cs="Times New Roman"/>
          <w:sz w:val="24"/>
          <w:szCs w:val="24"/>
        </w:rPr>
        <w:instrText xml:space="preserve"> ADDIN EN.CITE </w:instrText>
      </w:r>
      <w:r w:rsidR="0043665D" w:rsidRPr="008B3261">
        <w:rPr>
          <w:rFonts w:ascii="Times New Roman" w:hAnsi="Times New Roman" w:cs="Times New Roman"/>
          <w:sz w:val="24"/>
          <w:szCs w:val="24"/>
        </w:rPr>
        <w:fldChar w:fldCharType="begin">
          <w:fldData xml:space="preserve">PEVuZE5vdGU+PENpdGU+PEF1dGhvcj5TdWJyYW1hbnlhPC9BdXRob3I+PFllYXI+MjAwOTwvWWVh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</w:fldData>
        </w:fldChar>
      </w:r>
      <w:r w:rsidRPr="008B3261">
        <w:rPr>
          <w:rFonts w:ascii="Times New Roman" w:hAnsi="Times New Roman" w:cs="Times New Roman"/>
          <w:sz w:val="24"/>
          <w:szCs w:val="24"/>
        </w:rPr>
        <w:instrText xml:space="preserve"> ADDIN EN.CITE.DATA </w:instrText>
      </w:r>
      <w:r w:rsidR="0043665D" w:rsidRPr="008B3261">
        <w:rPr>
          <w:rFonts w:ascii="Times New Roman" w:hAnsi="Times New Roman" w:cs="Times New Roman"/>
          <w:sz w:val="24"/>
          <w:szCs w:val="24"/>
        </w:rPr>
      </w:r>
      <w:r w:rsidR="0043665D" w:rsidRPr="008B3261">
        <w:rPr>
          <w:rFonts w:ascii="Times New Roman" w:hAnsi="Times New Roman" w:cs="Times New Roman"/>
          <w:sz w:val="24"/>
          <w:szCs w:val="24"/>
        </w:rPr>
        <w:fldChar w:fldCharType="end"/>
      </w:r>
      <w:r w:rsidR="0043665D" w:rsidRPr="008B3261">
        <w:rPr>
          <w:rFonts w:ascii="Times New Roman" w:hAnsi="Times New Roman" w:cs="Times New Roman"/>
          <w:sz w:val="24"/>
          <w:szCs w:val="24"/>
        </w:rPr>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(13, 14)</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we asked IEC members: “During a routine hospital visit, how many people have access to a patient’s record or health information?” </w:t>
      </w:r>
    </w:p>
    <w:p w14:paraId="3573DB7C" w14:textId="77777777" w:rsidR="008B3261" w:rsidRPr="008B3261" w:rsidRDefault="008B3261" w:rsidP="00D73C86">
      <w:pPr>
        <w:ind w:firstLine="720"/>
        <w:jc w:val="both"/>
        <w:rPr>
          <w:rFonts w:ascii="Times New Roman" w:hAnsi="Times New Roman" w:cs="Times New Roman"/>
          <w:iCs/>
          <w:sz w:val="24"/>
          <w:szCs w:val="24"/>
        </w:rPr>
      </w:pPr>
      <w:r w:rsidRPr="008B3261">
        <w:rPr>
          <w:rFonts w:ascii="Times New Roman" w:hAnsi="Times New Roman" w:cs="Times New Roman"/>
          <w:sz w:val="24"/>
          <w:szCs w:val="24"/>
        </w:rPr>
        <w:t>Echoing findings in Siegler’s early study, one respondent emphasized that while a large number of people have access to a patient’s private information, that access must be based on its contribution to the patient’s benefit: “</w:t>
      </w:r>
      <w:r w:rsidRPr="008B3261">
        <w:rPr>
          <w:rFonts w:ascii="Times New Roman" w:hAnsi="Times New Roman" w:cs="Times New Roman"/>
          <w:iCs/>
          <w:sz w:val="24"/>
          <w:szCs w:val="24"/>
        </w:rPr>
        <w:t>At present, anyone can go and have it. The records are … supposed to be with the nurses, and it is the nurses’ discretion with whom to share it … and it is by and large accessible to other doctors because there are lots of doctors looking after the same patient … and there are cross referrals that are being made for the patient.  … it would become very difficult to treat the patient if the records are not accessible.  But I think primarily it is accessible to the medical fraternity.  Others who may be perhaps not directly involved with it [perhaps not], but it is accessed easily by the people who are directly involved</w:t>
      </w:r>
      <w:r w:rsidRPr="008B3261">
        <w:rPr>
          <w:rFonts w:ascii="Times New Roman" w:hAnsi="Times New Roman" w:cs="Times New Roman"/>
          <w:sz w:val="24"/>
          <w:szCs w:val="24"/>
        </w:rPr>
        <w:t xml:space="preserve">.  … </w:t>
      </w:r>
      <w:r w:rsidRPr="008B3261">
        <w:rPr>
          <w:rFonts w:ascii="Times New Roman" w:hAnsi="Times New Roman" w:cs="Times New Roman"/>
          <w:iCs/>
          <w:sz w:val="24"/>
          <w:szCs w:val="24"/>
        </w:rPr>
        <w:t xml:space="preserve">It depends on why the person is looking it and what are his intentions.” </w:t>
      </w:r>
    </w:p>
    <w:p w14:paraId="38B7F8F1"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iCs/>
          <w:sz w:val="24"/>
          <w:szCs w:val="24"/>
        </w:rPr>
        <w:tab/>
        <w:t xml:space="preserve">Demonstrating that </w:t>
      </w:r>
      <w:r w:rsidRPr="008B3261">
        <w:rPr>
          <w:rFonts w:ascii="Times New Roman" w:hAnsi="Times New Roman" w:cs="Times New Roman"/>
          <w:sz w:val="24"/>
          <w:szCs w:val="24"/>
        </w:rPr>
        <w:t>both the requisite motive of benefitting the patient and the authority of the patient’s physician to determine that benefit constrain access to patients’ confidential records, a</w:t>
      </w:r>
      <w:r w:rsidRPr="008B3261">
        <w:rPr>
          <w:rFonts w:ascii="Times New Roman" w:hAnsi="Times New Roman" w:cs="Times New Roman"/>
          <w:iCs/>
          <w:sz w:val="24"/>
          <w:szCs w:val="24"/>
        </w:rPr>
        <w:t>nother respondent referred to the proceedings of her own IEC and its access to patient records: “Minutes are … kept … confidential. We have a medical record section. If we want to have a file then we will have to give it [a request] in writing. I cannot just access anybody’s file except my own patients and even if we want to have another’s file then we will have to take permission from them even as a senior doctor in this hospital</w:t>
      </w:r>
      <w:r w:rsidRPr="008B3261">
        <w:rPr>
          <w:rFonts w:ascii="Times New Roman" w:hAnsi="Times New Roman" w:cs="Times New Roman"/>
          <w:sz w:val="24"/>
          <w:szCs w:val="24"/>
        </w:rPr>
        <w:t xml:space="preserve">.” </w:t>
      </w:r>
    </w:p>
    <w:p w14:paraId="04D607AD" w14:textId="77777777"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IEC members discussed methods for protecting the security of health information of both patients and research participants. The interviewee who articulated most clearly a monitoring role for the IEC also referred to ensuring that information is stored in a locked fashion as the key means to protect private information from being publicized. </w:t>
      </w:r>
    </w:p>
    <w:p w14:paraId="21F12E53"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lastRenderedPageBreak/>
        <w:tab/>
        <w:t xml:space="preserve">Others expressed the need for higher technology ways of protecting privacy of stored information: “Information that is keyed in is not available to any unauthorized person that is one thing.  Secondly they should see that there is [an] adequate security setup built in the database, so access becomes limited. It [adequate security] has yet to happen in India but surely there is a need to do that primarily because more and more information is getting into computer systems.  Especially in computers that are networked, it should be made sure that it cannot be accessed by anybody else outside the system. There are so many ways of ensuring this, like password protection at each level, and read or write authorization to make sure that privacy is maintained.  It is possible but we have to put it in a larger way in our country.”  </w:t>
      </w:r>
    </w:p>
    <w:p w14:paraId="3C8ADBA7" w14:textId="77777777"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IEC members also referred to security measures taken by investigators: “Some of them keep it as simple as … lock and key kind of security. Some of them have it in their computers with proper passwords, well coded, or some of them may go even into higher levels of security, … We have not had one case up to now which has said that there has been a breach in the information that has been collected.” Although assignment and use of codes may be considered preferable, another IEC member described and approved of both investigators and IEC members referring to patients and participants by initials or medical record numbers, rather than full names. </w:t>
      </w:r>
    </w:p>
    <w:p w14:paraId="361963AB" w14:textId="77777777" w:rsidR="008B3261" w:rsidRPr="008B3261" w:rsidRDefault="008B3261" w:rsidP="00D73C86">
      <w:pPr>
        <w:jc w:val="both"/>
        <w:rPr>
          <w:rFonts w:ascii="Times New Roman" w:hAnsi="Times New Roman" w:cs="Times New Roman"/>
          <w:sz w:val="24"/>
          <w:szCs w:val="24"/>
        </w:rPr>
      </w:pPr>
    </w:p>
    <w:p w14:paraId="07117456"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Juridical risks to privacy of patients and research participants</w:t>
      </w:r>
    </w:p>
    <w:p w14:paraId="43A8B938"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sz w:val="24"/>
          <w:szCs w:val="24"/>
        </w:rPr>
        <w:tab/>
        <w:t xml:space="preserve">IEC members demonstrated varied levels of appreciation for the risks to patient and participant privacy presented by India’s </w:t>
      </w:r>
      <w:r w:rsidRPr="008B3261">
        <w:rPr>
          <w:rFonts w:ascii="Times New Roman" w:hAnsi="Times New Roman" w:cs="Times New Roman"/>
          <w:i/>
          <w:iCs/>
          <w:sz w:val="24"/>
          <w:szCs w:val="24"/>
        </w:rPr>
        <w:t>Right to Information Act 2005</w:t>
      </w:r>
      <w:r w:rsidRPr="008B3261">
        <w:rPr>
          <w:rFonts w:ascii="Times New Roman" w:hAnsi="Times New Roman" w:cs="Times New Roman"/>
          <w:iCs/>
          <w:sz w:val="24"/>
          <w:szCs w:val="24"/>
        </w:rPr>
        <w:t xml:space="preserve"> and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(1995)</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 16)&lt;/DisplayText&gt;&lt;record&gt;&lt;urls&gt;&lt;related-urls&gt;&lt;url&gt;http://socialjustice.nic.in/pwdact1995.php&lt;/url&gt;&lt;/related-urls&gt;&lt;/urls&gt;&lt;titles&gt;&lt;title&gt;The&amp;#xA;Persons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India&lt;/author&gt;&lt;/secondary-authors&gt;&lt;/contributors&gt;&lt;/record&gt;&lt;/Cite&gt;&lt;Cite&gt;&lt;Year&gt;2005&lt;/Year&gt;&lt;IDText&gt;Right to Information Act&lt;/IDText&gt;&lt;record&gt;&lt;titles&gt;&lt;title&gt;Right to Information Act&lt;/title&gt;&lt;secondary-title&gt;The Gazette of India, Part II, Section 1&lt;/secondary-title&gt;&lt;/titles&gt;&lt;added-date format="utc"&gt;1514267961&lt;/added-date&gt;&lt;pub-location&gt;India&lt;/pub-location&gt;&lt;ref-type name="Statute"&gt;31&lt;/ref-type&gt;&lt;dates&gt;&lt;year&gt;2005&lt;/year&gt;&lt;/dates&gt;&lt;rec-number&gt;59003&lt;/rec-number&gt;&lt;publisher&gt;The Gazette of India, Part II, Section 1&lt;/publisher&gt;&lt;last-updated-date format="utc"&gt;1514268039&lt;/last-updated-date&gt;&lt;/record&gt;&lt;/Cite&gt;&lt;/EndNote&gt;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(15, 16)</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In the case of the former, it is misunderstanding of the Act’s provisions that risks breaches of patient privacy. In contrast, the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does require those seeking its benefits to compromise their privacy.</w:t>
      </w:r>
    </w:p>
    <w:p w14:paraId="3AD6791A" w14:textId="77777777" w:rsidR="008B3261" w:rsidRPr="008B3261" w:rsidRDefault="008B3261" w:rsidP="00D73C86">
      <w:pPr>
        <w:ind w:firstLine="360"/>
        <w:jc w:val="both"/>
        <w:rPr>
          <w:rFonts w:ascii="Times New Roman" w:hAnsi="Times New Roman" w:cs="Times New Roman"/>
          <w:sz w:val="24"/>
          <w:szCs w:val="24"/>
        </w:rPr>
      </w:pPr>
      <w:r w:rsidRPr="008B3261">
        <w:rPr>
          <w:rFonts w:ascii="Times New Roman" w:hAnsi="Times New Roman" w:cs="Times New Roman"/>
          <w:sz w:val="24"/>
          <w:szCs w:val="24"/>
        </w:rPr>
        <w:t xml:space="preserve">The </w:t>
      </w:r>
      <w:r w:rsidRPr="008B3261">
        <w:rPr>
          <w:rFonts w:ascii="Times New Roman" w:hAnsi="Times New Roman" w:cs="Times New Roman"/>
          <w:i/>
          <w:sz w:val="24"/>
          <w:szCs w:val="24"/>
        </w:rPr>
        <w:t>Right to Information (RTI) Act 2005</w:t>
      </w:r>
      <w:r w:rsidRPr="008B3261">
        <w:rPr>
          <w:rFonts w:ascii="Times New Roman" w:hAnsi="Times New Roman" w:cs="Times New Roman"/>
          <w:sz w:val="24"/>
          <w:szCs w:val="24"/>
        </w:rPr>
        <w:t xml:space="preserve"> provides citizens the right to access information under the control of public authorities in order to promote transparency in government, counter corruption, and make government more accountable (</w:t>
      </w:r>
      <w:r w:rsidRPr="008B3261">
        <w:rPr>
          <w:rFonts w:ascii="Times New Roman" w:hAnsi="Times New Roman" w:cs="Times New Roman"/>
          <w:sz w:val="24"/>
          <w:szCs w:val="24"/>
          <w:lang w:bidi="hi-IN"/>
        </w:rPr>
        <w:t xml:space="preserve">Ministry of Law and Justice, 2005; </w:t>
      </w:r>
      <w:bookmarkStart w:id="10" w:name="_Hlk493189246"/>
      <w:r w:rsidRPr="008B3261">
        <w:rPr>
          <w:rFonts w:ascii="Times New Roman" w:hAnsi="Times New Roman" w:cs="Times New Roman"/>
          <w:sz w:val="24"/>
          <w:szCs w:val="24"/>
        </w:rPr>
        <w:t>Mishra et al, 2008</w:t>
      </w:r>
      <w:bookmarkEnd w:id="10"/>
      <w:r w:rsidRPr="008B3261">
        <w:rPr>
          <w:rFonts w:ascii="Times New Roman" w:hAnsi="Times New Roman" w:cs="Times New Roman"/>
          <w:sz w:val="24"/>
          <w:szCs w:val="24"/>
        </w:rPr>
        <w:t xml:space="preserve">). All but three of the IEC members interviewed incorrectly believed that India’s </w:t>
      </w:r>
      <w:r w:rsidRPr="008B3261">
        <w:rPr>
          <w:rFonts w:ascii="Times New Roman" w:hAnsi="Times New Roman" w:cs="Times New Roman"/>
          <w:i/>
          <w:sz w:val="24"/>
          <w:szCs w:val="24"/>
        </w:rPr>
        <w:t xml:space="preserve">RTI Act </w:t>
      </w:r>
      <w:r w:rsidRPr="008B3261">
        <w:rPr>
          <w:rFonts w:ascii="Times New Roman" w:hAnsi="Times New Roman" w:cs="Times New Roman"/>
          <w:sz w:val="24"/>
          <w:szCs w:val="24"/>
        </w:rPr>
        <w:t xml:space="preserve">requires and allows disclosure of an individual’s health information to a third party who invokes the </w:t>
      </w:r>
      <w:r w:rsidRPr="008B3261">
        <w:rPr>
          <w:rFonts w:ascii="Times New Roman" w:hAnsi="Times New Roman" w:cs="Times New Roman"/>
          <w:i/>
          <w:sz w:val="24"/>
          <w:szCs w:val="24"/>
        </w:rPr>
        <w:t>Act</w:t>
      </w:r>
      <w:r w:rsidRPr="008B3261">
        <w:rPr>
          <w:rFonts w:ascii="Times New Roman" w:hAnsi="Times New Roman" w:cs="Times New Roman"/>
          <w:sz w:val="24"/>
          <w:szCs w:val="24"/>
        </w:rPr>
        <w:t xml:space="preserve"> to request it. Three correctly realized that the </w:t>
      </w:r>
      <w:r w:rsidRPr="008B3261">
        <w:rPr>
          <w:rFonts w:ascii="Times New Roman" w:hAnsi="Times New Roman" w:cs="Times New Roman"/>
          <w:i/>
          <w:sz w:val="24"/>
          <w:szCs w:val="24"/>
        </w:rPr>
        <w:t>RTI Act</w:t>
      </w:r>
      <w:r w:rsidRPr="008B3261">
        <w:rPr>
          <w:rFonts w:ascii="Times New Roman" w:hAnsi="Times New Roman" w:cs="Times New Roman"/>
          <w:sz w:val="24"/>
          <w:szCs w:val="24"/>
        </w:rPr>
        <w:t xml:space="preserve"> does not require or permit disclosure of health information, though such information can be subpoenaed by a court or disclosure can be required in the interests of protecting public health. One commented that the </w:t>
      </w:r>
      <w:r w:rsidRPr="008B3261">
        <w:rPr>
          <w:rFonts w:ascii="Times New Roman" w:hAnsi="Times New Roman" w:cs="Times New Roman"/>
          <w:i/>
          <w:sz w:val="24"/>
          <w:szCs w:val="24"/>
        </w:rPr>
        <w:t>Act</w:t>
      </w:r>
      <w:r w:rsidRPr="008B3261">
        <w:rPr>
          <w:rFonts w:ascii="Times New Roman" w:hAnsi="Times New Roman" w:cs="Times New Roman"/>
          <w:sz w:val="24"/>
          <w:szCs w:val="24"/>
        </w:rPr>
        <w:t xml:space="preserve"> was the topic of many educational workshops which clarified that under the </w:t>
      </w:r>
      <w:r w:rsidRPr="008B3261">
        <w:rPr>
          <w:rFonts w:ascii="Times New Roman" w:hAnsi="Times New Roman" w:cs="Times New Roman"/>
          <w:i/>
          <w:sz w:val="24"/>
          <w:szCs w:val="24"/>
        </w:rPr>
        <w:t xml:space="preserve">RTI Act </w:t>
      </w:r>
      <w:r w:rsidRPr="008B3261">
        <w:rPr>
          <w:rFonts w:ascii="Times New Roman" w:hAnsi="Times New Roman" w:cs="Times New Roman"/>
          <w:sz w:val="24"/>
          <w:szCs w:val="24"/>
        </w:rPr>
        <w:t xml:space="preserve">otherwise private information may be disclosed, but only in cases where the larger public interest warrants it as verified by an appropriate legal authority. Another commented that sometimes employers will seek mental health information about employees, and that this can only be disclosed with the explicit consent of the </w:t>
      </w:r>
      <w:r w:rsidR="004155A7" w:rsidRPr="008B3261">
        <w:rPr>
          <w:rFonts w:ascii="Times New Roman" w:hAnsi="Times New Roman" w:cs="Times New Roman"/>
          <w:sz w:val="24"/>
          <w:szCs w:val="24"/>
        </w:rPr>
        <w:t>employee.</w:t>
      </w:r>
    </w:p>
    <w:p w14:paraId="50F0B987" w14:textId="77777777" w:rsidR="008B3261" w:rsidRPr="008B3261" w:rsidRDefault="008B3261" w:rsidP="00D73C86">
      <w:pPr>
        <w:ind w:firstLine="360"/>
        <w:jc w:val="both"/>
        <w:rPr>
          <w:rFonts w:ascii="Times New Roman" w:hAnsi="Times New Roman" w:cs="Times New Roman"/>
          <w:iCs/>
          <w:sz w:val="24"/>
          <w:szCs w:val="24"/>
        </w:rPr>
      </w:pPr>
      <w:r w:rsidRPr="008B3261">
        <w:rPr>
          <w:rFonts w:ascii="Times New Roman" w:hAnsi="Times New Roman" w:cs="Times New Roman"/>
          <w:sz w:val="24"/>
          <w:szCs w:val="24"/>
        </w:rPr>
        <w:tab/>
        <w:t xml:space="preserve">Interestingly, because transparency has been such an important goal in Indian public life partly to combat corruption, our questions about the confidentiality of a patient’s health information sometimes prompted responses asserting a patient’s right to know his/her own health information, the idea that such information should not be kept confidential </w:t>
      </w:r>
      <w:r w:rsidRPr="008B3261">
        <w:rPr>
          <w:rFonts w:ascii="Times New Roman" w:hAnsi="Times New Roman" w:cs="Times New Roman"/>
          <w:i/>
          <w:sz w:val="24"/>
          <w:szCs w:val="24"/>
        </w:rPr>
        <w:t xml:space="preserve">from </w:t>
      </w:r>
      <w:r w:rsidRPr="008B3261">
        <w:rPr>
          <w:rFonts w:ascii="Times New Roman" w:hAnsi="Times New Roman" w:cs="Times New Roman"/>
          <w:sz w:val="24"/>
          <w:szCs w:val="24"/>
        </w:rPr>
        <w:t xml:space="preserve">the patient. This suggests a confusion on the part of some IEC members regarding patients’ rights to privacy and confidentiality and their right to know their personal health information </w:t>
      </w:r>
      <w:r w:rsidRPr="008B3261">
        <w:rPr>
          <w:rFonts w:ascii="Times New Roman" w:hAnsi="Times New Roman" w:cs="Times New Roman"/>
          <w:sz w:val="24"/>
          <w:szCs w:val="24"/>
        </w:rPr>
        <w:lastRenderedPageBreak/>
        <w:t>including prognosis and test results. In contrast, the chairperson of one IEC, a physician, expressed “confidence” in “two points,” clearly distinguishing the two rights: first, “</w:t>
      </w:r>
      <w:r w:rsidRPr="008B3261">
        <w:rPr>
          <w:rFonts w:ascii="Times New Roman" w:hAnsi="Times New Roman" w:cs="Times New Roman"/>
          <w:iCs/>
          <w:sz w:val="24"/>
          <w:szCs w:val="24"/>
        </w:rPr>
        <w:t xml:space="preserve">the patient should have access to the files and there nothing could be kept confidential.” Second, “we [must] make sure that the files do not fall into the other people’s hands. … Otherwise, anybody will come and have that file … in this Indian set up, first of all, the habit of Indians giving bribe has not gone. Someone has bribed the ward boy and bribed the midwife to show the file of this bed number. And, the doctor will not be always there to see. … It is not common. I am saying that this is a possibility, and who will get blamed? Doctors.” Here the interviewee elaborated on the perceived climate of potential corruption that necessitates both privacy protections and the demand for transparency afforded by the </w:t>
      </w:r>
      <w:r w:rsidRPr="008B3261">
        <w:rPr>
          <w:rFonts w:ascii="Times New Roman" w:hAnsi="Times New Roman" w:cs="Times New Roman"/>
          <w:i/>
          <w:iCs/>
          <w:sz w:val="24"/>
          <w:szCs w:val="24"/>
        </w:rPr>
        <w:t>Right to Information Act</w:t>
      </w:r>
      <w:r w:rsidRPr="008B3261">
        <w:rPr>
          <w:rFonts w:ascii="Times New Roman" w:hAnsi="Times New Roman" w:cs="Times New Roman"/>
          <w:iCs/>
          <w:sz w:val="24"/>
          <w:szCs w:val="24"/>
        </w:rPr>
        <w:t>.</w:t>
      </w:r>
    </w:p>
    <w:p w14:paraId="3E0A5D24"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India’s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 xml:space="preserve">(1995) enables those of India’s roughly 70 million disabled persons who meet particular criteria to obtain some benefits in employment and some governmental services, transportation concessions, and tax rebates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Its implementation, however, requires that individuals seeking benefits obtain a disability certificate from a government healthcare provider and that the certificates themselves display a photograph, name, and address of the disabled individual, as well as the diagnosis, duration of illness, and degree of disability. To receive benefits, the individual must show the certificate to relevant officials in government offices, as well as the ticket counters and checkers at railway stations. Elsewhere we have analyzed problems with the Disability Certificate and argued for particular improvements that would better protect patient privacy </w:t>
      </w:r>
      <w:bookmarkStart w:id="11" w:name="_Hlk493189212"/>
      <w:r w:rsidRPr="008B3261">
        <w:rPr>
          <w:rFonts w:ascii="Times New Roman" w:hAnsi="Times New Roman" w:cs="Times New Roman"/>
          <w:sz w:val="24"/>
          <w:szCs w:val="24"/>
        </w:rPr>
        <w:t>.</w:t>
      </w:r>
      <w:bookmarkEnd w:id="11"/>
    </w:p>
    <w:p w14:paraId="2EA3F38A"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Although seven of the 19 IEC members were aware of India’s </w:t>
      </w:r>
      <w:r w:rsidRPr="008B3261">
        <w:rPr>
          <w:rFonts w:ascii="Times New Roman" w:hAnsi="Times New Roman" w:cs="Times New Roman"/>
          <w:i/>
          <w:sz w:val="24"/>
          <w:szCs w:val="24"/>
        </w:rPr>
        <w:t>Persons with Disabilities Act</w:t>
      </w:r>
      <w:r w:rsidRPr="008B3261">
        <w:rPr>
          <w:rFonts w:ascii="Times New Roman" w:hAnsi="Times New Roman" w:cs="Times New Roman"/>
          <w:sz w:val="24"/>
          <w:szCs w:val="24"/>
        </w:rPr>
        <w:t xml:space="preserve"> (1995)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only two immediately recognized that using a Disability Certificate can violate or limit a person’s privacy. One of them commented that, for instance, a patient with a mental disability would have to appear before a panel of doctors, his name would be known, and then he would have to carry a certificate listing the nature of his disability. In contrast, another who worked with neurologically disabled individuals initially failed to see a risk to privacy: </w:t>
      </w:r>
      <w:r w:rsidRPr="008B3261">
        <w:rPr>
          <w:rFonts w:ascii="Times New Roman" w:hAnsi="Times New Roman" w:cs="Times New Roman"/>
          <w:iCs/>
          <w:sz w:val="24"/>
          <w:szCs w:val="24"/>
        </w:rPr>
        <w:t>“</w:t>
      </w:r>
      <w:r w:rsidRPr="008B3261">
        <w:rPr>
          <w:rFonts w:ascii="Times New Roman" w:hAnsi="Times New Roman" w:cs="Times New Roman"/>
          <w:i/>
          <w:iCs/>
          <w:sz w:val="24"/>
          <w:szCs w:val="24"/>
        </w:rPr>
        <w:t xml:space="preserve">I have not thought about it, but certainly yes now [that] we are raising this question … I have been involved with neurology disability certificates where we write diagnosis and we write the extent of disability. So [back then], at least, I had not thought about it.” </w:t>
      </w:r>
    </w:p>
    <w:p w14:paraId="62C2B738" w14:textId="77777777" w:rsidR="008B3261" w:rsidRPr="008B3261" w:rsidRDefault="008B3261" w:rsidP="00D73C86">
      <w:pPr>
        <w:spacing w:line="240" w:lineRule="auto"/>
        <w:jc w:val="both"/>
        <w:rPr>
          <w:rFonts w:ascii="Times New Roman" w:hAnsi="Times New Roman" w:cs="Times New Roman"/>
          <w:i/>
          <w:iCs/>
          <w:sz w:val="24"/>
          <w:szCs w:val="24"/>
        </w:rPr>
      </w:pPr>
      <w:r w:rsidRPr="008B3261">
        <w:rPr>
          <w:rFonts w:ascii="Times New Roman" w:hAnsi="Times New Roman" w:cs="Times New Roman"/>
          <w:sz w:val="24"/>
          <w:szCs w:val="24"/>
        </w:rPr>
        <w:tab/>
        <w:t xml:space="preserve">Focusing more often on physical disabilities (e.g., mobility or blindness), as is common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 most IEC members expressed a lack of concern about the impact of the Certificate on individuals’ privacy; for example, one member said: “</w:t>
      </w:r>
      <w:r w:rsidRPr="008B3261">
        <w:rPr>
          <w:rFonts w:ascii="Times New Roman" w:hAnsi="Times New Roman" w:cs="Times New Roman"/>
          <w:i/>
          <w:iCs/>
          <w:sz w:val="24"/>
          <w:szCs w:val="24"/>
        </w:rPr>
        <w:t>most of the times, this disability certificate is given to persons who are already having 60% to 80% disability so it is very apparent</w:t>
      </w:r>
      <w:r w:rsidRPr="008B3261">
        <w:rPr>
          <w:rFonts w:ascii="Times New Roman" w:hAnsi="Times New Roman" w:cs="Times New Roman"/>
          <w:sz w:val="24"/>
          <w:szCs w:val="24"/>
        </w:rPr>
        <w:t>. …</w:t>
      </w:r>
      <w:r w:rsidRPr="008B3261">
        <w:rPr>
          <w:rFonts w:ascii="Times New Roman" w:hAnsi="Times New Roman" w:cs="Times New Roman"/>
          <w:i/>
          <w:iCs/>
          <w:sz w:val="24"/>
          <w:szCs w:val="24"/>
        </w:rPr>
        <w:t xml:space="preserve"> To a medical person, most of the disabilities are very obvious, it may not be just at the first sight and even without the certificate we know about it.</w:t>
      </w:r>
      <w:r w:rsidRPr="008B3261">
        <w:rPr>
          <w:rFonts w:ascii="Times New Roman" w:hAnsi="Times New Roman" w:cs="Times New Roman"/>
          <w:sz w:val="24"/>
          <w:szCs w:val="24"/>
        </w:rPr>
        <w:t>” Upon questioning about non-obvious disabilities like mental illness, however, the member admitted “</w:t>
      </w:r>
      <w:r w:rsidRPr="008B3261">
        <w:rPr>
          <w:rFonts w:ascii="Times New Roman" w:hAnsi="Times New Roman" w:cs="Times New Roman"/>
          <w:i/>
          <w:sz w:val="24"/>
          <w:szCs w:val="24"/>
        </w:rPr>
        <w:t>t</w:t>
      </w:r>
      <w:r w:rsidRPr="008B3261">
        <w:rPr>
          <w:rFonts w:ascii="Times New Roman" w:hAnsi="Times New Roman" w:cs="Times New Roman"/>
          <w:i/>
          <w:iCs/>
          <w:sz w:val="24"/>
          <w:szCs w:val="24"/>
        </w:rPr>
        <w:t xml:space="preserve">here the confidentiality is much more needed.” </w:t>
      </w:r>
    </w:p>
    <w:p w14:paraId="62FBC120" w14:textId="77777777"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iCs/>
          <w:sz w:val="24"/>
          <w:szCs w:val="24"/>
        </w:rPr>
        <w:t>Further, although this IEC member recognized that nonmedical personnel do not have the same training regarding privacy protection as medical professionals, she downplayed the risk to privacy. “</w:t>
      </w:r>
      <w:r w:rsidRPr="008B3261">
        <w:rPr>
          <w:rFonts w:ascii="Times New Roman" w:hAnsi="Times New Roman" w:cs="Times New Roman"/>
          <w:i/>
          <w:iCs/>
          <w:sz w:val="24"/>
          <w:szCs w:val="24"/>
        </w:rPr>
        <w:t>We expect that in our profession, people are more thorough about their professionalism.”</w:t>
      </w:r>
      <w:r w:rsidRPr="008B3261">
        <w:rPr>
          <w:rFonts w:ascii="Times New Roman" w:hAnsi="Times New Roman" w:cs="Times New Roman"/>
          <w:iCs/>
          <w:sz w:val="24"/>
          <w:szCs w:val="24"/>
        </w:rPr>
        <w:t xml:space="preserve"> In contrast in transportation and other, those who see the Certificates do not have a fiduciary relationship with the Certificate holder; instead the relationship is one of gate-keeping power.   “[Patients]</w:t>
      </w:r>
      <w:r w:rsidRPr="008B3261">
        <w:rPr>
          <w:rFonts w:ascii="Times New Roman" w:hAnsi="Times New Roman" w:cs="Times New Roman"/>
          <w:i/>
          <w:iCs/>
          <w:sz w:val="24"/>
          <w:szCs w:val="24"/>
        </w:rPr>
        <w:t xml:space="preserve"> are showing the disability certificate to the persons who are </w:t>
      </w:r>
      <w:r w:rsidRPr="008B3261">
        <w:rPr>
          <w:rFonts w:ascii="Times New Roman" w:hAnsi="Times New Roman" w:cs="Times New Roman"/>
          <w:i/>
          <w:iCs/>
          <w:sz w:val="24"/>
          <w:szCs w:val="24"/>
        </w:rPr>
        <w:lastRenderedPageBreak/>
        <w:t xml:space="preserve">giving them some benefit, and those persons at those posts know about the role of confidentiality, most of the people.  But sometimes … there may be some manipulations, some power politics to cause a leakage as some opposite party wanted to know the weakness [the disability], so there may be issues, but it is very rare and not so common.” </w:t>
      </w:r>
      <w:r w:rsidRPr="008B3261">
        <w:rPr>
          <w:rFonts w:ascii="Times New Roman" w:hAnsi="Times New Roman" w:cs="Times New Roman"/>
          <w:iCs/>
          <w:sz w:val="24"/>
          <w:szCs w:val="24"/>
        </w:rPr>
        <w:t xml:space="preserve">Some IEC/IRB expressed </w:t>
      </w:r>
      <w:r w:rsidRPr="008B3261">
        <w:rPr>
          <w:rFonts w:ascii="Times New Roman" w:hAnsi="Times New Roman" w:cs="Times New Roman"/>
          <w:sz w:val="24"/>
          <w:szCs w:val="24"/>
        </w:rPr>
        <w:t>that disabled individuals willingly accepted this trade-off between privacy invasion and material benefit of the Certificate’s use. One member commented: “</w:t>
      </w:r>
      <w:r w:rsidRPr="008B3261">
        <w:rPr>
          <w:rFonts w:ascii="Times New Roman" w:hAnsi="Times New Roman" w:cs="Times New Roman"/>
          <w:i/>
          <w:sz w:val="24"/>
          <w:szCs w:val="24"/>
        </w:rPr>
        <w:t>they are getting some advantages because of this certificate, so that is why they are disclosing</w:t>
      </w:r>
      <w:r w:rsidRPr="008B3261">
        <w:rPr>
          <w:rFonts w:ascii="Times New Roman" w:hAnsi="Times New Roman" w:cs="Times New Roman"/>
          <w:sz w:val="24"/>
          <w:szCs w:val="24"/>
        </w:rPr>
        <w:t>” the health information it contains when they use it. Another said, “</w:t>
      </w:r>
      <w:r w:rsidRPr="008B3261">
        <w:rPr>
          <w:rFonts w:ascii="Times New Roman" w:hAnsi="Times New Roman" w:cs="Times New Roman"/>
          <w:i/>
          <w:iCs/>
          <w:sz w:val="24"/>
          <w:szCs w:val="24"/>
        </w:rPr>
        <w:t>I think [the patient] is not really bothered about the privacy aspect because the certificate leads to some benefit … If they are going to use that somewhere, obviously it is not going to be confidential.  If it says it is 60% or more of disability, which gets them much more benefits than a person who has 20% to 30% disability but he is voluntarily coming out of the no confidentiality clause I guess because he is putting it in black and white that he is disabled</w:t>
      </w:r>
      <w:r w:rsidRPr="008B3261">
        <w:rPr>
          <w:rFonts w:ascii="Times New Roman" w:hAnsi="Times New Roman" w:cs="Times New Roman"/>
          <w:sz w:val="24"/>
          <w:szCs w:val="24"/>
        </w:rPr>
        <w:t>.”</w:t>
      </w:r>
    </w:p>
    <w:p w14:paraId="6F2CC409" w14:textId="77777777" w:rsidR="008B3261" w:rsidRPr="008B3261" w:rsidRDefault="008B3261" w:rsidP="00D73C86">
      <w:pPr>
        <w:ind w:firstLine="720"/>
        <w:jc w:val="both"/>
        <w:rPr>
          <w:rFonts w:ascii="Times New Roman" w:hAnsi="Times New Roman" w:cs="Times New Roman"/>
          <w:iCs/>
          <w:sz w:val="24"/>
          <w:szCs w:val="24"/>
        </w:rPr>
      </w:pPr>
      <w:r w:rsidRPr="008B3261">
        <w:rPr>
          <w:rFonts w:ascii="Times New Roman" w:hAnsi="Times New Roman" w:cs="Times New Roman"/>
          <w:sz w:val="24"/>
          <w:szCs w:val="24"/>
        </w:rPr>
        <w:t>These members did not focus on how truly willingly the patient sacrificed his privacy, saying for example, “</w:t>
      </w:r>
      <w:r w:rsidRPr="008B3261">
        <w:rPr>
          <w:rFonts w:ascii="Times New Roman" w:hAnsi="Times New Roman" w:cs="Times New Roman"/>
          <w:i/>
          <w:iCs/>
          <w:sz w:val="24"/>
          <w:szCs w:val="24"/>
        </w:rPr>
        <w:t xml:space="preserve">No, I think if the patient voluntarily says that he is say 60% disabled to get the benefits, why does he need a confidentiality clause? He is trying to prove that he is disabled. So I do not think when you are getting a certificate for a benefit, where does the confidentiality stand.  I do not think the question comes in at all at that time.”  </w:t>
      </w:r>
      <w:r w:rsidRPr="008B3261">
        <w:rPr>
          <w:rFonts w:ascii="Times New Roman" w:hAnsi="Times New Roman" w:cs="Times New Roman"/>
          <w:sz w:val="24"/>
          <w:szCs w:val="24"/>
        </w:rPr>
        <w:t>Another member explained that it was precisely because seeking the Certificate is initiated by the patient that its privacy implications were of less importance: “</w:t>
      </w:r>
      <w:r w:rsidRPr="008B3261">
        <w:rPr>
          <w:rFonts w:ascii="Times New Roman" w:hAnsi="Times New Roman" w:cs="Times New Roman"/>
          <w:i/>
          <w:iCs/>
          <w:sz w:val="24"/>
          <w:szCs w:val="24"/>
        </w:rPr>
        <w:t xml:space="preserve">I think here the benefit to the people is overriding. Here the patient is walking to the hospital and asking for a disability certificate. … where people are poor … if government provides some facility to them, personally, I feel that is the overriding factor here.” </w:t>
      </w:r>
      <w:r w:rsidRPr="008B3261">
        <w:rPr>
          <w:rFonts w:ascii="Times New Roman" w:hAnsi="Times New Roman" w:cs="Times New Roman"/>
          <w:iCs/>
          <w:sz w:val="24"/>
          <w:szCs w:val="24"/>
        </w:rPr>
        <w:t xml:space="preserve">It is perhaps disturbing that IEC members, who are charged with ensuring that informed, </w:t>
      </w:r>
      <w:r w:rsidRPr="008B3261">
        <w:rPr>
          <w:rFonts w:ascii="Times New Roman" w:hAnsi="Times New Roman" w:cs="Times New Roman"/>
          <w:i/>
          <w:iCs/>
          <w:sz w:val="24"/>
          <w:szCs w:val="24"/>
        </w:rPr>
        <w:t>voluntary</w:t>
      </w:r>
      <w:r w:rsidRPr="008B3261">
        <w:rPr>
          <w:rFonts w:ascii="Times New Roman" w:hAnsi="Times New Roman" w:cs="Times New Roman"/>
          <w:iCs/>
          <w:sz w:val="24"/>
          <w:szCs w:val="24"/>
        </w:rPr>
        <w:t xml:space="preserve"> consent is obtained from research participants, are not more deeply reflective about the conditions required for true voluntary decisions.</w:t>
      </w:r>
    </w:p>
    <w:p w14:paraId="23697E30" w14:textId="77777777" w:rsidR="008B3261" w:rsidRPr="008B3261" w:rsidRDefault="008B3261" w:rsidP="00D73C86">
      <w:pPr>
        <w:jc w:val="both"/>
        <w:rPr>
          <w:rFonts w:ascii="Times New Roman" w:hAnsi="Times New Roman" w:cs="Times New Roman"/>
          <w:iCs/>
          <w:sz w:val="24"/>
          <w:szCs w:val="24"/>
        </w:rPr>
      </w:pPr>
      <w:r w:rsidRPr="008B3261">
        <w:rPr>
          <w:rFonts w:ascii="Times New Roman" w:hAnsi="Times New Roman" w:cs="Times New Roman"/>
          <w:iCs/>
          <w:sz w:val="24"/>
          <w:szCs w:val="24"/>
        </w:rPr>
        <w:tab/>
        <w:t xml:space="preserve">Further, most of those interviewed were not particularly insightful about ways to address the violations of privacy required by use of the Disability Certificate. However, when asked whether there was some modification of the Certificate that would protect privacy while still affording benefit, one committee member suggested use of a smart card: </w:t>
      </w:r>
      <w:r w:rsidRPr="008B3261">
        <w:rPr>
          <w:rFonts w:ascii="Times New Roman" w:hAnsi="Times New Roman" w:cs="Times New Roman"/>
          <w:i/>
          <w:iCs/>
          <w:sz w:val="24"/>
          <w:szCs w:val="24"/>
        </w:rPr>
        <w:t>“Hav[ing] a smart card that means you have all the data there in the chart, but [only] some data is accessible to some people. All the data is not accessible to everybody. So we have firewalls. You work in silos; the same smart card works in all compartments. So everybody knows information on a need to know basis. If I am the railway clerk who is to give a railway ticket for the individual who has the disability, I really should not be concerned about what disability he has and to what extent the disability is. I should be concerned this … individual today is in front of me. This is his photograph. This is biometric mark and he has come for a claim which I need to want knows. What is his disability is not my concern.”</w:t>
      </w:r>
      <w:r w:rsidRPr="008B3261">
        <w:rPr>
          <w:rFonts w:ascii="Times New Roman" w:hAnsi="Times New Roman" w:cs="Times New Roman"/>
          <w:iCs/>
          <w:sz w:val="24"/>
          <w:szCs w:val="24"/>
        </w:rPr>
        <w:t xml:space="preserve">  Even if such technological fixes as a smartcard are currently only at planning stages , the underlying rationale expressed by this interviewee could be implemented in a lower tech manner. Disclosure of diagnosis could be required by the </w:t>
      </w:r>
      <w:r w:rsidRPr="008B3261">
        <w:rPr>
          <w:rFonts w:ascii="Times New Roman" w:hAnsi="Times New Roman" w:cs="Times New Roman"/>
          <w:i/>
          <w:iCs/>
          <w:sz w:val="24"/>
          <w:szCs w:val="24"/>
        </w:rPr>
        <w:t>Act</w:t>
      </w:r>
      <w:r w:rsidRPr="008B3261">
        <w:rPr>
          <w:rFonts w:ascii="Times New Roman" w:hAnsi="Times New Roman" w:cs="Times New Roman"/>
          <w:iCs/>
          <w:sz w:val="24"/>
          <w:szCs w:val="24"/>
        </w:rPr>
        <w:t xml:space="preserve"> on a need-to-know basis. Only those certifying a person as disabled and thus entitled to a range of benefits would need to know the nature of the individual’s disability. Just as the handicapped signs that people in the United States are provided to place on their motor vehicles to entitle them to preferential parking access do not specify the nature of their disability, in India the Disability Certificate itself </w:t>
      </w:r>
      <w:r w:rsidRPr="008B3261">
        <w:rPr>
          <w:rFonts w:ascii="Times New Roman" w:hAnsi="Times New Roman" w:cs="Times New Roman"/>
          <w:iCs/>
          <w:sz w:val="24"/>
          <w:szCs w:val="24"/>
        </w:rPr>
        <w:lastRenderedPageBreak/>
        <w:t>need not display that information. (Drivers may have a handicapped sign in the US because conditions ranging from asthma to neurological or cardiac conditions to a leg injury can impair their ability to walk from car to destination.) It is perhaps unfortunate that the sole suggestion to revise the Disability Certificate was articulated in terms of relying on technology not widely available in India.</w:t>
      </w:r>
    </w:p>
    <w:p w14:paraId="211AC717" w14:textId="77777777" w:rsidR="008B3261" w:rsidRPr="008B3261" w:rsidRDefault="008B3261" w:rsidP="00D73C86">
      <w:pPr>
        <w:jc w:val="both"/>
        <w:rPr>
          <w:rFonts w:ascii="Times New Roman" w:hAnsi="Times New Roman" w:cs="Times New Roman"/>
          <w:iCs/>
          <w:sz w:val="24"/>
          <w:szCs w:val="24"/>
        </w:rPr>
      </w:pPr>
      <w:r w:rsidRPr="008B3261">
        <w:rPr>
          <w:rFonts w:ascii="Times New Roman" w:hAnsi="Times New Roman" w:cs="Times New Roman"/>
          <w:iCs/>
          <w:sz w:val="24"/>
          <w:szCs w:val="24"/>
        </w:rPr>
        <w:tab/>
        <w:t xml:space="preserve">Why should it be hoped that IEC members, charged with protection of the interests of research participants, would have knowledge of privacy-related problems associated with the Disability Certificate and insight into ways to address those problems? Admittedly such ethical concerns are beyond the purview of an IEC. Nevertheless, IEC members are typically viewed as their institutions’ ethics experts, are sometimes called upon to develop or interpret ethical policies not related to research, and most importantly, must have a nuanced understanding of concepts like voluntariness and privacy in order to interpret and apply ethical guidelines governing research, as per their mandate. Indeed, one IEC member commented that </w:t>
      </w:r>
      <w:r w:rsidRPr="008B3261">
        <w:rPr>
          <w:rFonts w:ascii="Times New Roman" w:hAnsi="Times New Roman" w:cs="Times New Roman"/>
          <w:i/>
          <w:iCs/>
          <w:sz w:val="24"/>
          <w:szCs w:val="24"/>
        </w:rPr>
        <w:t>“generally all across the board, in India privacy is not given sufficient thought,”</w:t>
      </w:r>
      <w:r w:rsidRPr="008B3261">
        <w:rPr>
          <w:rFonts w:ascii="Times New Roman" w:hAnsi="Times New Roman" w:cs="Times New Roman"/>
          <w:iCs/>
          <w:sz w:val="24"/>
          <w:szCs w:val="24"/>
        </w:rPr>
        <w:t xml:space="preserve"> and suggested that legislators “</w:t>
      </w:r>
      <w:r w:rsidRPr="008B3261">
        <w:rPr>
          <w:rFonts w:ascii="Times New Roman" w:hAnsi="Times New Roman" w:cs="Times New Roman"/>
          <w:i/>
          <w:iCs/>
          <w:sz w:val="24"/>
          <w:szCs w:val="24"/>
        </w:rPr>
        <w:t xml:space="preserve">should consult ethics experts and redraft the law </w:t>
      </w:r>
      <w:r w:rsidRPr="008B3261">
        <w:rPr>
          <w:rFonts w:ascii="Times New Roman" w:hAnsi="Times New Roman" w:cs="Times New Roman"/>
          <w:iCs/>
          <w:sz w:val="24"/>
          <w:szCs w:val="24"/>
        </w:rPr>
        <w:t>[regarding the Disability Certificate]</w:t>
      </w:r>
      <w:r w:rsidRPr="008B3261">
        <w:rPr>
          <w:rFonts w:ascii="Times New Roman" w:hAnsi="Times New Roman" w:cs="Times New Roman"/>
          <w:i/>
          <w:iCs/>
          <w:sz w:val="24"/>
          <w:szCs w:val="24"/>
        </w:rPr>
        <w:t xml:space="preserve"> … to protect the privacy and confidentiality of an individual</w:t>
      </w:r>
      <w:r w:rsidRPr="008B3261">
        <w:rPr>
          <w:rFonts w:ascii="Times New Roman" w:hAnsi="Times New Roman" w:cs="Times New Roman"/>
          <w:iCs/>
          <w:sz w:val="24"/>
          <w:szCs w:val="24"/>
        </w:rPr>
        <w:t>.” As perceived ethics experts, IEC members may indeed be called upon to suggest revisions or protections in this and other contexts.</w:t>
      </w:r>
    </w:p>
    <w:p w14:paraId="1B54740E" w14:textId="77777777" w:rsidR="008B3261" w:rsidRPr="008B3261" w:rsidRDefault="008B3261" w:rsidP="00D73C86">
      <w:pPr>
        <w:jc w:val="both"/>
        <w:rPr>
          <w:rFonts w:ascii="Times New Roman" w:hAnsi="Times New Roman" w:cs="Times New Roman"/>
          <w:sz w:val="24"/>
          <w:szCs w:val="24"/>
        </w:rPr>
      </w:pPr>
    </w:p>
    <w:p w14:paraId="11F5077E" w14:textId="77777777" w:rsidR="008B3261" w:rsidRPr="008B3261" w:rsidRDefault="008B3261" w:rsidP="00D73C86">
      <w:pPr>
        <w:jc w:val="both"/>
        <w:rPr>
          <w:rFonts w:ascii="Times New Roman" w:hAnsi="Times New Roman" w:cs="Times New Roman"/>
          <w:b/>
          <w:iCs/>
          <w:sz w:val="24"/>
          <w:szCs w:val="24"/>
        </w:rPr>
      </w:pPr>
      <w:r w:rsidRPr="008B3261">
        <w:rPr>
          <w:rFonts w:ascii="Times New Roman" w:hAnsi="Times New Roman" w:cs="Times New Roman"/>
          <w:b/>
          <w:iCs/>
          <w:sz w:val="24"/>
          <w:szCs w:val="24"/>
        </w:rPr>
        <w:t>CONCLUSION</w:t>
      </w:r>
    </w:p>
    <w:p w14:paraId="002D2E6A"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Given the  Supreme Court of India decision that recognizes a right of privacy to be a “guaranteed fundamental right”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&lt;EndNote&gt;&lt;Cite&gt;&lt;Author&gt;HT Correspondent&lt;/Author&gt;&lt;Year&gt;2017&lt;/Year&gt;&lt;IDText&gt;Full text of Supreme Court&amp;apos;s judgement on Right to Privacy&lt;/IDText&gt;&lt;DisplayText&gt;(5, 17)&lt;/DisplayText&gt;&lt;record&gt;&lt;titles&gt;&lt;title&gt;Full text of Supreme Court&amp;apos;s judgement on Right to Privacy&lt;/title&gt;&lt;secondary-title&gt;Hindustan Times&lt;/secondary-title&gt;&lt;/titles&gt;&lt;contributors&gt;&lt;authors&gt;&lt;author&gt;HT Correspondent,&lt;/author&gt;&lt;/authors&gt;&lt;/contributors&gt;&lt;added-date format="utc"&gt;1513841636&lt;/added-date&gt;&lt;pub-location&gt;New Delhi&lt;/pub-location&gt;&lt;ref-type name="Newspaper Article"&gt;23&lt;/ref-type&gt;&lt;dates&gt;&lt;year&gt;2017&lt;/year&gt;&lt;/dates&gt;&lt;rec-number&gt;59001&lt;/rec-number&gt;&lt;publisher&gt;K.K.Birla Group&amp;#xA; &lt;/publisher&gt;&lt;last-updated-date format="utc"&gt;1513841956&lt;/last-updated-date&gt;&lt;num-vols&gt;Daily&lt;/num-vols&gt;&lt;/record&gt;&lt;/Cite&gt;&lt;Cite&gt;&lt;Author&gt;Supreme Court&amp;apos;s judgement on Right to Privacy 2017&lt;/Author&gt;&lt;Year&gt;2017&lt;/Year&gt;&lt;IDText&gt;Supreme Court&amp;apos;s judgement on Right to Privacy&lt;/IDText&gt;&lt;record&gt;&lt;titles&gt;&lt;title&gt;Supreme Court&amp;apos;s judgement on Right to Privacy&lt;/title&gt;&lt;secondary-title&gt;Hindustan Times&lt;/secondary-title&gt;&lt;/titles&gt;&lt;contributors&gt;&lt;authors&gt;&lt;author&gt;Supreme Court&amp;apos;s judgement on Right to Privacy 2017,&lt;/author&gt;&lt;/authors&gt;&lt;/contributors&gt;&lt;added-date format="utc"&gt;1513841636&lt;/added-date&gt;&lt;pub-location&gt;New Delhi&lt;/pub-location&gt;&lt;ref-type name="Case"&gt;7&lt;/ref-type&gt;&lt;dates&gt;&lt;year&gt;2017&lt;/year&gt;&lt;/dates&gt;&lt;rec-number&gt;59001&lt;/rec-number&gt;&lt;publisher&gt;K.K.Birla Group&amp;#xA; &lt;/publisher&gt;&lt;last-updated-date format="utc"&gt;1513842667&lt;/last-updated-date&gt;&lt;num-vols&gt;Daily&lt;/num-vols&gt;&lt;/record&gt;&lt;/Cite&gt;&lt;/EndNote&gt;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(5, 17)</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and its recognition that privacy is not an absolute right, the need may be all the more for pressing for nuanced interpretation both regarding the spheres of life that should be protected as private and balancing the right of privacy against other rights. As public awareness and assertion of the right of privacy grows, it is likely that IEC members will be increasingly be called upon within their institutions to help interpret its requirements. Moreover, as healthcare institutions are increasingly required/called upon to establish institutional ethics committees—and even as India may move toward the US model of establishing clinical ethics-focused committees and offering clinical ethics consultation to clinicians, patients, and their families—the empirical study reported here suggests where strengths and weaknesses in IEC members’ awareness of guidelines and of the demands of ethics may lie.  Moreover, the study was conducted in </w:t>
      </w:r>
      <w:commentRangeStart w:id="12"/>
      <w:r w:rsidRPr="008B3261">
        <w:rPr>
          <w:rFonts w:ascii="Times New Roman" w:hAnsi="Times New Roman" w:cs="Times New Roman"/>
          <w:sz w:val="24"/>
          <w:szCs w:val="24"/>
        </w:rPr>
        <w:t>2011</w:t>
      </w:r>
      <w:commentRangeEnd w:id="12"/>
      <w:r w:rsidR="00EB52E3">
        <w:rPr>
          <w:rStyle w:val="CommentReference"/>
        </w:rPr>
        <w:commentReference w:id="12"/>
      </w:r>
      <w:r w:rsidRPr="008B3261">
        <w:rPr>
          <w:rFonts w:ascii="Times New Roman" w:hAnsi="Times New Roman" w:cs="Times New Roman"/>
          <w:sz w:val="24"/>
          <w:szCs w:val="24"/>
        </w:rPr>
        <w:t>, the scenario may have changed after Supreme Court verdict 2013</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&lt;EndNote&gt;&lt;Cite&gt;&lt;Year&gt;2013&lt;/Year&gt;&lt;IDText&gt;Swasthya Adhikar Manch, Indore &amp;amp; Anr Vs.&lt;/IDText&gt;&lt;DisplayText&gt;(18)&lt;/DisplayText&gt;&lt;record&gt;&lt;titles&gt;&lt;title&gt;Swasthya Adhikar Manch, Indore &amp;amp; Anr Vs.&amp;#xA;Ministry of Health and Family Welfare &amp;amp; Ors. with WP(C) No. 779/2012 &lt;/title&gt;&lt;/titles&gt;&lt;number&gt;W.P. (C) No. 33/2012&lt;/number&gt;&lt;added-date format="utc"&gt;1514269121&lt;/added-date&gt;&lt;ref-type name="Case"&gt;7&lt;/ref-type&gt;&lt;dates&gt;&lt;year&gt;2013&lt;/year&gt;&lt;/dates&gt;&lt;rec-number&gt;59005&lt;/rec-number&gt;&lt;publisher&gt;Supreme Court of India&lt;/publisher&gt;&lt;last-updated-date format="utc"&gt;1514269253&lt;/last-updated-date&gt;&lt;/record&gt;&lt;/Cite&gt;&lt;/EndNote&gt;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(18)</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on clinical trials and after mandatory registration of ethics committees.   These results may be used to inform educational workshops for IEC appointees, committees own self-education activities, and education that they may provide to colleagues within their </w:t>
      </w:r>
      <w:commentRangeStart w:id="13"/>
      <w:r w:rsidRPr="008B3261">
        <w:rPr>
          <w:rFonts w:ascii="Times New Roman" w:hAnsi="Times New Roman" w:cs="Times New Roman"/>
          <w:sz w:val="24"/>
          <w:szCs w:val="24"/>
        </w:rPr>
        <w:t>institutions</w:t>
      </w:r>
      <w:commentRangeEnd w:id="13"/>
      <w:r w:rsidR="00EB52E3">
        <w:rPr>
          <w:rStyle w:val="CommentReference"/>
        </w:rPr>
        <w:commentReference w:id="13"/>
      </w:r>
      <w:r w:rsidRPr="008B3261">
        <w:rPr>
          <w:rFonts w:ascii="Times New Roman" w:hAnsi="Times New Roman" w:cs="Times New Roman"/>
          <w:sz w:val="24"/>
          <w:szCs w:val="24"/>
        </w:rPr>
        <w:t>.</w:t>
      </w:r>
    </w:p>
    <w:p w14:paraId="605A507A" w14:textId="77777777" w:rsidR="008B3261" w:rsidRPr="008B3261" w:rsidRDefault="008B3261" w:rsidP="00D73C86">
      <w:pPr>
        <w:jc w:val="both"/>
        <w:rPr>
          <w:rFonts w:ascii="Times New Roman" w:hAnsi="Times New Roman" w:cs="Times New Roman"/>
          <w:sz w:val="24"/>
          <w:szCs w:val="24"/>
        </w:rPr>
      </w:pPr>
    </w:p>
    <w:p w14:paraId="03CE4C77" w14:textId="77777777" w:rsidR="008B3261" w:rsidRDefault="008B3261" w:rsidP="00D73C86">
      <w:pPr>
        <w:jc w:val="both"/>
        <w:rPr>
          <w:rFonts w:ascii="Times New Roman" w:hAnsi="Times New Roman" w:cs="Times New Roman"/>
          <w:b/>
          <w:sz w:val="24"/>
          <w:szCs w:val="24"/>
        </w:rPr>
      </w:pPr>
    </w:p>
    <w:p w14:paraId="1C582190" w14:textId="77777777" w:rsidR="008B3261" w:rsidRDefault="008B3261" w:rsidP="00D73C86">
      <w:pPr>
        <w:jc w:val="both"/>
        <w:rPr>
          <w:rFonts w:ascii="Times New Roman" w:hAnsi="Times New Roman" w:cs="Times New Roman"/>
          <w:b/>
          <w:sz w:val="24"/>
          <w:szCs w:val="24"/>
        </w:rPr>
      </w:pPr>
    </w:p>
    <w:p w14:paraId="7C0C4ADB" w14:textId="77777777" w:rsidR="008B3261" w:rsidRDefault="008B3261" w:rsidP="00D73C86">
      <w:pPr>
        <w:jc w:val="both"/>
        <w:rPr>
          <w:rFonts w:ascii="Times New Roman" w:hAnsi="Times New Roman" w:cs="Times New Roman"/>
          <w:b/>
          <w:sz w:val="24"/>
          <w:szCs w:val="24"/>
        </w:rPr>
      </w:pPr>
    </w:p>
    <w:p w14:paraId="7EA0A093" w14:textId="77777777" w:rsidR="008B3261" w:rsidRDefault="008B3261" w:rsidP="00D73C86">
      <w:pPr>
        <w:jc w:val="both"/>
        <w:rPr>
          <w:rFonts w:ascii="Times New Roman" w:hAnsi="Times New Roman" w:cs="Times New Roman"/>
          <w:b/>
          <w:sz w:val="24"/>
          <w:szCs w:val="24"/>
        </w:rPr>
      </w:pPr>
    </w:p>
    <w:p w14:paraId="733D32B1" w14:textId="77777777" w:rsidR="008B3261" w:rsidRDefault="008B3261" w:rsidP="00D73C86">
      <w:pPr>
        <w:jc w:val="both"/>
        <w:rPr>
          <w:rFonts w:ascii="Times New Roman" w:hAnsi="Times New Roman" w:cs="Times New Roman"/>
          <w:b/>
          <w:sz w:val="24"/>
          <w:szCs w:val="24"/>
        </w:rPr>
      </w:pPr>
    </w:p>
    <w:p w14:paraId="0DCEA3EB" w14:textId="77777777" w:rsidR="008B3261" w:rsidRDefault="008B3261" w:rsidP="00D73C86">
      <w:pPr>
        <w:jc w:val="both"/>
        <w:rPr>
          <w:rFonts w:ascii="Times New Roman" w:hAnsi="Times New Roman" w:cs="Times New Roman"/>
          <w:b/>
          <w:sz w:val="24"/>
          <w:szCs w:val="24"/>
        </w:rPr>
      </w:pPr>
    </w:p>
    <w:p w14:paraId="4B732C56"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References</w:t>
      </w:r>
    </w:p>
    <w:p w14:paraId="1C78C167" w14:textId="77777777" w:rsidR="008B3261" w:rsidRPr="008B3261" w:rsidRDefault="008B3261" w:rsidP="00D73C86">
      <w:pPr>
        <w:jc w:val="both"/>
        <w:rPr>
          <w:rFonts w:ascii="Times New Roman" w:hAnsi="Times New Roman" w:cs="Times New Roman"/>
          <w:sz w:val="24"/>
          <w:szCs w:val="24"/>
        </w:rPr>
      </w:pPr>
    </w:p>
    <w:commentRangeStart w:id="14"/>
    <w:commentRangeStart w:id="15"/>
    <w:commentRangeStart w:id="16"/>
    <w:p w14:paraId="5FA03DF2" w14:textId="77777777" w:rsidR="008B3261" w:rsidRPr="008B3261" w:rsidRDefault="0043665D"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fldChar w:fldCharType="begin"/>
      </w:r>
      <w:r w:rsidR="008B3261" w:rsidRPr="008B3261">
        <w:rPr>
          <w:rFonts w:ascii="Times New Roman" w:hAnsi="Times New Roman" w:cs="Times New Roman"/>
          <w:sz w:val="24"/>
          <w:szCs w:val="24"/>
        </w:rPr>
        <w:instrText xml:space="preserve"> ADDIN EN.REFLIST </w:instrText>
      </w:r>
      <w:r w:rsidRPr="008B3261">
        <w:rPr>
          <w:rFonts w:ascii="Times New Roman" w:hAnsi="Times New Roman" w:cs="Times New Roman"/>
          <w:sz w:val="24"/>
          <w:szCs w:val="24"/>
        </w:rPr>
        <w:fldChar w:fldCharType="separate"/>
      </w:r>
      <w:r w:rsidR="008B3261" w:rsidRPr="008B3261">
        <w:rPr>
          <w:rFonts w:ascii="Times New Roman" w:hAnsi="Times New Roman" w:cs="Times New Roman"/>
          <w:sz w:val="24"/>
          <w:szCs w:val="24"/>
        </w:rPr>
        <w:t>1.</w:t>
      </w:r>
      <w:r w:rsidR="008B3261" w:rsidRPr="008B3261">
        <w:rPr>
          <w:rFonts w:ascii="Times New Roman" w:hAnsi="Times New Roman" w:cs="Times New Roman"/>
          <w:sz w:val="24"/>
          <w:szCs w:val="24"/>
        </w:rPr>
        <w:tab/>
        <w:t>Winslade W</w:t>
      </w:r>
      <w:r w:rsidR="008B3261" w:rsidRPr="008B3261">
        <w:rPr>
          <w:rFonts w:ascii="Times New Roman" w:hAnsi="Times New Roman" w:cs="Times New Roman"/>
          <w:sz w:val="24"/>
          <w:szCs w:val="24"/>
          <w:vertAlign w:val="superscript"/>
        </w:rPr>
        <w:t>r</w:t>
      </w:r>
      <w:r w:rsidR="008B3261" w:rsidRPr="008B3261">
        <w:rPr>
          <w:rFonts w:ascii="Times New Roman" w:hAnsi="Times New Roman" w:cs="Times New Roman"/>
          <w:sz w:val="24"/>
          <w:szCs w:val="24"/>
        </w:rPr>
        <w:t>, ed. V, Ed. Confidentiality.  E</w:t>
      </w:r>
      <w:r w:rsidR="008B3261" w:rsidRPr="008B3261">
        <w:rPr>
          <w:rFonts w:ascii="Times New Roman" w:hAnsi="Times New Roman" w:cs="Times New Roman"/>
          <w:i/>
          <w:sz w:val="24"/>
          <w:szCs w:val="24"/>
        </w:rPr>
        <w:t>ncyclopedia of Bioethics, 3rd ed.</w:t>
      </w:r>
      <w:r w:rsidR="008B3261" w:rsidRPr="008B3261">
        <w:rPr>
          <w:rFonts w:ascii="Times New Roman" w:hAnsi="Times New Roman" w:cs="Times New Roman"/>
          <w:sz w:val="24"/>
          <w:szCs w:val="24"/>
        </w:rPr>
        <w:t xml:space="preserve"> S.G.Post, editor. New York: Macmillan Reference USA; 2004.</w:t>
      </w:r>
    </w:p>
    <w:p w14:paraId="2175493A" w14:textId="77777777" w:rsidR="008B3261" w:rsidRPr="008B3261" w:rsidRDefault="008B3261" w:rsidP="00D73C86">
      <w:pPr>
        <w:pStyle w:val="EndNoteBibliography"/>
        <w:jc w:val="both"/>
        <w:rPr>
          <w:rFonts w:ascii="Times New Roman" w:hAnsi="Times New Roman" w:cs="Times New Roman"/>
          <w:sz w:val="24"/>
          <w:szCs w:val="24"/>
        </w:rPr>
      </w:pPr>
    </w:p>
    <w:p w14:paraId="2B870785"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2.</w:t>
      </w:r>
      <w:r w:rsidRPr="008B3261">
        <w:rPr>
          <w:rFonts w:ascii="Times New Roman" w:hAnsi="Times New Roman" w:cs="Times New Roman"/>
          <w:sz w:val="24"/>
          <w:szCs w:val="24"/>
        </w:rPr>
        <w:tab/>
        <w:t xml:space="preserve">Edwards RB. Confidentiality and the Professions. In: Edwards RB, GC Graber GC, 72-81., editors. </w:t>
      </w:r>
      <w:r w:rsidRPr="008B3261">
        <w:rPr>
          <w:rFonts w:ascii="Times New Roman" w:hAnsi="Times New Roman" w:cs="Times New Roman"/>
          <w:i/>
          <w:sz w:val="24"/>
          <w:szCs w:val="24"/>
        </w:rPr>
        <w:t>Bioethics</w:t>
      </w:r>
      <w:r w:rsidRPr="008B3261">
        <w:rPr>
          <w:rFonts w:ascii="Times New Roman" w:hAnsi="Times New Roman" w:cs="Times New Roman"/>
          <w:sz w:val="24"/>
          <w:szCs w:val="24"/>
        </w:rPr>
        <w:t>. San Diego: Harcourt Brace Jovanovich; 1988. p. 72-81.</w:t>
      </w:r>
    </w:p>
    <w:p w14:paraId="76383DCC" w14:textId="77777777" w:rsidR="008B3261" w:rsidRPr="008B3261" w:rsidRDefault="008B3261" w:rsidP="00D73C86">
      <w:pPr>
        <w:pStyle w:val="EndNoteBibliography"/>
        <w:jc w:val="both"/>
        <w:rPr>
          <w:rFonts w:ascii="Times New Roman" w:hAnsi="Times New Roman" w:cs="Times New Roman"/>
          <w:sz w:val="24"/>
          <w:szCs w:val="24"/>
        </w:rPr>
      </w:pPr>
    </w:p>
    <w:p w14:paraId="66A7BC0F"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3.</w:t>
      </w:r>
      <w:r w:rsidRPr="008B3261">
        <w:rPr>
          <w:rFonts w:ascii="Times New Roman" w:hAnsi="Times New Roman" w:cs="Times New Roman"/>
          <w:sz w:val="24"/>
          <w:szCs w:val="24"/>
        </w:rPr>
        <w:tab/>
        <w:t xml:space="preserve">Parker LS. Information(al) matters: Bioethics’ agenda and the boundaries of the public and the private. </w:t>
      </w:r>
      <w:r w:rsidRPr="008B3261">
        <w:rPr>
          <w:rFonts w:ascii="Times New Roman" w:hAnsi="Times New Roman" w:cs="Times New Roman"/>
          <w:i/>
          <w:sz w:val="24"/>
          <w:szCs w:val="24"/>
        </w:rPr>
        <w:t xml:space="preserve">Social Philosophy and Public Policy  </w:t>
      </w:r>
      <w:r w:rsidRPr="008B3261">
        <w:rPr>
          <w:rFonts w:ascii="Times New Roman" w:hAnsi="Times New Roman" w:cs="Times New Roman"/>
          <w:sz w:val="24"/>
          <w:szCs w:val="24"/>
        </w:rPr>
        <w:t xml:space="preserve"> 2002. 2002;19(2):83-112.</w:t>
      </w:r>
    </w:p>
    <w:p w14:paraId="4BE67C84" w14:textId="77777777" w:rsidR="008B3261" w:rsidRPr="008B3261" w:rsidRDefault="008B3261" w:rsidP="00D73C86">
      <w:pPr>
        <w:pStyle w:val="EndNoteBibliography"/>
        <w:jc w:val="both"/>
        <w:rPr>
          <w:rFonts w:ascii="Times New Roman" w:hAnsi="Times New Roman" w:cs="Times New Roman"/>
          <w:sz w:val="24"/>
          <w:szCs w:val="24"/>
        </w:rPr>
      </w:pPr>
    </w:p>
    <w:p w14:paraId="6443B176"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4.</w:t>
      </w:r>
      <w:r w:rsidRPr="008B3261">
        <w:rPr>
          <w:rFonts w:ascii="Times New Roman" w:hAnsi="Times New Roman" w:cs="Times New Roman"/>
          <w:sz w:val="24"/>
          <w:szCs w:val="24"/>
        </w:rPr>
        <w:tab/>
        <w:t xml:space="preserve">Nagel, T. Concealment and Exposure. </w:t>
      </w:r>
      <w:r w:rsidRPr="008B3261">
        <w:rPr>
          <w:rFonts w:ascii="Times New Roman" w:hAnsi="Times New Roman" w:cs="Times New Roman"/>
          <w:sz w:val="24"/>
          <w:szCs w:val="24"/>
          <w:u w:val="single"/>
        </w:rPr>
        <w:t>Philosophy &amp; Public Affairs</w:t>
      </w:r>
      <w:r w:rsidRPr="008B3261">
        <w:rPr>
          <w:rFonts w:ascii="Times New Roman" w:hAnsi="Times New Roman" w:cs="Times New Roman"/>
          <w:sz w:val="24"/>
          <w:szCs w:val="24"/>
        </w:rPr>
        <w:t>. 1998;27(1):3-30.</w:t>
      </w:r>
    </w:p>
    <w:p w14:paraId="13FBF015" w14:textId="77777777" w:rsidR="008B3261" w:rsidRPr="008B3261" w:rsidRDefault="008B3261" w:rsidP="00D73C86">
      <w:pPr>
        <w:pStyle w:val="EndNoteBibliography"/>
        <w:jc w:val="both"/>
        <w:rPr>
          <w:rFonts w:ascii="Times New Roman" w:hAnsi="Times New Roman" w:cs="Times New Roman"/>
          <w:sz w:val="24"/>
          <w:szCs w:val="24"/>
        </w:rPr>
      </w:pPr>
    </w:p>
    <w:p w14:paraId="433624E7"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5.</w:t>
      </w:r>
      <w:r w:rsidRPr="008B3261">
        <w:rPr>
          <w:rFonts w:ascii="Times New Roman" w:hAnsi="Times New Roman" w:cs="Times New Roman"/>
          <w:sz w:val="24"/>
          <w:szCs w:val="24"/>
        </w:rPr>
        <w:tab/>
        <w:t>Supreme Court's judgement on Right to Privacy 2017. Supreme Court's judgement on Right to Privacy. Hindustan Times. New Delhi: K.K.Birla Group  2017.</w:t>
      </w:r>
    </w:p>
    <w:p w14:paraId="0F329281" w14:textId="77777777" w:rsidR="008B3261" w:rsidRPr="008B3261" w:rsidRDefault="008B3261" w:rsidP="00D73C86">
      <w:pPr>
        <w:pStyle w:val="EndNoteBibliography"/>
        <w:jc w:val="both"/>
        <w:rPr>
          <w:rFonts w:ascii="Times New Roman" w:hAnsi="Times New Roman" w:cs="Times New Roman"/>
          <w:sz w:val="24"/>
          <w:szCs w:val="24"/>
        </w:rPr>
      </w:pPr>
    </w:p>
    <w:p w14:paraId="222B1783"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6.</w:t>
      </w:r>
      <w:r w:rsidRPr="008B3261">
        <w:rPr>
          <w:rFonts w:ascii="Times New Roman" w:hAnsi="Times New Roman" w:cs="Times New Roman"/>
          <w:sz w:val="24"/>
          <w:szCs w:val="24"/>
        </w:rPr>
        <w:tab/>
        <w:t>Professional   Conduct  , Etiquette and   Ethics,      Regulations  ,   2002  . (  AMENDED   UPTO 8th OCTOBER  2016  ), (2016).</w:t>
      </w:r>
    </w:p>
    <w:p w14:paraId="6A31BC5A" w14:textId="77777777" w:rsidR="008B3261" w:rsidRPr="008B3261" w:rsidRDefault="008B3261" w:rsidP="00D73C86">
      <w:pPr>
        <w:pStyle w:val="EndNoteBibliography"/>
        <w:jc w:val="both"/>
        <w:rPr>
          <w:rFonts w:ascii="Times New Roman" w:hAnsi="Times New Roman" w:cs="Times New Roman"/>
          <w:sz w:val="24"/>
          <w:szCs w:val="24"/>
        </w:rPr>
      </w:pPr>
    </w:p>
    <w:p w14:paraId="1113B8A4"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7.</w:t>
      </w:r>
      <w:r w:rsidRPr="008B3261">
        <w:rPr>
          <w:rFonts w:ascii="Times New Roman" w:hAnsi="Times New Roman" w:cs="Times New Roman"/>
          <w:sz w:val="24"/>
          <w:szCs w:val="24"/>
        </w:rPr>
        <w:tab/>
        <w:t>Mishra NN, Parker LS, Nimgaonkar VL, Deshpande SN. Privacy and the Right to Information Act, 2005. Indian J Med Ethics. 2008;5(4):158-61.</w:t>
      </w:r>
    </w:p>
    <w:p w14:paraId="3C9F2D4A" w14:textId="77777777" w:rsidR="008B3261" w:rsidRPr="008B3261" w:rsidRDefault="008B3261" w:rsidP="00D73C86">
      <w:pPr>
        <w:pStyle w:val="EndNoteBibliography"/>
        <w:jc w:val="both"/>
        <w:rPr>
          <w:rFonts w:ascii="Times New Roman" w:hAnsi="Times New Roman" w:cs="Times New Roman"/>
          <w:sz w:val="24"/>
          <w:szCs w:val="24"/>
        </w:rPr>
      </w:pPr>
    </w:p>
    <w:p w14:paraId="41995530"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8.</w:t>
      </w:r>
      <w:r w:rsidRPr="008B3261">
        <w:rPr>
          <w:rFonts w:ascii="Times New Roman" w:hAnsi="Times New Roman" w:cs="Times New Roman"/>
          <w:sz w:val="24"/>
          <w:szCs w:val="24"/>
        </w:rPr>
        <w:tab/>
        <w:t>Mishra NN, Parker LS, Nimgaonkar VL, Deshpande SN. Disability certificates in India: a challenge to health privacy. Indian J Med Ethics. 2012;9(1):43-5.</w:t>
      </w:r>
    </w:p>
    <w:p w14:paraId="3265DC18" w14:textId="77777777" w:rsidR="008B3261" w:rsidRPr="008B3261" w:rsidRDefault="008B3261" w:rsidP="00D73C86">
      <w:pPr>
        <w:pStyle w:val="EndNoteBibliography"/>
        <w:jc w:val="both"/>
        <w:rPr>
          <w:rFonts w:ascii="Times New Roman" w:hAnsi="Times New Roman" w:cs="Times New Roman"/>
          <w:sz w:val="24"/>
          <w:szCs w:val="24"/>
        </w:rPr>
      </w:pPr>
    </w:p>
    <w:p w14:paraId="08B94D67"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9.</w:t>
      </w:r>
      <w:r w:rsidRPr="008B3261">
        <w:rPr>
          <w:rFonts w:ascii="Times New Roman" w:hAnsi="Times New Roman" w:cs="Times New Roman"/>
          <w:sz w:val="24"/>
          <w:szCs w:val="24"/>
        </w:rPr>
        <w:tab/>
        <w:t xml:space="preserve">Rubin HJ, Rubin IS. </w:t>
      </w:r>
      <w:r w:rsidRPr="008B3261">
        <w:rPr>
          <w:rFonts w:ascii="Times New Roman" w:hAnsi="Times New Roman" w:cs="Times New Roman"/>
          <w:i/>
          <w:sz w:val="24"/>
          <w:szCs w:val="24"/>
        </w:rPr>
        <w:t>Qualitative Interviewing: The Art of Hearting Data</w:t>
      </w:r>
      <w:r w:rsidRPr="008B3261">
        <w:rPr>
          <w:rFonts w:ascii="Times New Roman" w:hAnsi="Times New Roman" w:cs="Times New Roman"/>
          <w:sz w:val="24"/>
          <w:szCs w:val="24"/>
        </w:rPr>
        <w:t xml:space="preserve"> . . New Delhi: Sage Publication; 1995.</w:t>
      </w:r>
    </w:p>
    <w:p w14:paraId="47DB233D" w14:textId="77777777" w:rsidR="008B3261" w:rsidRPr="008B3261" w:rsidRDefault="008B3261" w:rsidP="00D73C86">
      <w:pPr>
        <w:pStyle w:val="EndNoteBibliography"/>
        <w:jc w:val="both"/>
        <w:rPr>
          <w:rFonts w:ascii="Times New Roman" w:hAnsi="Times New Roman" w:cs="Times New Roman"/>
          <w:sz w:val="24"/>
          <w:szCs w:val="24"/>
        </w:rPr>
      </w:pPr>
    </w:p>
    <w:p w14:paraId="3CE3A531"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10.</w:t>
      </w:r>
      <w:r w:rsidRPr="008B3261">
        <w:rPr>
          <w:rFonts w:ascii="Times New Roman" w:hAnsi="Times New Roman" w:cs="Times New Roman"/>
          <w:sz w:val="24"/>
          <w:szCs w:val="24"/>
        </w:rPr>
        <w:tab/>
        <w:t xml:space="preserve">Indian Council of Medical Research. </w:t>
      </w:r>
      <w:r w:rsidRPr="008B3261">
        <w:rPr>
          <w:rFonts w:ascii="Times New Roman" w:hAnsi="Times New Roman" w:cs="Times New Roman"/>
          <w:i/>
          <w:sz w:val="24"/>
          <w:szCs w:val="24"/>
        </w:rPr>
        <w:t>Ethical Guidelines for Biomedical Research on Human Participants</w:t>
      </w:r>
      <w:r w:rsidRPr="008B3261">
        <w:rPr>
          <w:rFonts w:ascii="Times New Roman" w:hAnsi="Times New Roman" w:cs="Times New Roman"/>
          <w:sz w:val="24"/>
          <w:szCs w:val="24"/>
        </w:rPr>
        <w:t>: Indian Council of Medical Research; 2006.</w:t>
      </w:r>
    </w:p>
    <w:p w14:paraId="04450DF7" w14:textId="77777777" w:rsidR="008B3261" w:rsidRPr="008B3261" w:rsidRDefault="008B3261" w:rsidP="00D73C86">
      <w:pPr>
        <w:pStyle w:val="EndNoteBibliography"/>
        <w:jc w:val="both"/>
        <w:rPr>
          <w:rFonts w:ascii="Times New Roman" w:hAnsi="Times New Roman" w:cs="Times New Roman"/>
          <w:sz w:val="24"/>
          <w:szCs w:val="24"/>
        </w:rPr>
      </w:pPr>
    </w:p>
    <w:p w14:paraId="683562F1"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11.</w:t>
      </w:r>
      <w:r w:rsidRPr="008B3261">
        <w:rPr>
          <w:rFonts w:ascii="Times New Roman" w:hAnsi="Times New Roman" w:cs="Times New Roman"/>
          <w:sz w:val="24"/>
          <w:szCs w:val="24"/>
        </w:rPr>
        <w:tab/>
        <w:t>Bhutta ZA. Beyond informed consent. Bull World Health Organ. 2004;82(10):771-7.</w:t>
      </w:r>
    </w:p>
    <w:p w14:paraId="6321A9D1" w14:textId="77777777" w:rsidR="008B3261" w:rsidRPr="008B3261" w:rsidRDefault="008B3261" w:rsidP="00D73C86">
      <w:pPr>
        <w:pStyle w:val="EndNoteBibliography"/>
        <w:jc w:val="both"/>
        <w:rPr>
          <w:rFonts w:ascii="Times New Roman" w:hAnsi="Times New Roman" w:cs="Times New Roman"/>
          <w:sz w:val="24"/>
          <w:szCs w:val="24"/>
        </w:rPr>
      </w:pPr>
    </w:p>
    <w:p w14:paraId="1D7C90D8"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12.</w:t>
      </w:r>
      <w:r w:rsidRPr="008B3261">
        <w:rPr>
          <w:rFonts w:ascii="Times New Roman" w:hAnsi="Times New Roman" w:cs="Times New Roman"/>
          <w:sz w:val="24"/>
          <w:szCs w:val="24"/>
        </w:rPr>
        <w:tab/>
        <w:t>Aulisio MP. Why Did Hospital Ethics Committees Emerge in the US? AMA J Ethics. 2016;18(5):546-53.</w:t>
      </w:r>
    </w:p>
    <w:p w14:paraId="4ECD60BF" w14:textId="77777777" w:rsidR="008B3261" w:rsidRPr="008B3261" w:rsidRDefault="008B3261" w:rsidP="00D73C86">
      <w:pPr>
        <w:pStyle w:val="EndNoteBibliography"/>
        <w:jc w:val="both"/>
        <w:rPr>
          <w:rFonts w:ascii="Times New Roman" w:hAnsi="Times New Roman" w:cs="Times New Roman"/>
          <w:sz w:val="24"/>
          <w:szCs w:val="24"/>
        </w:rPr>
      </w:pPr>
    </w:p>
    <w:p w14:paraId="380554A8"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13.</w:t>
      </w:r>
      <w:r w:rsidRPr="008B3261">
        <w:rPr>
          <w:rFonts w:ascii="Times New Roman" w:hAnsi="Times New Roman" w:cs="Times New Roman"/>
          <w:sz w:val="24"/>
          <w:szCs w:val="24"/>
        </w:rPr>
        <w:tab/>
        <w:t>Subramanya P, Telles S. Changes in midlatency auditory evoked potentials following two yoga-based relaxation techniques. Clin EEG Neurosci. 2009;40(3):190-5.</w:t>
      </w:r>
    </w:p>
    <w:p w14:paraId="3F8D7FA2"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14.</w:t>
      </w:r>
      <w:r w:rsidRPr="008B3261">
        <w:rPr>
          <w:rFonts w:ascii="Times New Roman" w:hAnsi="Times New Roman" w:cs="Times New Roman"/>
          <w:sz w:val="24"/>
          <w:szCs w:val="24"/>
        </w:rPr>
        <w:tab/>
        <w:t>Anesi GL. The “Decrepit Concept” of Confidentiality, 30 Years Later </w:t>
      </w:r>
      <w:r w:rsidRPr="008B3261">
        <w:rPr>
          <w:rFonts w:ascii="Times New Roman" w:hAnsi="Times New Roman" w:cs="Times New Roman"/>
          <w:i/>
          <w:sz w:val="24"/>
          <w:szCs w:val="24"/>
        </w:rPr>
        <w:t>Virtual Mentor</w:t>
      </w:r>
      <w:r w:rsidRPr="008B3261">
        <w:rPr>
          <w:rFonts w:ascii="Times New Roman" w:hAnsi="Times New Roman" w:cs="Times New Roman"/>
          <w:sz w:val="24"/>
          <w:szCs w:val="24"/>
        </w:rPr>
        <w:t>. 2012;14(9):708-11.</w:t>
      </w:r>
    </w:p>
    <w:p w14:paraId="32663215" w14:textId="77777777" w:rsidR="008B3261" w:rsidRPr="008B3261" w:rsidRDefault="008B3261" w:rsidP="00D73C86">
      <w:pPr>
        <w:pStyle w:val="EndNoteBibliography"/>
        <w:jc w:val="both"/>
        <w:rPr>
          <w:rFonts w:ascii="Times New Roman" w:hAnsi="Times New Roman" w:cs="Times New Roman"/>
          <w:sz w:val="24"/>
          <w:szCs w:val="24"/>
        </w:rPr>
      </w:pPr>
    </w:p>
    <w:p w14:paraId="159C2D5E"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15.</w:t>
      </w:r>
      <w:r w:rsidRPr="008B3261">
        <w:rPr>
          <w:rFonts w:ascii="Times New Roman" w:hAnsi="Times New Roman" w:cs="Times New Roman"/>
          <w:sz w:val="24"/>
          <w:szCs w:val="24"/>
        </w:rPr>
        <w:tab/>
        <w:t>The Persons with Disabilities (Equal Opportunities, Protection of Rights and Full</w:t>
      </w:r>
    </w:p>
    <w:p w14:paraId="23852B8B"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Participation) Act, 1995.</w:t>
      </w:r>
    </w:p>
    <w:p w14:paraId="46E43668" w14:textId="77777777" w:rsidR="008B3261" w:rsidRPr="008B3261" w:rsidRDefault="008B3261" w:rsidP="00D73C86">
      <w:pPr>
        <w:pStyle w:val="EndNoteBibliography"/>
        <w:jc w:val="both"/>
        <w:rPr>
          <w:rFonts w:ascii="Times New Roman" w:hAnsi="Times New Roman" w:cs="Times New Roman"/>
          <w:sz w:val="24"/>
          <w:szCs w:val="24"/>
        </w:rPr>
      </w:pPr>
    </w:p>
    <w:p w14:paraId="3C08157D"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16.</w:t>
      </w:r>
      <w:r w:rsidRPr="008B3261">
        <w:rPr>
          <w:rFonts w:ascii="Times New Roman" w:hAnsi="Times New Roman" w:cs="Times New Roman"/>
          <w:sz w:val="24"/>
          <w:szCs w:val="24"/>
        </w:rPr>
        <w:tab/>
        <w:t>Right to Information Act, (2005).</w:t>
      </w:r>
    </w:p>
    <w:p w14:paraId="1D2D30DB" w14:textId="77777777" w:rsidR="008B3261" w:rsidRPr="008B3261" w:rsidRDefault="008B3261" w:rsidP="00D73C86">
      <w:pPr>
        <w:pStyle w:val="EndNoteBibliography"/>
        <w:jc w:val="both"/>
        <w:rPr>
          <w:rFonts w:ascii="Times New Roman" w:hAnsi="Times New Roman" w:cs="Times New Roman"/>
          <w:sz w:val="24"/>
          <w:szCs w:val="24"/>
        </w:rPr>
      </w:pPr>
      <w:bookmarkStart w:id="17" w:name="_GoBack"/>
      <w:bookmarkEnd w:id="17"/>
    </w:p>
    <w:p w14:paraId="69B8103B"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17.</w:t>
      </w:r>
      <w:r w:rsidRPr="008B3261">
        <w:rPr>
          <w:rFonts w:ascii="Times New Roman" w:hAnsi="Times New Roman" w:cs="Times New Roman"/>
          <w:sz w:val="24"/>
          <w:szCs w:val="24"/>
        </w:rPr>
        <w:tab/>
        <w:t>HT Correspondent. Full text of Supreme Court's judgement on Right to Privacy. Hindustan Times. 2017.</w:t>
      </w:r>
    </w:p>
    <w:p w14:paraId="55539CFF" w14:textId="77777777" w:rsidR="008B3261" w:rsidRPr="008B3261" w:rsidRDefault="008B3261" w:rsidP="00D73C86">
      <w:pPr>
        <w:pStyle w:val="EndNoteBibliography"/>
        <w:jc w:val="both"/>
        <w:rPr>
          <w:rFonts w:ascii="Times New Roman" w:hAnsi="Times New Roman" w:cs="Times New Roman"/>
          <w:sz w:val="24"/>
          <w:szCs w:val="24"/>
        </w:rPr>
      </w:pPr>
    </w:p>
    <w:p w14:paraId="03BABC41" w14:textId="77777777"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18.</w:t>
      </w:r>
      <w:r w:rsidRPr="008B3261">
        <w:rPr>
          <w:rFonts w:ascii="Times New Roman" w:hAnsi="Times New Roman" w:cs="Times New Roman"/>
          <w:sz w:val="24"/>
          <w:szCs w:val="24"/>
        </w:rPr>
        <w:tab/>
        <w:t>Swasthya Adhikar Manch, Indore &amp; Anr Vs. Ministry of Health and Family Welfare &amp; Ors. with WP(C) No. 779/2012 Supreme Court of India; 2013.</w:t>
      </w:r>
    </w:p>
    <w:p w14:paraId="2DD4C662" w14:textId="77777777" w:rsidR="008B3261" w:rsidRPr="008B3261" w:rsidRDefault="0043665D" w:rsidP="00D73C86">
      <w:pPr>
        <w:jc w:val="both"/>
        <w:rPr>
          <w:rFonts w:ascii="Times New Roman" w:hAnsi="Times New Roman" w:cs="Times New Roman"/>
          <w:sz w:val="24"/>
          <w:szCs w:val="24"/>
        </w:rPr>
      </w:pPr>
      <w:r w:rsidRPr="008B3261">
        <w:rPr>
          <w:rFonts w:ascii="Times New Roman" w:hAnsi="Times New Roman" w:cs="Times New Roman"/>
          <w:sz w:val="24"/>
          <w:szCs w:val="24"/>
        </w:rPr>
        <w:fldChar w:fldCharType="end"/>
      </w:r>
      <w:commentRangeEnd w:id="14"/>
      <w:commentRangeEnd w:id="15"/>
      <w:commentRangeEnd w:id="16"/>
      <w:r w:rsidR="00C45435">
        <w:rPr>
          <w:rStyle w:val="CommentReference"/>
        </w:rPr>
        <w:commentReference w:id="14"/>
      </w:r>
      <w:r w:rsidR="007B3C83">
        <w:rPr>
          <w:rStyle w:val="CommentReference"/>
        </w:rPr>
        <w:commentReference w:id="15"/>
      </w:r>
      <w:r w:rsidR="0014665E">
        <w:rPr>
          <w:rStyle w:val="CommentReference"/>
        </w:rPr>
        <w:commentReference w:id="16"/>
      </w:r>
    </w:p>
    <w:p w14:paraId="56CB5CFD" w14:textId="77777777" w:rsidR="008B3261" w:rsidRPr="008B3261" w:rsidRDefault="008B3261" w:rsidP="00D73C86">
      <w:pPr>
        <w:jc w:val="both"/>
        <w:rPr>
          <w:rFonts w:ascii="Times New Roman" w:hAnsi="Times New Roman" w:cs="Times New Roman"/>
          <w:sz w:val="24"/>
          <w:szCs w:val="24"/>
        </w:rPr>
      </w:pPr>
    </w:p>
    <w:p w14:paraId="52BB4960" w14:textId="77777777" w:rsidR="008B3261" w:rsidRPr="008B3261" w:rsidRDefault="008B3261" w:rsidP="00D73C86">
      <w:pPr>
        <w:jc w:val="both"/>
        <w:rPr>
          <w:rFonts w:ascii="Times New Roman" w:hAnsi="Times New Roman" w:cs="Times New Roman"/>
          <w:sz w:val="24"/>
          <w:szCs w:val="24"/>
        </w:rPr>
      </w:pPr>
    </w:p>
    <w:p w14:paraId="75FABE30" w14:textId="77777777" w:rsidR="008B3261" w:rsidRPr="008B3261" w:rsidRDefault="008B3261" w:rsidP="00D73C86">
      <w:pPr>
        <w:jc w:val="both"/>
        <w:rPr>
          <w:rFonts w:ascii="Times New Roman" w:hAnsi="Times New Roman" w:cs="Times New Roman"/>
          <w:sz w:val="24"/>
          <w:szCs w:val="24"/>
        </w:rPr>
      </w:pPr>
    </w:p>
    <w:p w14:paraId="2F5F413B" w14:textId="77777777" w:rsidR="008B3261" w:rsidRPr="008B3261" w:rsidRDefault="008B3261" w:rsidP="00D73C86">
      <w:pPr>
        <w:jc w:val="both"/>
        <w:rPr>
          <w:rFonts w:ascii="Times New Roman" w:hAnsi="Times New Roman" w:cs="Times New Roman"/>
          <w:sz w:val="24"/>
          <w:szCs w:val="24"/>
        </w:rPr>
      </w:pPr>
    </w:p>
    <w:p w14:paraId="74564FC5" w14:textId="77777777" w:rsidR="008B3261" w:rsidRPr="008B3261" w:rsidRDefault="008B3261" w:rsidP="00D73C86">
      <w:pPr>
        <w:jc w:val="both"/>
        <w:rPr>
          <w:rFonts w:ascii="Times New Roman" w:hAnsi="Times New Roman" w:cs="Times New Roman"/>
          <w:sz w:val="24"/>
          <w:szCs w:val="24"/>
        </w:rPr>
      </w:pPr>
    </w:p>
    <w:p w14:paraId="2E3F2284" w14:textId="77777777" w:rsidR="008B3261" w:rsidRPr="008B3261" w:rsidRDefault="008B3261" w:rsidP="00D73C86">
      <w:pPr>
        <w:jc w:val="both"/>
        <w:rPr>
          <w:rFonts w:ascii="Times New Roman" w:hAnsi="Times New Roman" w:cs="Times New Roman"/>
          <w:sz w:val="24"/>
          <w:szCs w:val="24"/>
        </w:rPr>
      </w:pPr>
    </w:p>
    <w:p w14:paraId="471BF5CC" w14:textId="77777777" w:rsidR="008B3261" w:rsidRPr="008B3261" w:rsidRDefault="008B3261" w:rsidP="00D73C86">
      <w:pPr>
        <w:jc w:val="both"/>
        <w:rPr>
          <w:rFonts w:ascii="Times New Roman" w:hAnsi="Times New Roman" w:cs="Times New Roman"/>
          <w:sz w:val="24"/>
          <w:szCs w:val="24"/>
        </w:rPr>
      </w:pPr>
    </w:p>
    <w:p w14:paraId="16B176C4" w14:textId="77777777"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ACKNOWLEDGEMENTS</w:t>
      </w:r>
    </w:p>
    <w:p w14:paraId="31260702" w14:textId="77777777"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 xml:space="preserve">This article, which reflects the authors’ own views, reports results of a study undertaken as part of the Training Program for Psychiatric Genetics (5D43 TW006167) at the University of Pittsburgh with funding from the NIH Fogarty International Center. The authors have no conflicts of interest to report, and would like to acknowledge the contributions of S. N. Mishra, Retired Professor of Hindi and Rekha Mishra, Associate Professor of Hindi, who assisted with translation. </w:t>
      </w:r>
    </w:p>
    <w:p w14:paraId="1AE7AE59" w14:textId="77777777" w:rsidR="008B3261" w:rsidRPr="008B3261" w:rsidRDefault="008B3261" w:rsidP="00D73C86">
      <w:pPr>
        <w:jc w:val="both"/>
        <w:rPr>
          <w:rFonts w:ascii="Times New Roman" w:hAnsi="Times New Roman" w:cs="Times New Roman"/>
          <w:sz w:val="24"/>
          <w:szCs w:val="24"/>
        </w:rPr>
      </w:pPr>
    </w:p>
    <w:p w14:paraId="45183EE9" w14:textId="77777777" w:rsidR="008B3261" w:rsidRPr="008B3261" w:rsidRDefault="008B3261" w:rsidP="00D73C86">
      <w:pPr>
        <w:jc w:val="both"/>
        <w:rPr>
          <w:rFonts w:ascii="Times New Roman" w:hAnsi="Times New Roman" w:cs="Times New Roman"/>
          <w:sz w:val="24"/>
          <w:szCs w:val="24"/>
        </w:rPr>
      </w:pPr>
    </w:p>
    <w:p w14:paraId="4E323B6C" w14:textId="77777777" w:rsidR="008B3261" w:rsidRPr="008B3261" w:rsidRDefault="008B3261" w:rsidP="00D73C86">
      <w:pPr>
        <w:jc w:val="both"/>
        <w:rPr>
          <w:rFonts w:ascii="Times New Roman" w:hAnsi="Times New Roman" w:cs="Times New Roman"/>
          <w:sz w:val="24"/>
          <w:szCs w:val="24"/>
        </w:rPr>
      </w:pPr>
    </w:p>
    <w:p w14:paraId="781E82B6" w14:textId="77777777" w:rsidR="008B3261" w:rsidRPr="008B3261" w:rsidRDefault="008B3261" w:rsidP="00D73C86">
      <w:pPr>
        <w:jc w:val="both"/>
        <w:rPr>
          <w:rFonts w:ascii="Times New Roman" w:hAnsi="Times New Roman" w:cs="Times New Roman"/>
          <w:sz w:val="24"/>
          <w:szCs w:val="24"/>
        </w:rPr>
      </w:pPr>
    </w:p>
    <w:p w14:paraId="45897036" w14:textId="77777777" w:rsidR="008B3261" w:rsidRPr="008B3261" w:rsidRDefault="008B3261" w:rsidP="00D73C86">
      <w:pPr>
        <w:jc w:val="both"/>
        <w:rPr>
          <w:rFonts w:ascii="Times New Roman" w:hAnsi="Times New Roman" w:cs="Times New Roman"/>
          <w:sz w:val="24"/>
          <w:szCs w:val="24"/>
        </w:rPr>
      </w:pPr>
    </w:p>
    <w:p w14:paraId="44A29744" w14:textId="77777777"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2C91E8C4" w14:textId="77777777" w:rsidR="00A17756" w:rsidRPr="008B3261" w:rsidRDefault="00A17756" w:rsidP="00D73C86">
      <w:pPr>
        <w:jc w:val="both"/>
        <w:rPr>
          <w:rFonts w:ascii="Times New Roman" w:hAnsi="Times New Roman" w:cs="Times New Roman"/>
          <w:sz w:val="24"/>
          <w:szCs w:val="24"/>
        </w:rPr>
      </w:pPr>
    </w:p>
    <w:sectPr w:rsidR="00A17756" w:rsidRPr="008B3261" w:rsidSect="001461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A622F50" w14:textId="77777777" w:rsidR="0014665E" w:rsidRDefault="0014665E">
      <w:pPr>
        <w:pStyle w:val="CommentText"/>
      </w:pPr>
      <w:r>
        <w:rPr>
          <w:rStyle w:val="CommentReference"/>
        </w:rPr>
        <w:annotationRef/>
      </w:r>
      <w:r>
        <w:t xml:space="preserve">This conclusion is  not going with the theme </w:t>
      </w:r>
    </w:p>
  </w:comment>
  <w:comment w:id="1" w:author="Author" w:initials="A">
    <w:p w14:paraId="73BDC808" w14:textId="77777777" w:rsidR="0014665E" w:rsidRDefault="0014665E">
      <w:pPr>
        <w:pStyle w:val="CommentText"/>
      </w:pPr>
      <w:r>
        <w:rPr>
          <w:rStyle w:val="CommentReference"/>
        </w:rPr>
        <w:annotationRef/>
      </w:r>
      <w:r>
        <w:t>Why ICMR guidelines are</w:t>
      </w:r>
      <w:r w:rsidR="00C45435">
        <w:t xml:space="preserve"> not </w:t>
      </w:r>
      <w:r>
        <w:t xml:space="preserve"> quoted as a reference for this sentence </w:t>
      </w:r>
    </w:p>
  </w:comment>
  <w:comment w:id="2" w:author="Author" w:initials="A">
    <w:p w14:paraId="52AFCF0B" w14:textId="77777777" w:rsidR="0014665E" w:rsidRDefault="0014665E">
      <w:pPr>
        <w:pStyle w:val="CommentText"/>
      </w:pPr>
      <w:r>
        <w:rPr>
          <w:rStyle w:val="CommentReference"/>
        </w:rPr>
        <w:annotationRef/>
      </w:r>
      <w:r>
        <w:t xml:space="preserve">The introduction is not giving clear cut reason as to why this study was needed / what is the rationale of doing this study .Is there no published data in the subject regards or do the authors feel gaps in information </w:t>
      </w:r>
    </w:p>
  </w:comment>
  <w:comment w:id="3" w:author="Author" w:initials="A">
    <w:p w14:paraId="3DA6C7D1" w14:textId="77777777" w:rsidR="001E2088" w:rsidRDefault="001E2088">
      <w:pPr>
        <w:pStyle w:val="CommentText"/>
      </w:pPr>
      <w:r>
        <w:rPr>
          <w:rStyle w:val="CommentReference"/>
        </w:rPr>
        <w:annotationRef/>
      </w:r>
      <w:r>
        <w:t xml:space="preserve">Where all the IEC approached were registered under DCGI  site </w:t>
      </w:r>
    </w:p>
  </w:comment>
  <w:comment w:id="4" w:author="Author" w:initials="A">
    <w:p w14:paraId="424C6934" w14:textId="77777777" w:rsidR="001E2088" w:rsidRDefault="001E2088">
      <w:pPr>
        <w:pStyle w:val="CommentText"/>
      </w:pPr>
      <w:r>
        <w:rPr>
          <w:rStyle w:val="CommentReference"/>
        </w:rPr>
        <w:annotationRef/>
      </w:r>
      <w:r>
        <w:t>How was the IEC members approached , was the member secretary / chairman permission sought ?</w:t>
      </w:r>
      <w:r w:rsidR="00C45435">
        <w:t xml:space="preserve"> </w:t>
      </w:r>
    </w:p>
  </w:comment>
  <w:comment w:id="5" w:author="Author" w:initials="A">
    <w:p w14:paraId="086CC649" w14:textId="77777777" w:rsidR="001E2088" w:rsidRDefault="001E2088">
      <w:pPr>
        <w:pStyle w:val="CommentText"/>
      </w:pPr>
      <w:r>
        <w:rPr>
          <w:rStyle w:val="CommentReference"/>
        </w:rPr>
        <w:annotationRef/>
      </w:r>
      <w:r>
        <w:t>Was the interview guide validated , what was the method used –is it construct validity /content or face validity . As there are translations as well was the reliability checked ?</w:t>
      </w:r>
    </w:p>
  </w:comment>
  <w:comment w:id="6" w:author="Author" w:initials="A">
    <w:p w14:paraId="4FFFA28E" w14:textId="77777777" w:rsidR="001E2088" w:rsidRDefault="001E2088">
      <w:pPr>
        <w:pStyle w:val="CommentText"/>
      </w:pPr>
      <w:r>
        <w:rPr>
          <w:rStyle w:val="CommentReference"/>
        </w:rPr>
        <w:annotationRef/>
      </w:r>
      <w:r>
        <w:t xml:space="preserve">Why in between the references are quoted in text  other than in numbers  which is Harvard style of referencing </w:t>
      </w:r>
    </w:p>
  </w:comment>
  <w:comment w:id="7" w:author="Author" w:initials="A">
    <w:p w14:paraId="1D0BF8BB" w14:textId="77777777" w:rsidR="001E2088" w:rsidRDefault="001E2088">
      <w:pPr>
        <w:pStyle w:val="CommentText"/>
      </w:pPr>
      <w:r>
        <w:rPr>
          <w:rStyle w:val="CommentReference"/>
        </w:rPr>
        <w:annotationRef/>
      </w:r>
      <w:r>
        <w:t xml:space="preserve">Can the age be depicted as a median as it is non parametric variable </w:t>
      </w:r>
    </w:p>
  </w:comment>
  <w:comment w:id="8" w:author="Author" w:initials="A">
    <w:p w14:paraId="6F51DAEC" w14:textId="77777777" w:rsidR="0072487C" w:rsidRDefault="0072487C">
      <w:pPr>
        <w:pStyle w:val="CommentText"/>
      </w:pPr>
      <w:r>
        <w:rPr>
          <w:rStyle w:val="CommentReference"/>
        </w:rPr>
        <w:annotationRef/>
      </w:r>
      <w:r>
        <w:t>Why was a mixed method approach  of qualitative analysis not used ?</w:t>
      </w:r>
    </w:p>
  </w:comment>
  <w:comment w:id="9" w:author="Author" w:initials="A">
    <w:p w14:paraId="32488A65" w14:textId="77777777" w:rsidR="007B3C83" w:rsidRDefault="007B3C83">
      <w:pPr>
        <w:pStyle w:val="CommentText"/>
      </w:pPr>
      <w:r>
        <w:rPr>
          <w:rStyle w:val="CommentReference"/>
        </w:rPr>
        <w:annotationRef/>
      </w:r>
      <w:r>
        <w:t>Here the privacy related issues are confused with practice vs research . if they are considering ICMR guidelines for the purpose of study it deals with research related issues .why practice related privacy factors are discussed ??</w:t>
      </w:r>
    </w:p>
    <w:p w14:paraId="23F20582" w14:textId="77777777" w:rsidR="00C45435" w:rsidRDefault="00C45435">
      <w:pPr>
        <w:pStyle w:val="CommentText"/>
      </w:pPr>
      <w:r>
        <w:t>If they want to discuss practice related issues –then there are many omissions  - like what are privacy rules – HIV pts . If privacy  divulged – what are different types of harms to the pts and how it is mitigated both in practice and research . What is liability to the person who divulges ?</w:t>
      </w:r>
    </w:p>
  </w:comment>
  <w:comment w:id="12" w:author="Author" w:initials="A">
    <w:p w14:paraId="16CA0447" w14:textId="77777777" w:rsidR="00EB52E3" w:rsidRDefault="00EB52E3">
      <w:pPr>
        <w:pStyle w:val="CommentText"/>
      </w:pPr>
      <w:r>
        <w:rPr>
          <w:rStyle w:val="CommentReference"/>
        </w:rPr>
        <w:annotationRef/>
      </w:r>
      <w:r>
        <w:t>Why such a old data is trying to be published . why the delay happened ?</w:t>
      </w:r>
    </w:p>
  </w:comment>
  <w:comment w:id="13" w:author="Author" w:initials="A">
    <w:p w14:paraId="5F12C62C" w14:textId="77777777" w:rsidR="00EB52E3" w:rsidRDefault="00EB52E3">
      <w:pPr>
        <w:pStyle w:val="CommentText"/>
      </w:pPr>
      <w:r>
        <w:rPr>
          <w:rStyle w:val="CommentReference"/>
        </w:rPr>
        <w:annotationRef/>
      </w:r>
      <w:r>
        <w:t xml:space="preserve">The conclusion is too large and has to short and to the point . Limitations are also </w:t>
      </w:r>
      <w:r w:rsidR="00C01229">
        <w:t xml:space="preserve">to be </w:t>
      </w:r>
      <w:r>
        <w:t xml:space="preserve">included in conclusion </w:t>
      </w:r>
    </w:p>
  </w:comment>
  <w:comment w:id="14" w:author="Author" w:initials="A">
    <w:p w14:paraId="6E497088" w14:textId="77777777" w:rsidR="00C45435" w:rsidRDefault="00C45435">
      <w:pPr>
        <w:pStyle w:val="CommentText"/>
      </w:pPr>
      <w:r>
        <w:rPr>
          <w:rStyle w:val="CommentReference"/>
        </w:rPr>
        <w:annotationRef/>
      </w:r>
      <w:r>
        <w:t>Ref 7 and 8 are the same authors and there is self referencing which is usually done for more citation unless required .</w:t>
      </w:r>
    </w:p>
  </w:comment>
  <w:comment w:id="15" w:author="Author" w:initials="A">
    <w:p w14:paraId="126EF67D" w14:textId="77777777" w:rsidR="007B3C83" w:rsidRDefault="007B3C83">
      <w:pPr>
        <w:pStyle w:val="CommentText"/>
      </w:pPr>
      <w:r>
        <w:rPr>
          <w:rStyle w:val="CommentReference"/>
        </w:rPr>
        <w:annotationRef/>
      </w:r>
      <w:r>
        <w:t xml:space="preserve">Ref no 8 also is not quoted properly </w:t>
      </w:r>
    </w:p>
  </w:comment>
  <w:comment w:id="16" w:author="Author" w:initials="A">
    <w:p w14:paraId="45F2CE3C" w14:textId="77777777" w:rsidR="0014665E" w:rsidRDefault="0014665E">
      <w:pPr>
        <w:pStyle w:val="CommentText"/>
      </w:pPr>
      <w:r>
        <w:rPr>
          <w:rStyle w:val="CommentReference"/>
        </w:rPr>
        <w:annotationRef/>
      </w:r>
      <w:r>
        <w:t>6</w:t>
      </w:r>
      <w:r w:rsidRPr="0014665E">
        <w:rPr>
          <w:vertAlign w:val="superscript"/>
        </w:rPr>
        <w:t>th</w:t>
      </w:r>
      <w:r>
        <w:t xml:space="preserve"> ref quoting is not as per Vancouver ,please revise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622F50" w15:done="0"/>
  <w15:commentEx w15:paraId="73BDC808" w15:done="0"/>
  <w15:commentEx w15:paraId="52AFCF0B" w15:done="0"/>
  <w15:commentEx w15:paraId="3DA6C7D1" w15:done="0"/>
  <w15:commentEx w15:paraId="424C6934" w15:done="0"/>
  <w15:commentEx w15:paraId="086CC649" w15:done="0"/>
  <w15:commentEx w15:paraId="4FFFA28E" w15:done="0"/>
  <w15:commentEx w15:paraId="1D0BF8BB" w15:done="0"/>
  <w15:commentEx w15:paraId="6F51DAEC" w15:done="0"/>
  <w15:commentEx w15:paraId="23F20582" w15:done="0"/>
  <w15:commentEx w15:paraId="16CA0447" w15:done="0"/>
  <w15:commentEx w15:paraId="5F12C62C" w15:done="0"/>
  <w15:commentEx w15:paraId="6E497088" w15:done="0"/>
  <w15:commentEx w15:paraId="126EF67D" w15:done="0"/>
  <w15:commentEx w15:paraId="45F2CE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622F50" w16cid:durableId="1E36A86F"/>
  <w16cid:commentId w16cid:paraId="73BDC808" w16cid:durableId="1E36A870"/>
  <w16cid:commentId w16cid:paraId="52AFCF0B" w16cid:durableId="1E36A871"/>
  <w16cid:commentId w16cid:paraId="3DA6C7D1" w16cid:durableId="1E36A872"/>
  <w16cid:commentId w16cid:paraId="424C6934" w16cid:durableId="1E36A873"/>
  <w16cid:commentId w16cid:paraId="086CC649" w16cid:durableId="1E36A874"/>
  <w16cid:commentId w16cid:paraId="4FFFA28E" w16cid:durableId="1E36A875"/>
  <w16cid:commentId w16cid:paraId="1D0BF8BB" w16cid:durableId="1E36A876"/>
  <w16cid:commentId w16cid:paraId="6F51DAEC" w16cid:durableId="1E36A877"/>
  <w16cid:commentId w16cid:paraId="23F20582" w16cid:durableId="1E36A878"/>
  <w16cid:commentId w16cid:paraId="16CA0447" w16cid:durableId="1E36A879"/>
  <w16cid:commentId w16cid:paraId="5F12C62C" w16cid:durableId="1E36A87A"/>
  <w16cid:commentId w16cid:paraId="6E497088" w16cid:durableId="1E36A87B"/>
  <w16cid:commentId w16cid:paraId="126EF67D" w16cid:durableId="1E36A87C"/>
  <w16cid:commentId w16cid:paraId="45F2CE3C" w16cid:durableId="1E36A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41BC3" w14:textId="77777777" w:rsidR="003F35AE" w:rsidRDefault="003F35AE" w:rsidP="00AF370F">
      <w:pPr>
        <w:spacing w:after="0" w:line="240" w:lineRule="auto"/>
      </w:pPr>
      <w:r>
        <w:separator/>
      </w:r>
    </w:p>
  </w:endnote>
  <w:endnote w:type="continuationSeparator" w:id="0">
    <w:p w14:paraId="0B95D9DE" w14:textId="77777777" w:rsidR="003F35AE" w:rsidRDefault="003F35AE" w:rsidP="00AF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569BB" w14:textId="77777777" w:rsidR="003F35AE" w:rsidRDefault="003F35AE" w:rsidP="00AF370F">
      <w:pPr>
        <w:spacing w:after="0" w:line="240" w:lineRule="auto"/>
      </w:pPr>
      <w:r>
        <w:separator/>
      </w:r>
    </w:p>
  </w:footnote>
  <w:footnote w:type="continuationSeparator" w:id="0">
    <w:p w14:paraId="2D44B684" w14:textId="77777777" w:rsidR="003F35AE" w:rsidRDefault="003F35AE" w:rsidP="00AF3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46EFB"/>
    <w:multiLevelType w:val="multilevel"/>
    <w:tmpl w:val="E98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1212D"/>
    <w:multiLevelType w:val="multilevel"/>
    <w:tmpl w:val="E58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15B86"/>
    <w:multiLevelType w:val="multilevel"/>
    <w:tmpl w:val="DDD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56"/>
    <w:rsid w:val="0004601E"/>
    <w:rsid w:val="001156BE"/>
    <w:rsid w:val="001461DA"/>
    <w:rsid w:val="0014665E"/>
    <w:rsid w:val="001E2088"/>
    <w:rsid w:val="003F35AE"/>
    <w:rsid w:val="004155A7"/>
    <w:rsid w:val="0043665D"/>
    <w:rsid w:val="004A3920"/>
    <w:rsid w:val="005B102F"/>
    <w:rsid w:val="006E3075"/>
    <w:rsid w:val="0072487C"/>
    <w:rsid w:val="007B3C83"/>
    <w:rsid w:val="008B3261"/>
    <w:rsid w:val="00A17756"/>
    <w:rsid w:val="00AC2E30"/>
    <w:rsid w:val="00AF370F"/>
    <w:rsid w:val="00C01229"/>
    <w:rsid w:val="00C45435"/>
    <w:rsid w:val="00D73C86"/>
    <w:rsid w:val="00E33285"/>
    <w:rsid w:val="00EB52E3"/>
    <w:rsid w:val="00EE1463"/>
    <w:rsid w:val="00F42DD8"/>
    <w:rsid w:val="00F44045"/>
    <w:rsid w:val="00F6717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1DA"/>
  </w:style>
  <w:style w:type="paragraph" w:styleId="Heading3">
    <w:name w:val="heading 3"/>
    <w:basedOn w:val="Normal"/>
    <w:link w:val="Heading3Char"/>
    <w:uiPriority w:val="9"/>
    <w:qFormat/>
    <w:rsid w:val="004155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7756"/>
    <w:rPr>
      <w:color w:val="0000FF"/>
      <w:u w:val="single"/>
    </w:rPr>
  </w:style>
  <w:style w:type="paragraph" w:customStyle="1" w:styleId="yiv1396256721msonormal">
    <w:name w:val="yiv1396256721msonormal"/>
    <w:basedOn w:val="Normal"/>
    <w:rsid w:val="00A177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dNoteBibliography">
    <w:name w:val="EndNote Bibliography"/>
    <w:basedOn w:val="Normal"/>
    <w:link w:val="EndNoteBibliographyChar"/>
    <w:rsid w:val="008B3261"/>
    <w:pPr>
      <w:spacing w:after="0" w:line="240" w:lineRule="auto"/>
    </w:pPr>
    <w:rPr>
      <w:rFonts w:ascii="Calibri" w:eastAsia="Calibri" w:hAnsi="Calibri" w:cs="Mangal"/>
      <w:noProof/>
      <w:lang w:val="en-US"/>
    </w:rPr>
  </w:style>
  <w:style w:type="character" w:customStyle="1" w:styleId="EndNoteBibliographyChar">
    <w:name w:val="EndNote Bibliography Char"/>
    <w:link w:val="EndNoteBibliography"/>
    <w:rsid w:val="008B3261"/>
    <w:rPr>
      <w:rFonts w:ascii="Calibri" w:eastAsia="Calibri" w:hAnsi="Calibri" w:cs="Mangal"/>
      <w:noProof/>
      <w:lang w:val="en-US"/>
    </w:rPr>
  </w:style>
  <w:style w:type="character" w:customStyle="1" w:styleId="Heading3Char">
    <w:name w:val="Heading 3 Char"/>
    <w:basedOn w:val="DefaultParagraphFont"/>
    <w:link w:val="Heading3"/>
    <w:uiPriority w:val="9"/>
    <w:rsid w:val="004155A7"/>
    <w:rPr>
      <w:rFonts w:ascii="Times New Roman" w:eastAsia="Times New Roman" w:hAnsi="Times New Roman" w:cs="Times New Roman"/>
      <w:b/>
      <w:bCs/>
      <w:sz w:val="27"/>
      <w:szCs w:val="27"/>
      <w:lang w:eastAsia="en-IN"/>
    </w:rPr>
  </w:style>
  <w:style w:type="character" w:styleId="CommentReference">
    <w:name w:val="annotation reference"/>
    <w:basedOn w:val="DefaultParagraphFont"/>
    <w:uiPriority w:val="99"/>
    <w:semiHidden/>
    <w:unhideWhenUsed/>
    <w:rsid w:val="0014665E"/>
    <w:rPr>
      <w:sz w:val="16"/>
      <w:szCs w:val="16"/>
    </w:rPr>
  </w:style>
  <w:style w:type="paragraph" w:styleId="CommentText">
    <w:name w:val="annotation text"/>
    <w:basedOn w:val="Normal"/>
    <w:link w:val="CommentTextChar"/>
    <w:uiPriority w:val="99"/>
    <w:semiHidden/>
    <w:unhideWhenUsed/>
    <w:rsid w:val="0014665E"/>
    <w:pPr>
      <w:spacing w:line="240" w:lineRule="auto"/>
    </w:pPr>
    <w:rPr>
      <w:sz w:val="20"/>
      <w:szCs w:val="20"/>
    </w:rPr>
  </w:style>
  <w:style w:type="character" w:customStyle="1" w:styleId="CommentTextChar">
    <w:name w:val="Comment Text Char"/>
    <w:basedOn w:val="DefaultParagraphFont"/>
    <w:link w:val="CommentText"/>
    <w:uiPriority w:val="99"/>
    <w:semiHidden/>
    <w:rsid w:val="0014665E"/>
    <w:rPr>
      <w:sz w:val="20"/>
      <w:szCs w:val="20"/>
    </w:rPr>
  </w:style>
  <w:style w:type="paragraph" w:styleId="CommentSubject">
    <w:name w:val="annotation subject"/>
    <w:basedOn w:val="CommentText"/>
    <w:next w:val="CommentText"/>
    <w:link w:val="CommentSubjectChar"/>
    <w:uiPriority w:val="99"/>
    <w:semiHidden/>
    <w:unhideWhenUsed/>
    <w:rsid w:val="0014665E"/>
    <w:rPr>
      <w:b/>
      <w:bCs/>
    </w:rPr>
  </w:style>
  <w:style w:type="character" w:customStyle="1" w:styleId="CommentSubjectChar">
    <w:name w:val="Comment Subject Char"/>
    <w:basedOn w:val="CommentTextChar"/>
    <w:link w:val="CommentSubject"/>
    <w:uiPriority w:val="99"/>
    <w:semiHidden/>
    <w:rsid w:val="0014665E"/>
    <w:rPr>
      <w:b/>
      <w:bCs/>
      <w:sz w:val="20"/>
      <w:szCs w:val="20"/>
    </w:rPr>
  </w:style>
  <w:style w:type="paragraph" w:styleId="BalloonText">
    <w:name w:val="Balloon Text"/>
    <w:basedOn w:val="Normal"/>
    <w:link w:val="BalloonTextChar"/>
    <w:uiPriority w:val="99"/>
    <w:semiHidden/>
    <w:unhideWhenUsed/>
    <w:rsid w:val="00146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65E"/>
    <w:rPr>
      <w:rFonts w:ascii="Tahoma" w:hAnsi="Tahoma" w:cs="Tahoma"/>
      <w:sz w:val="16"/>
      <w:szCs w:val="16"/>
    </w:rPr>
  </w:style>
  <w:style w:type="paragraph" w:styleId="Header">
    <w:name w:val="header"/>
    <w:basedOn w:val="Normal"/>
    <w:link w:val="HeaderChar"/>
    <w:uiPriority w:val="99"/>
    <w:unhideWhenUsed/>
    <w:rsid w:val="00AF3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0F"/>
  </w:style>
  <w:style w:type="paragraph" w:styleId="Footer">
    <w:name w:val="footer"/>
    <w:basedOn w:val="Normal"/>
    <w:link w:val="FooterChar"/>
    <w:uiPriority w:val="99"/>
    <w:unhideWhenUsed/>
    <w:rsid w:val="00AF3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59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554">
          <w:marLeft w:val="0"/>
          <w:marRight w:val="0"/>
          <w:marTop w:val="0"/>
          <w:marBottom w:val="0"/>
          <w:divBdr>
            <w:top w:val="none" w:sz="0" w:space="0" w:color="auto"/>
            <w:left w:val="none" w:sz="0" w:space="0" w:color="auto"/>
            <w:bottom w:val="none" w:sz="0" w:space="0" w:color="auto"/>
            <w:right w:val="none" w:sz="0" w:space="0" w:color="auto"/>
          </w:divBdr>
          <w:divsChild>
            <w:div w:id="541594021">
              <w:marLeft w:val="0"/>
              <w:marRight w:val="0"/>
              <w:marTop w:val="0"/>
              <w:marBottom w:val="0"/>
              <w:divBdr>
                <w:top w:val="none" w:sz="0" w:space="0" w:color="auto"/>
                <w:left w:val="none" w:sz="0" w:space="0" w:color="auto"/>
                <w:bottom w:val="none" w:sz="0" w:space="0" w:color="auto"/>
                <w:right w:val="none" w:sz="0" w:space="0" w:color="auto"/>
              </w:divBdr>
              <w:divsChild>
                <w:div w:id="653796055">
                  <w:marLeft w:val="0"/>
                  <w:marRight w:val="0"/>
                  <w:marTop w:val="0"/>
                  <w:marBottom w:val="0"/>
                  <w:divBdr>
                    <w:top w:val="none" w:sz="0" w:space="0" w:color="auto"/>
                    <w:left w:val="none" w:sz="0" w:space="0" w:color="auto"/>
                    <w:bottom w:val="none" w:sz="0" w:space="0" w:color="auto"/>
                    <w:right w:val="none" w:sz="0" w:space="0" w:color="auto"/>
                  </w:divBdr>
                  <w:divsChild>
                    <w:div w:id="842203167">
                      <w:marLeft w:val="0"/>
                      <w:marRight w:val="0"/>
                      <w:marTop w:val="0"/>
                      <w:marBottom w:val="0"/>
                      <w:divBdr>
                        <w:top w:val="none" w:sz="0" w:space="0" w:color="auto"/>
                        <w:left w:val="none" w:sz="0" w:space="0" w:color="auto"/>
                        <w:bottom w:val="none" w:sz="0" w:space="0" w:color="auto"/>
                        <w:right w:val="none" w:sz="0" w:space="0" w:color="auto"/>
                      </w:divBdr>
                      <w:divsChild>
                        <w:div w:id="1895845207">
                          <w:marLeft w:val="0"/>
                          <w:marRight w:val="0"/>
                          <w:marTop w:val="0"/>
                          <w:marBottom w:val="0"/>
                          <w:divBdr>
                            <w:top w:val="none" w:sz="0" w:space="0" w:color="auto"/>
                            <w:left w:val="none" w:sz="0" w:space="0" w:color="auto"/>
                            <w:bottom w:val="none" w:sz="0" w:space="0" w:color="auto"/>
                            <w:right w:val="none" w:sz="0" w:space="0" w:color="auto"/>
                          </w:divBdr>
                          <w:divsChild>
                            <w:div w:id="966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97810">
          <w:marLeft w:val="0"/>
          <w:marRight w:val="0"/>
          <w:marTop w:val="0"/>
          <w:marBottom w:val="0"/>
          <w:divBdr>
            <w:top w:val="none" w:sz="0" w:space="0" w:color="auto"/>
            <w:left w:val="none" w:sz="0" w:space="0" w:color="auto"/>
            <w:bottom w:val="none" w:sz="0" w:space="0" w:color="auto"/>
            <w:right w:val="none" w:sz="0" w:space="0" w:color="auto"/>
          </w:divBdr>
          <w:divsChild>
            <w:div w:id="1436680219">
              <w:marLeft w:val="0"/>
              <w:marRight w:val="0"/>
              <w:marTop w:val="0"/>
              <w:marBottom w:val="0"/>
              <w:divBdr>
                <w:top w:val="none" w:sz="0" w:space="0" w:color="auto"/>
                <w:left w:val="none" w:sz="0" w:space="0" w:color="auto"/>
                <w:bottom w:val="none" w:sz="0" w:space="0" w:color="auto"/>
                <w:right w:val="none" w:sz="0" w:space="0" w:color="auto"/>
              </w:divBdr>
              <w:divsChild>
                <w:div w:id="436754347">
                  <w:marLeft w:val="0"/>
                  <w:marRight w:val="0"/>
                  <w:marTop w:val="0"/>
                  <w:marBottom w:val="0"/>
                  <w:divBdr>
                    <w:top w:val="none" w:sz="0" w:space="0" w:color="auto"/>
                    <w:left w:val="none" w:sz="0" w:space="0" w:color="auto"/>
                    <w:bottom w:val="none" w:sz="0" w:space="0" w:color="auto"/>
                    <w:right w:val="none" w:sz="0" w:space="0" w:color="auto"/>
                  </w:divBdr>
                  <w:divsChild>
                    <w:div w:id="16414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2476">
      <w:bodyDiv w:val="1"/>
      <w:marLeft w:val="0"/>
      <w:marRight w:val="0"/>
      <w:marTop w:val="0"/>
      <w:marBottom w:val="0"/>
      <w:divBdr>
        <w:top w:val="none" w:sz="0" w:space="0" w:color="auto"/>
        <w:left w:val="none" w:sz="0" w:space="0" w:color="auto"/>
        <w:bottom w:val="none" w:sz="0" w:space="0" w:color="auto"/>
        <w:right w:val="none" w:sz="0" w:space="0" w:color="auto"/>
      </w:divBdr>
      <w:divsChild>
        <w:div w:id="419642080">
          <w:marLeft w:val="0"/>
          <w:marRight w:val="0"/>
          <w:marTop w:val="0"/>
          <w:marBottom w:val="0"/>
          <w:divBdr>
            <w:top w:val="none" w:sz="0" w:space="0" w:color="auto"/>
            <w:left w:val="none" w:sz="0" w:space="0" w:color="auto"/>
            <w:bottom w:val="none" w:sz="0" w:space="0" w:color="auto"/>
            <w:right w:val="none" w:sz="0" w:space="0" w:color="auto"/>
          </w:divBdr>
          <w:divsChild>
            <w:div w:id="5250501">
              <w:marLeft w:val="0"/>
              <w:marRight w:val="0"/>
              <w:marTop w:val="0"/>
              <w:marBottom w:val="0"/>
              <w:divBdr>
                <w:top w:val="none" w:sz="0" w:space="0" w:color="auto"/>
                <w:left w:val="none" w:sz="0" w:space="0" w:color="auto"/>
                <w:bottom w:val="none" w:sz="0" w:space="0" w:color="auto"/>
                <w:right w:val="none" w:sz="0" w:space="0" w:color="auto"/>
              </w:divBdr>
              <w:divsChild>
                <w:div w:id="1249998012">
                  <w:marLeft w:val="0"/>
                  <w:marRight w:val="0"/>
                  <w:marTop w:val="0"/>
                  <w:marBottom w:val="0"/>
                  <w:divBdr>
                    <w:top w:val="none" w:sz="0" w:space="0" w:color="auto"/>
                    <w:left w:val="none" w:sz="0" w:space="0" w:color="auto"/>
                    <w:bottom w:val="none" w:sz="0" w:space="0" w:color="auto"/>
                    <w:right w:val="none" w:sz="0" w:space="0" w:color="auto"/>
                  </w:divBdr>
                  <w:divsChild>
                    <w:div w:id="719671954">
                      <w:marLeft w:val="0"/>
                      <w:marRight w:val="0"/>
                      <w:marTop w:val="0"/>
                      <w:marBottom w:val="0"/>
                      <w:divBdr>
                        <w:top w:val="none" w:sz="0" w:space="0" w:color="auto"/>
                        <w:left w:val="none" w:sz="0" w:space="0" w:color="auto"/>
                        <w:bottom w:val="none" w:sz="0" w:space="0" w:color="auto"/>
                        <w:right w:val="none" w:sz="0" w:space="0" w:color="auto"/>
                      </w:divBdr>
                      <w:divsChild>
                        <w:div w:id="1618482568">
                          <w:marLeft w:val="0"/>
                          <w:marRight w:val="0"/>
                          <w:marTop w:val="0"/>
                          <w:marBottom w:val="0"/>
                          <w:divBdr>
                            <w:top w:val="none" w:sz="0" w:space="0" w:color="auto"/>
                            <w:left w:val="none" w:sz="0" w:space="0" w:color="auto"/>
                            <w:bottom w:val="none" w:sz="0" w:space="0" w:color="auto"/>
                            <w:right w:val="none" w:sz="0" w:space="0" w:color="auto"/>
                          </w:divBdr>
                        </w:div>
                        <w:div w:id="431973855">
                          <w:marLeft w:val="0"/>
                          <w:marRight w:val="0"/>
                          <w:marTop w:val="0"/>
                          <w:marBottom w:val="0"/>
                          <w:divBdr>
                            <w:top w:val="none" w:sz="0" w:space="0" w:color="auto"/>
                            <w:left w:val="none" w:sz="0" w:space="0" w:color="auto"/>
                            <w:bottom w:val="none" w:sz="0" w:space="0" w:color="auto"/>
                            <w:right w:val="none" w:sz="0" w:space="0" w:color="auto"/>
                          </w:divBdr>
                        </w:div>
                        <w:div w:id="1035811342">
                          <w:marLeft w:val="0"/>
                          <w:marRight w:val="0"/>
                          <w:marTop w:val="0"/>
                          <w:marBottom w:val="0"/>
                          <w:divBdr>
                            <w:top w:val="none" w:sz="0" w:space="0" w:color="auto"/>
                            <w:left w:val="none" w:sz="0" w:space="0" w:color="auto"/>
                            <w:bottom w:val="none" w:sz="0" w:space="0" w:color="auto"/>
                            <w:right w:val="none" w:sz="0" w:space="0" w:color="auto"/>
                          </w:divBdr>
                        </w:div>
                        <w:div w:id="1126311158">
                          <w:marLeft w:val="0"/>
                          <w:marRight w:val="0"/>
                          <w:marTop w:val="0"/>
                          <w:marBottom w:val="0"/>
                          <w:divBdr>
                            <w:top w:val="none" w:sz="0" w:space="0" w:color="auto"/>
                            <w:left w:val="none" w:sz="0" w:space="0" w:color="auto"/>
                            <w:bottom w:val="none" w:sz="0" w:space="0" w:color="auto"/>
                            <w:right w:val="none" w:sz="0" w:space="0" w:color="auto"/>
                          </w:divBdr>
                        </w:div>
                        <w:div w:id="261961892">
                          <w:marLeft w:val="0"/>
                          <w:marRight w:val="0"/>
                          <w:marTop w:val="0"/>
                          <w:marBottom w:val="0"/>
                          <w:divBdr>
                            <w:top w:val="none" w:sz="0" w:space="0" w:color="auto"/>
                            <w:left w:val="none" w:sz="0" w:space="0" w:color="auto"/>
                            <w:bottom w:val="none" w:sz="0" w:space="0" w:color="auto"/>
                            <w:right w:val="none" w:sz="0" w:space="0" w:color="auto"/>
                          </w:divBdr>
                        </w:div>
                        <w:div w:id="287587258">
                          <w:marLeft w:val="0"/>
                          <w:marRight w:val="0"/>
                          <w:marTop w:val="0"/>
                          <w:marBottom w:val="0"/>
                          <w:divBdr>
                            <w:top w:val="none" w:sz="0" w:space="0" w:color="auto"/>
                            <w:left w:val="none" w:sz="0" w:space="0" w:color="auto"/>
                            <w:bottom w:val="none" w:sz="0" w:space="0" w:color="auto"/>
                            <w:right w:val="none" w:sz="0" w:space="0" w:color="auto"/>
                          </w:divBdr>
                        </w:div>
                        <w:div w:id="1886330311">
                          <w:marLeft w:val="0"/>
                          <w:marRight w:val="0"/>
                          <w:marTop w:val="0"/>
                          <w:marBottom w:val="0"/>
                          <w:divBdr>
                            <w:top w:val="none" w:sz="0" w:space="0" w:color="auto"/>
                            <w:left w:val="none" w:sz="0" w:space="0" w:color="auto"/>
                            <w:bottom w:val="none" w:sz="0" w:space="0" w:color="auto"/>
                            <w:right w:val="none" w:sz="0" w:space="0" w:color="auto"/>
                          </w:divBdr>
                        </w:div>
                        <w:div w:id="1936747368">
                          <w:marLeft w:val="0"/>
                          <w:marRight w:val="0"/>
                          <w:marTop w:val="0"/>
                          <w:marBottom w:val="0"/>
                          <w:divBdr>
                            <w:top w:val="none" w:sz="0" w:space="0" w:color="auto"/>
                            <w:left w:val="none" w:sz="0" w:space="0" w:color="auto"/>
                            <w:bottom w:val="none" w:sz="0" w:space="0" w:color="auto"/>
                            <w:right w:val="none" w:sz="0" w:space="0" w:color="auto"/>
                          </w:divBdr>
                        </w:div>
                        <w:div w:id="3260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03044">
          <w:marLeft w:val="-120"/>
          <w:marRight w:val="-300"/>
          <w:marTop w:val="0"/>
          <w:marBottom w:val="0"/>
          <w:divBdr>
            <w:top w:val="none" w:sz="0" w:space="0" w:color="auto"/>
            <w:left w:val="none" w:sz="0" w:space="0" w:color="auto"/>
            <w:bottom w:val="none" w:sz="0" w:space="0" w:color="auto"/>
            <w:right w:val="none" w:sz="0" w:space="0" w:color="auto"/>
          </w:divBdr>
          <w:divsChild>
            <w:div w:id="552890659">
              <w:marLeft w:val="0"/>
              <w:marRight w:val="0"/>
              <w:marTop w:val="0"/>
              <w:marBottom w:val="0"/>
              <w:divBdr>
                <w:top w:val="none" w:sz="0" w:space="0" w:color="auto"/>
                <w:left w:val="none" w:sz="0" w:space="0" w:color="auto"/>
                <w:bottom w:val="none" w:sz="0" w:space="0" w:color="auto"/>
                <w:right w:val="none" w:sz="0" w:space="0" w:color="auto"/>
              </w:divBdr>
              <w:divsChild>
                <w:div w:id="1851219378">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 w:id="836922531">
      <w:bodyDiv w:val="1"/>
      <w:marLeft w:val="0"/>
      <w:marRight w:val="0"/>
      <w:marTop w:val="0"/>
      <w:marBottom w:val="0"/>
      <w:divBdr>
        <w:top w:val="none" w:sz="0" w:space="0" w:color="auto"/>
        <w:left w:val="none" w:sz="0" w:space="0" w:color="auto"/>
        <w:bottom w:val="none" w:sz="0" w:space="0" w:color="auto"/>
        <w:right w:val="none" w:sz="0" w:space="0" w:color="auto"/>
      </w:divBdr>
    </w:div>
    <w:div w:id="897476597">
      <w:bodyDiv w:val="1"/>
      <w:marLeft w:val="0"/>
      <w:marRight w:val="0"/>
      <w:marTop w:val="0"/>
      <w:marBottom w:val="0"/>
      <w:divBdr>
        <w:top w:val="none" w:sz="0" w:space="0" w:color="auto"/>
        <w:left w:val="none" w:sz="0" w:space="0" w:color="auto"/>
        <w:bottom w:val="none" w:sz="0" w:space="0" w:color="auto"/>
        <w:right w:val="none" w:sz="0" w:space="0" w:color="auto"/>
      </w:divBdr>
    </w:div>
    <w:div w:id="954169550">
      <w:bodyDiv w:val="1"/>
      <w:marLeft w:val="0"/>
      <w:marRight w:val="0"/>
      <w:marTop w:val="0"/>
      <w:marBottom w:val="0"/>
      <w:divBdr>
        <w:top w:val="none" w:sz="0" w:space="0" w:color="auto"/>
        <w:left w:val="none" w:sz="0" w:space="0" w:color="auto"/>
        <w:bottom w:val="none" w:sz="0" w:space="0" w:color="auto"/>
        <w:right w:val="none" w:sz="0" w:space="0" w:color="auto"/>
      </w:divBdr>
      <w:divsChild>
        <w:div w:id="474879152">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1359814182">
              <w:marLeft w:val="0"/>
              <w:marRight w:val="0"/>
              <w:marTop w:val="0"/>
              <w:marBottom w:val="0"/>
              <w:divBdr>
                <w:top w:val="none" w:sz="0" w:space="0" w:color="auto"/>
                <w:left w:val="none" w:sz="0" w:space="0" w:color="auto"/>
                <w:bottom w:val="none" w:sz="0" w:space="0" w:color="auto"/>
                <w:right w:val="none" w:sz="0" w:space="0" w:color="auto"/>
              </w:divBdr>
              <w:divsChild>
                <w:div w:id="1275477256">
                  <w:marLeft w:val="0"/>
                  <w:marRight w:val="0"/>
                  <w:marTop w:val="0"/>
                  <w:marBottom w:val="0"/>
                  <w:divBdr>
                    <w:top w:val="none" w:sz="0" w:space="0" w:color="auto"/>
                    <w:left w:val="none" w:sz="0" w:space="0" w:color="auto"/>
                    <w:bottom w:val="none" w:sz="0" w:space="0" w:color="auto"/>
                    <w:right w:val="none" w:sz="0" w:space="0" w:color="auto"/>
                  </w:divBdr>
                </w:div>
                <w:div w:id="1936815431">
                  <w:marLeft w:val="0"/>
                  <w:marRight w:val="0"/>
                  <w:marTop w:val="0"/>
                  <w:marBottom w:val="0"/>
                  <w:divBdr>
                    <w:top w:val="none" w:sz="0" w:space="0" w:color="auto"/>
                    <w:left w:val="none" w:sz="0" w:space="0" w:color="auto"/>
                    <w:bottom w:val="none" w:sz="0" w:space="0" w:color="auto"/>
                    <w:right w:val="none" w:sz="0" w:space="0" w:color="auto"/>
                  </w:divBdr>
                </w:div>
                <w:div w:id="1396708520">
                  <w:marLeft w:val="0"/>
                  <w:marRight w:val="0"/>
                  <w:marTop w:val="0"/>
                  <w:marBottom w:val="0"/>
                  <w:divBdr>
                    <w:top w:val="none" w:sz="0" w:space="0" w:color="auto"/>
                    <w:left w:val="none" w:sz="0" w:space="0" w:color="auto"/>
                    <w:bottom w:val="none" w:sz="0" w:space="0" w:color="auto"/>
                    <w:right w:val="none" w:sz="0" w:space="0" w:color="auto"/>
                  </w:divBdr>
                </w:div>
                <w:div w:id="169220724">
                  <w:marLeft w:val="0"/>
                  <w:marRight w:val="0"/>
                  <w:marTop w:val="0"/>
                  <w:marBottom w:val="0"/>
                  <w:divBdr>
                    <w:top w:val="none" w:sz="0" w:space="0" w:color="auto"/>
                    <w:left w:val="none" w:sz="0" w:space="0" w:color="auto"/>
                    <w:bottom w:val="none" w:sz="0" w:space="0" w:color="auto"/>
                    <w:right w:val="none" w:sz="0" w:space="0" w:color="auto"/>
                  </w:divBdr>
                </w:div>
                <w:div w:id="1664776304">
                  <w:marLeft w:val="0"/>
                  <w:marRight w:val="0"/>
                  <w:marTop w:val="0"/>
                  <w:marBottom w:val="0"/>
                  <w:divBdr>
                    <w:top w:val="none" w:sz="0" w:space="0" w:color="auto"/>
                    <w:left w:val="none" w:sz="0" w:space="0" w:color="auto"/>
                    <w:bottom w:val="none" w:sz="0" w:space="0" w:color="auto"/>
                    <w:right w:val="none" w:sz="0" w:space="0" w:color="auto"/>
                  </w:divBdr>
                </w:div>
                <w:div w:id="290669314">
                  <w:marLeft w:val="0"/>
                  <w:marRight w:val="0"/>
                  <w:marTop w:val="0"/>
                  <w:marBottom w:val="0"/>
                  <w:divBdr>
                    <w:top w:val="none" w:sz="0" w:space="0" w:color="auto"/>
                    <w:left w:val="none" w:sz="0" w:space="0" w:color="auto"/>
                    <w:bottom w:val="none" w:sz="0" w:space="0" w:color="auto"/>
                    <w:right w:val="none" w:sz="0" w:space="0" w:color="auto"/>
                  </w:divBdr>
                </w:div>
                <w:div w:id="829055487">
                  <w:marLeft w:val="0"/>
                  <w:marRight w:val="0"/>
                  <w:marTop w:val="0"/>
                  <w:marBottom w:val="0"/>
                  <w:divBdr>
                    <w:top w:val="none" w:sz="0" w:space="0" w:color="auto"/>
                    <w:left w:val="none" w:sz="0" w:space="0" w:color="auto"/>
                    <w:bottom w:val="none" w:sz="0" w:space="0" w:color="auto"/>
                    <w:right w:val="none" w:sz="0" w:space="0" w:color="auto"/>
                  </w:divBdr>
                </w:div>
                <w:div w:id="4480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46416">
      <w:bodyDiv w:val="1"/>
      <w:marLeft w:val="0"/>
      <w:marRight w:val="0"/>
      <w:marTop w:val="0"/>
      <w:marBottom w:val="0"/>
      <w:divBdr>
        <w:top w:val="none" w:sz="0" w:space="0" w:color="auto"/>
        <w:left w:val="none" w:sz="0" w:space="0" w:color="auto"/>
        <w:bottom w:val="none" w:sz="0" w:space="0" w:color="auto"/>
        <w:right w:val="none" w:sz="0" w:space="0" w:color="auto"/>
      </w:divBdr>
      <w:divsChild>
        <w:div w:id="90905348">
          <w:marLeft w:val="0"/>
          <w:marRight w:val="0"/>
          <w:marTop w:val="0"/>
          <w:marBottom w:val="0"/>
          <w:divBdr>
            <w:top w:val="none" w:sz="0" w:space="0" w:color="auto"/>
            <w:left w:val="none" w:sz="0" w:space="0" w:color="auto"/>
            <w:bottom w:val="none" w:sz="0" w:space="0" w:color="auto"/>
            <w:right w:val="none" w:sz="0" w:space="0" w:color="auto"/>
          </w:divBdr>
          <w:divsChild>
            <w:div w:id="534853643">
              <w:marLeft w:val="0"/>
              <w:marRight w:val="0"/>
              <w:marTop w:val="0"/>
              <w:marBottom w:val="0"/>
              <w:divBdr>
                <w:top w:val="none" w:sz="0" w:space="0" w:color="auto"/>
                <w:left w:val="none" w:sz="0" w:space="0" w:color="auto"/>
                <w:bottom w:val="none" w:sz="0" w:space="0" w:color="auto"/>
                <w:right w:val="none" w:sz="0" w:space="0" w:color="auto"/>
              </w:divBdr>
              <w:divsChild>
                <w:div w:id="720593247">
                  <w:marLeft w:val="0"/>
                  <w:marRight w:val="0"/>
                  <w:marTop w:val="0"/>
                  <w:marBottom w:val="0"/>
                  <w:divBdr>
                    <w:top w:val="none" w:sz="0" w:space="0" w:color="auto"/>
                    <w:left w:val="none" w:sz="0" w:space="0" w:color="auto"/>
                    <w:bottom w:val="none" w:sz="0" w:space="0" w:color="auto"/>
                    <w:right w:val="none" w:sz="0" w:space="0" w:color="auto"/>
                  </w:divBdr>
                  <w:divsChild>
                    <w:div w:id="801079082">
                      <w:marLeft w:val="0"/>
                      <w:marRight w:val="0"/>
                      <w:marTop w:val="0"/>
                      <w:marBottom w:val="0"/>
                      <w:divBdr>
                        <w:top w:val="none" w:sz="0" w:space="0" w:color="auto"/>
                        <w:left w:val="none" w:sz="0" w:space="0" w:color="auto"/>
                        <w:bottom w:val="none" w:sz="0" w:space="0" w:color="auto"/>
                        <w:right w:val="none" w:sz="0" w:space="0" w:color="auto"/>
                      </w:divBdr>
                      <w:divsChild>
                        <w:div w:id="1115751435">
                          <w:marLeft w:val="0"/>
                          <w:marRight w:val="0"/>
                          <w:marTop w:val="0"/>
                          <w:marBottom w:val="0"/>
                          <w:divBdr>
                            <w:top w:val="none" w:sz="0" w:space="0" w:color="auto"/>
                            <w:left w:val="none" w:sz="0" w:space="0" w:color="auto"/>
                            <w:bottom w:val="none" w:sz="0" w:space="0" w:color="auto"/>
                            <w:right w:val="none" w:sz="0" w:space="0" w:color="auto"/>
                          </w:divBdr>
                        </w:div>
                        <w:div w:id="474757817">
                          <w:marLeft w:val="0"/>
                          <w:marRight w:val="0"/>
                          <w:marTop w:val="0"/>
                          <w:marBottom w:val="0"/>
                          <w:divBdr>
                            <w:top w:val="none" w:sz="0" w:space="0" w:color="auto"/>
                            <w:left w:val="none" w:sz="0" w:space="0" w:color="auto"/>
                            <w:bottom w:val="none" w:sz="0" w:space="0" w:color="auto"/>
                            <w:right w:val="none" w:sz="0" w:space="0" w:color="auto"/>
                          </w:divBdr>
                        </w:div>
                        <w:div w:id="1584606863">
                          <w:marLeft w:val="0"/>
                          <w:marRight w:val="0"/>
                          <w:marTop w:val="0"/>
                          <w:marBottom w:val="0"/>
                          <w:divBdr>
                            <w:top w:val="none" w:sz="0" w:space="0" w:color="auto"/>
                            <w:left w:val="none" w:sz="0" w:space="0" w:color="auto"/>
                            <w:bottom w:val="none" w:sz="0" w:space="0" w:color="auto"/>
                            <w:right w:val="none" w:sz="0" w:space="0" w:color="auto"/>
                          </w:divBdr>
                        </w:div>
                        <w:div w:id="664473466">
                          <w:marLeft w:val="0"/>
                          <w:marRight w:val="0"/>
                          <w:marTop w:val="0"/>
                          <w:marBottom w:val="0"/>
                          <w:divBdr>
                            <w:top w:val="none" w:sz="0" w:space="0" w:color="auto"/>
                            <w:left w:val="none" w:sz="0" w:space="0" w:color="auto"/>
                            <w:bottom w:val="none" w:sz="0" w:space="0" w:color="auto"/>
                            <w:right w:val="none" w:sz="0" w:space="0" w:color="auto"/>
                          </w:divBdr>
                        </w:div>
                        <w:div w:id="1074936139">
                          <w:marLeft w:val="0"/>
                          <w:marRight w:val="0"/>
                          <w:marTop w:val="0"/>
                          <w:marBottom w:val="0"/>
                          <w:divBdr>
                            <w:top w:val="none" w:sz="0" w:space="0" w:color="auto"/>
                            <w:left w:val="none" w:sz="0" w:space="0" w:color="auto"/>
                            <w:bottom w:val="none" w:sz="0" w:space="0" w:color="auto"/>
                            <w:right w:val="none" w:sz="0" w:space="0" w:color="auto"/>
                          </w:divBdr>
                        </w:div>
                        <w:div w:id="2115592889">
                          <w:marLeft w:val="0"/>
                          <w:marRight w:val="0"/>
                          <w:marTop w:val="0"/>
                          <w:marBottom w:val="0"/>
                          <w:divBdr>
                            <w:top w:val="none" w:sz="0" w:space="0" w:color="auto"/>
                            <w:left w:val="none" w:sz="0" w:space="0" w:color="auto"/>
                            <w:bottom w:val="none" w:sz="0" w:space="0" w:color="auto"/>
                            <w:right w:val="none" w:sz="0" w:space="0" w:color="auto"/>
                          </w:divBdr>
                        </w:div>
                        <w:div w:id="1396687">
                          <w:marLeft w:val="0"/>
                          <w:marRight w:val="0"/>
                          <w:marTop w:val="0"/>
                          <w:marBottom w:val="0"/>
                          <w:divBdr>
                            <w:top w:val="none" w:sz="0" w:space="0" w:color="auto"/>
                            <w:left w:val="none" w:sz="0" w:space="0" w:color="auto"/>
                            <w:bottom w:val="none" w:sz="0" w:space="0" w:color="auto"/>
                            <w:right w:val="none" w:sz="0" w:space="0" w:color="auto"/>
                          </w:divBdr>
                        </w:div>
                        <w:div w:id="1213619680">
                          <w:marLeft w:val="0"/>
                          <w:marRight w:val="0"/>
                          <w:marTop w:val="0"/>
                          <w:marBottom w:val="0"/>
                          <w:divBdr>
                            <w:top w:val="none" w:sz="0" w:space="0" w:color="auto"/>
                            <w:left w:val="none" w:sz="0" w:space="0" w:color="auto"/>
                            <w:bottom w:val="none" w:sz="0" w:space="0" w:color="auto"/>
                            <w:right w:val="none" w:sz="0" w:space="0" w:color="auto"/>
                          </w:divBdr>
                        </w:div>
                        <w:div w:id="18711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3524">
          <w:marLeft w:val="-120"/>
          <w:marRight w:val="-300"/>
          <w:marTop w:val="0"/>
          <w:marBottom w:val="0"/>
          <w:divBdr>
            <w:top w:val="none" w:sz="0" w:space="0" w:color="auto"/>
            <w:left w:val="none" w:sz="0" w:space="0" w:color="auto"/>
            <w:bottom w:val="none" w:sz="0" w:space="0" w:color="auto"/>
            <w:right w:val="none" w:sz="0" w:space="0" w:color="auto"/>
          </w:divBdr>
          <w:divsChild>
            <w:div w:id="1708024281">
              <w:marLeft w:val="0"/>
              <w:marRight w:val="0"/>
              <w:marTop w:val="0"/>
              <w:marBottom w:val="0"/>
              <w:divBdr>
                <w:top w:val="none" w:sz="0" w:space="0" w:color="auto"/>
                <w:left w:val="none" w:sz="0" w:space="0" w:color="auto"/>
                <w:bottom w:val="none" w:sz="0" w:space="0" w:color="auto"/>
                <w:right w:val="none" w:sz="0" w:space="0" w:color="auto"/>
              </w:divBdr>
              <w:divsChild>
                <w:div w:id="1410882916">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 w:id="208988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itadeshp@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mga@pitt.edu"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bioethics.pit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8284</Words>
  <Characters>47224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2018-02-20T08:35:00Z</dcterms:created>
  <dcterms:modified xsi:type="dcterms:W3CDTF">2018-02-20T08:35:00Z</dcterms:modified>
</cp:coreProperties>
</file>