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30" w:rsidRPr="00CB69A7" w:rsidRDefault="00D90C30" w:rsidP="002356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Global Research Partnerships in Advancing 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>Public Health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>: A descriptive case study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 on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 India</w:t>
      </w:r>
    </w:p>
    <w:p w:rsidR="00D90C30" w:rsidRPr="00CB69A7" w:rsidRDefault="00D90C30" w:rsidP="00D90C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0C30" w:rsidRPr="00CB69A7" w:rsidRDefault="00D90C30" w:rsidP="00D90C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B69A7">
        <w:rPr>
          <w:rFonts w:ascii="Times New Roman" w:hAnsi="Times New Roman" w:cs="Times New Roman"/>
          <w:sz w:val="24"/>
          <w:szCs w:val="24"/>
        </w:rPr>
        <w:t>Aju Mathew MD, MPhil, FACP</w:t>
      </w:r>
      <w:r w:rsidRPr="00CB69A7">
        <w:rPr>
          <w:rFonts w:ascii="Times New Roman" w:hAnsi="Times New Roman" w:cs="Times New Roman"/>
          <w:sz w:val="24"/>
          <w:szCs w:val="24"/>
          <w:vertAlign w:val="superscript"/>
        </w:rPr>
        <w:t>1, 2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0C30" w:rsidRPr="00CB69A7" w:rsidRDefault="00D90C30" w:rsidP="00D90C30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1 - Division of Medical Oncology, Markey Cancer Center, University of Kentucky, Lexington, KY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2 - Director, Kerala Cancer Care, Kochi, Kerala, India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Research support</w:t>
      </w:r>
      <w:r w:rsidRPr="00CB69A7">
        <w:rPr>
          <w:rFonts w:ascii="Times New Roman" w:hAnsi="Times New Roman" w:cs="Times New Roman"/>
          <w:sz w:val="24"/>
          <w:szCs w:val="24"/>
        </w:rPr>
        <w:t>: None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CB69A7">
        <w:rPr>
          <w:rFonts w:ascii="Times New Roman" w:hAnsi="Times New Roman" w:cs="Times New Roman"/>
          <w:sz w:val="24"/>
          <w:szCs w:val="24"/>
        </w:rPr>
        <w:t>: Aju Mathew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Aju Mathew MD, MPhil, FACP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University of Kentucky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800 Rose Street, CC452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Lexington, KY 40536, USA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Email: aju.mathew@uky.edu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Fax: 859-257-7715</w:t>
      </w:r>
    </w:p>
    <w:p w:rsidR="00D90C30" w:rsidRPr="00CB69A7" w:rsidRDefault="00D90C30" w:rsidP="00D90C30">
      <w:pPr>
        <w:spacing w:after="20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90C30" w:rsidRPr="00CB69A7" w:rsidRDefault="00D90C30" w:rsidP="00D90C30">
      <w:pPr>
        <w:spacing w:after="20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sz w:val="24"/>
          <w:szCs w:val="24"/>
        </w:rPr>
        <w:t>Author disclosures:</w:t>
      </w:r>
      <w:r w:rsidRPr="00CB69A7">
        <w:rPr>
          <w:rFonts w:ascii="Times New Roman" w:hAnsi="Times New Roman" w:cs="Times New Roman"/>
          <w:bCs/>
          <w:sz w:val="24"/>
          <w:szCs w:val="24"/>
        </w:rPr>
        <w:t xml:space="preserve"> I do not have any conflicts of interest to disclose. 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Abstract: </w:t>
      </w:r>
      <w:r w:rsidRPr="00CB69A7">
        <w:rPr>
          <w:rFonts w:ascii="Times New Roman" w:hAnsi="Times New Roman" w:cs="Times New Roman"/>
          <w:sz w:val="24"/>
          <w:szCs w:val="24"/>
        </w:rPr>
        <w:t>none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Word count: </w:t>
      </w:r>
      <w:r w:rsidRPr="00CB69A7">
        <w:rPr>
          <w:rFonts w:ascii="Times New Roman" w:hAnsi="Times New Roman" w:cs="Times New Roman"/>
          <w:sz w:val="24"/>
          <w:szCs w:val="24"/>
        </w:rPr>
        <w:t>585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Tables: </w:t>
      </w:r>
      <w:r w:rsidRPr="00CB69A7">
        <w:rPr>
          <w:rFonts w:ascii="Times New Roman" w:hAnsi="Times New Roman" w:cs="Times New Roman"/>
          <w:sz w:val="24"/>
          <w:szCs w:val="24"/>
        </w:rPr>
        <w:t>1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Figure: </w:t>
      </w:r>
      <w:r w:rsidRPr="00CB69A7">
        <w:rPr>
          <w:rFonts w:ascii="Times New Roman" w:hAnsi="Times New Roman" w:cs="Times New Roman"/>
          <w:sz w:val="24"/>
          <w:szCs w:val="24"/>
        </w:rPr>
        <w:t>none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Reference count: </w:t>
      </w:r>
      <w:r w:rsidRPr="00CB69A7">
        <w:rPr>
          <w:rFonts w:ascii="Times New Roman" w:hAnsi="Times New Roman" w:cs="Times New Roman"/>
          <w:sz w:val="24"/>
          <w:szCs w:val="24"/>
        </w:rPr>
        <w:t>2</w:t>
      </w: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3811" w:rsidRPr="00CB69A7" w:rsidRDefault="00F30083" w:rsidP="00D90C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Global Research Partnerships in Advancing </w:t>
      </w:r>
      <w:r w:rsidR="00D90C30" w:rsidRPr="00CB69A7">
        <w:rPr>
          <w:rFonts w:ascii="Times New Roman" w:hAnsi="Times New Roman" w:cs="Times New Roman"/>
          <w:b/>
          <w:bCs/>
          <w:sz w:val="24"/>
          <w:szCs w:val="24"/>
        </w:rPr>
        <w:t>Public Health</w:t>
      </w:r>
      <w:r w:rsidR="00A24271" w:rsidRPr="00CB69A7">
        <w:rPr>
          <w:rFonts w:ascii="Times New Roman" w:hAnsi="Times New Roman" w:cs="Times New Roman"/>
          <w:b/>
          <w:bCs/>
          <w:sz w:val="24"/>
          <w:szCs w:val="24"/>
        </w:rPr>
        <w:t>: A descriptive case study o</w:t>
      </w:r>
      <w:r w:rsidR="00D90C30"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A24271" w:rsidRPr="00CB69A7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:rsidR="00F30083" w:rsidRPr="00CB69A7" w:rsidRDefault="00F30083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AFC" w:rsidRPr="00CB69A7" w:rsidRDefault="009B4AFC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F30083" w:rsidRPr="00CB69A7" w:rsidRDefault="00F30083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Collaborative research is integral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in medicine</w:t>
      </w:r>
      <w:r w:rsidRPr="00CB69A7">
        <w:rPr>
          <w:rFonts w:ascii="Times New Roman" w:hAnsi="Times New Roman" w:cs="Times New Roman"/>
          <w:sz w:val="24"/>
          <w:szCs w:val="24"/>
        </w:rPr>
        <w:t xml:space="preserve">.  </w:t>
      </w:r>
      <w:r w:rsidR="00ED4C1A" w:rsidRPr="00CB69A7">
        <w:rPr>
          <w:rFonts w:ascii="Times New Roman" w:hAnsi="Times New Roman" w:cs="Times New Roman"/>
          <w:sz w:val="24"/>
          <w:szCs w:val="24"/>
        </w:rPr>
        <w:t xml:space="preserve">However, rising nationalism may result in </w:t>
      </w:r>
      <w:r w:rsidRPr="00CB69A7">
        <w:rPr>
          <w:rFonts w:ascii="Times New Roman" w:hAnsi="Times New Roman" w:cs="Times New Roman"/>
          <w:sz w:val="24"/>
          <w:szCs w:val="24"/>
        </w:rPr>
        <w:t>a state of protectionism</w:t>
      </w:r>
      <w:r w:rsidR="009D3C97" w:rsidRPr="00CB69A7">
        <w:rPr>
          <w:rFonts w:ascii="Times New Roman" w:hAnsi="Times New Roman" w:cs="Times New Roman"/>
          <w:sz w:val="24"/>
          <w:szCs w:val="24"/>
        </w:rPr>
        <w:t xml:space="preserve"> where international collaboration is curtailed</w:t>
      </w:r>
      <w:r w:rsidR="00ED4C1A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ED4C1A" w:rsidRPr="00CB69A7">
        <w:rPr>
          <w:rFonts w:ascii="Times New Roman" w:hAnsi="Times New Roman" w:cs="Times New Roman"/>
          <w:sz w:val="24"/>
          <w:szCs w:val="24"/>
        </w:rPr>
        <w:t xml:space="preserve">by 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imposing </w:t>
      </w:r>
      <w:r w:rsidR="00ED4C1A" w:rsidRPr="00CB69A7">
        <w:rPr>
          <w:rFonts w:ascii="Times New Roman" w:hAnsi="Times New Roman" w:cs="Times New Roman"/>
          <w:sz w:val="24"/>
          <w:szCs w:val="24"/>
        </w:rPr>
        <w:t>restrictions on funding</w:t>
      </w:r>
      <w:r w:rsidRPr="00CB69A7">
        <w:rPr>
          <w:rFonts w:ascii="Times New Roman" w:hAnsi="Times New Roman" w:cs="Times New Roman"/>
          <w:sz w:val="24"/>
          <w:szCs w:val="24"/>
        </w:rPr>
        <w:t>.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Such a move </w:t>
      </w:r>
      <w:r w:rsidRPr="00CB69A7">
        <w:rPr>
          <w:rFonts w:ascii="Times New Roman" w:hAnsi="Times New Roman" w:cs="Times New Roman"/>
          <w:sz w:val="24"/>
          <w:szCs w:val="24"/>
        </w:rPr>
        <w:t xml:space="preserve">could adversely impact progress in achieving sustainable development goals. In this study, </w:t>
      </w:r>
      <w:r w:rsidR="009D3C97" w:rsidRPr="00CB69A7">
        <w:rPr>
          <w:rFonts w:ascii="Times New Roman" w:hAnsi="Times New Roman" w:cs="Times New Roman"/>
          <w:sz w:val="24"/>
          <w:szCs w:val="24"/>
        </w:rPr>
        <w:t xml:space="preserve">I investigated the </w:t>
      </w:r>
      <w:r w:rsidR="00A61D54" w:rsidRPr="00CB69A7">
        <w:rPr>
          <w:rFonts w:ascii="Times New Roman" w:hAnsi="Times New Roman" w:cs="Times New Roman"/>
          <w:sz w:val="24"/>
          <w:szCs w:val="24"/>
        </w:rPr>
        <w:t xml:space="preserve">characteristics of research partnerships in India. </w:t>
      </w:r>
    </w:p>
    <w:p w:rsidR="00A61D54" w:rsidRPr="00CB69A7" w:rsidRDefault="00A61D54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1D54" w:rsidRPr="00CB69A7" w:rsidRDefault="00A61D54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:rsidR="0080008A" w:rsidRPr="00CB69A7" w:rsidRDefault="00A61D54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I conducted a cross-sectional analysis of all original research articles published in the top five high impact </w:t>
      </w:r>
      <w:r w:rsidR="001C14A1" w:rsidRPr="00CB69A7">
        <w:rPr>
          <w:rFonts w:ascii="Times New Roman" w:hAnsi="Times New Roman" w:cs="Times New Roman"/>
          <w:sz w:val="24"/>
          <w:szCs w:val="24"/>
        </w:rPr>
        <w:t>clinical research journals</w:t>
      </w:r>
      <w:r w:rsidRPr="00CB69A7">
        <w:rPr>
          <w:rFonts w:ascii="Times New Roman" w:hAnsi="Times New Roman" w:cs="Times New Roman"/>
          <w:sz w:val="24"/>
          <w:szCs w:val="24"/>
        </w:rPr>
        <w:t xml:space="preserve"> over a period of ten years prior to February 18</w:t>
      </w:r>
      <w:r w:rsidRPr="00CB69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B69A7">
        <w:rPr>
          <w:rFonts w:ascii="Times New Roman" w:hAnsi="Times New Roman" w:cs="Times New Roman"/>
          <w:sz w:val="24"/>
          <w:szCs w:val="24"/>
        </w:rPr>
        <w:t xml:space="preserve"> 2018. I restricted the search on PubMed database to articles containing the word ‘India’ in any part of the publication, and limited the search to those which provide an abstract.</w:t>
      </w:r>
      <w:r w:rsidR="00B4092E" w:rsidRPr="00CB69A7">
        <w:rPr>
          <w:rFonts w:ascii="Times New Roman" w:hAnsi="Times New Roman" w:cs="Times New Roman"/>
          <w:sz w:val="24"/>
          <w:szCs w:val="24"/>
        </w:rPr>
        <w:t xml:space="preserve"> Of the 258 articles that were retrieved from this search, I found 59 manuscripts which describe re</w:t>
      </w:r>
      <w:r w:rsidR="0080008A" w:rsidRPr="00CB69A7">
        <w:rPr>
          <w:rFonts w:ascii="Times New Roman" w:hAnsi="Times New Roman" w:cs="Times New Roman"/>
          <w:sz w:val="24"/>
          <w:szCs w:val="24"/>
        </w:rPr>
        <w:t xml:space="preserve">search conducted </w:t>
      </w:r>
      <w:r w:rsidR="00737B88" w:rsidRPr="00CB69A7">
        <w:rPr>
          <w:rFonts w:ascii="Times New Roman" w:hAnsi="Times New Roman" w:cs="Times New Roman"/>
          <w:sz w:val="24"/>
          <w:szCs w:val="24"/>
        </w:rPr>
        <w:t>exclusively</w:t>
      </w:r>
      <w:r w:rsidR="0080008A" w:rsidRPr="00CB69A7">
        <w:rPr>
          <w:rFonts w:ascii="Times New Roman" w:hAnsi="Times New Roman" w:cs="Times New Roman"/>
          <w:sz w:val="24"/>
          <w:szCs w:val="24"/>
        </w:rPr>
        <w:t xml:space="preserve"> in India.</w:t>
      </w:r>
    </w:p>
    <w:p w:rsidR="0080008A" w:rsidRPr="00CB69A7" w:rsidRDefault="0080008A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008A" w:rsidRPr="00CB69A7" w:rsidRDefault="0080008A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:rsidR="00D4258F" w:rsidRPr="00CB69A7" w:rsidRDefault="0080008A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Of the 59 research studies, 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31 were published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The Lancet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13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British Medical Journal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11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New England Journal of Medicine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3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Journal of American Medical Association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 and 1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Annals of Internal Medicine</w:t>
      </w:r>
      <w:r w:rsidR="00302069" w:rsidRPr="00CB69A7">
        <w:rPr>
          <w:rFonts w:ascii="Times New Roman" w:hAnsi="Times New Roman" w:cs="Times New Roman"/>
          <w:sz w:val="24"/>
          <w:szCs w:val="24"/>
        </w:rPr>
        <w:t>. Only 46% of the studies had an Indian-affiliated researcher listed as a first author, and 29% as a corresponding author.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The first and the </w:t>
      </w:r>
      <w:r w:rsidR="007C078C" w:rsidRPr="00CB69A7">
        <w:rPr>
          <w:rFonts w:ascii="Times New Roman" w:hAnsi="Times New Roman" w:cs="Times New Roman"/>
          <w:sz w:val="24"/>
          <w:szCs w:val="24"/>
        </w:rPr>
        <w:t>last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authors</w:t>
      </w:r>
      <w:r w:rsidR="007C078C" w:rsidRPr="00CB69A7">
        <w:rPr>
          <w:rFonts w:ascii="Times New Roman" w:hAnsi="Times New Roman" w:cs="Times New Roman"/>
          <w:sz w:val="24"/>
          <w:szCs w:val="24"/>
        </w:rPr>
        <w:t xml:space="preserve"> of the study were both from outside India in 63% of the studies.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302069" w:rsidRPr="00CB69A7">
        <w:rPr>
          <w:rFonts w:ascii="Times New Roman" w:hAnsi="Times New Roman" w:cs="Times New Roman"/>
          <w:sz w:val="24"/>
          <w:szCs w:val="24"/>
        </w:rPr>
        <w:t>The Government of India provided funding support to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15% of the studies, whereas a foreign </w:t>
      </w:r>
      <w:r w:rsidR="00302069" w:rsidRPr="00CB69A7">
        <w:rPr>
          <w:rFonts w:ascii="Times New Roman" w:hAnsi="Times New Roman" w:cs="Times New Roman"/>
          <w:sz w:val="24"/>
          <w:szCs w:val="24"/>
        </w:rPr>
        <w:t>government provided support to 51% of the studies. 41% of studies were supported entirely by a foreign government. 54% of studies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were funded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 from a non-governmental source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as well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not including the United Nations, World Health Organization or the World Bank. Bill &amp; Melinda Gates Foundation and </w:t>
      </w:r>
      <w:proofErr w:type="spellStart"/>
      <w:r w:rsidR="00302069" w:rsidRPr="00CB69A7">
        <w:rPr>
          <w:rFonts w:ascii="Times New Roman" w:hAnsi="Times New Roman" w:cs="Times New Roman"/>
          <w:sz w:val="24"/>
          <w:szCs w:val="24"/>
        </w:rPr>
        <w:t>Wellcome</w:t>
      </w:r>
      <w:proofErr w:type="spellEnd"/>
      <w:r w:rsidR="00302069" w:rsidRPr="00CB69A7">
        <w:rPr>
          <w:rFonts w:ascii="Times New Roman" w:hAnsi="Times New Roman" w:cs="Times New Roman"/>
          <w:sz w:val="24"/>
          <w:szCs w:val="24"/>
        </w:rPr>
        <w:t xml:space="preserve"> Trust provided research funding in 24% and 12% of the studies respectively. Only 6 studies were conducted wit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h pharmaceutical support, of which </w:t>
      </w:r>
      <w:r w:rsidR="00302069" w:rsidRPr="00CB69A7">
        <w:rPr>
          <w:rFonts w:ascii="Times New Roman" w:hAnsi="Times New Roman" w:cs="Times New Roman"/>
          <w:sz w:val="24"/>
          <w:szCs w:val="24"/>
        </w:rPr>
        <w:t>only 3 were funded exclusively by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the industry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. </w:t>
      </w:r>
      <w:r w:rsidR="008A759C" w:rsidRPr="00CB69A7">
        <w:rPr>
          <w:rFonts w:ascii="Times New Roman" w:hAnsi="Times New Roman" w:cs="Times New Roman"/>
          <w:sz w:val="24"/>
          <w:szCs w:val="24"/>
        </w:rPr>
        <w:t xml:space="preserve">Of the 59 studies, 36 were interventional and 23 were observational. The study design </w:t>
      </w:r>
      <w:r w:rsidR="008A759C" w:rsidRPr="00CB69A7">
        <w:rPr>
          <w:rFonts w:ascii="Times New Roman" w:hAnsi="Times New Roman" w:cs="Times New Roman"/>
          <w:sz w:val="24"/>
          <w:szCs w:val="24"/>
        </w:rPr>
        <w:lastRenderedPageBreak/>
        <w:t xml:space="preserve">and topic of research are listed in Table 1. </w:t>
      </w:r>
      <w:r w:rsidR="00D4258F" w:rsidRPr="00CB69A7">
        <w:rPr>
          <w:rFonts w:ascii="Times New Roman" w:hAnsi="Times New Roman" w:cs="Times New Roman"/>
          <w:sz w:val="24"/>
          <w:szCs w:val="24"/>
        </w:rPr>
        <w:t>All of the re</w:t>
      </w:r>
      <w:r w:rsidR="00FE1E9B" w:rsidRPr="00CB69A7">
        <w:rPr>
          <w:rFonts w:ascii="Times New Roman" w:hAnsi="Times New Roman" w:cs="Times New Roman"/>
          <w:sz w:val="24"/>
          <w:szCs w:val="24"/>
        </w:rPr>
        <w:t>search topics were relevant to the I</w:t>
      </w:r>
      <w:r w:rsidR="00D4258F" w:rsidRPr="00CB69A7">
        <w:rPr>
          <w:rFonts w:ascii="Times New Roman" w:hAnsi="Times New Roman" w:cs="Times New Roman"/>
          <w:sz w:val="24"/>
          <w:szCs w:val="24"/>
        </w:rPr>
        <w:t>ndia</w:t>
      </w:r>
      <w:r w:rsidR="00FE1E9B" w:rsidRPr="00CB69A7">
        <w:rPr>
          <w:rFonts w:ascii="Times New Roman" w:hAnsi="Times New Roman" w:cs="Times New Roman"/>
          <w:sz w:val="24"/>
          <w:szCs w:val="24"/>
        </w:rPr>
        <w:t>n context</w:t>
      </w:r>
      <w:r w:rsidR="00D4258F" w:rsidRPr="00CB69A7">
        <w:rPr>
          <w:rFonts w:ascii="Times New Roman" w:hAnsi="Times New Roman" w:cs="Times New Roman"/>
          <w:sz w:val="24"/>
          <w:szCs w:val="24"/>
        </w:rPr>
        <w:t xml:space="preserve">. </w:t>
      </w:r>
      <w:r w:rsidR="00EA6022" w:rsidRPr="00CB69A7">
        <w:rPr>
          <w:rFonts w:ascii="Times New Roman" w:hAnsi="Times New Roman" w:cs="Times New Roman"/>
          <w:sz w:val="24"/>
          <w:szCs w:val="24"/>
        </w:rPr>
        <w:t>Maternal and child health were the</w:t>
      </w:r>
      <w:r w:rsidR="005C40D9" w:rsidRPr="00CB69A7">
        <w:rPr>
          <w:rFonts w:ascii="Times New Roman" w:hAnsi="Times New Roman" w:cs="Times New Roman"/>
          <w:sz w:val="24"/>
          <w:szCs w:val="24"/>
        </w:rPr>
        <w:t xml:space="preserve"> field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of study in 36% of the publications. </w:t>
      </w:r>
      <w:r w:rsidR="00FE1E9B" w:rsidRPr="00CB69A7">
        <w:rPr>
          <w:rFonts w:ascii="Times New Roman" w:hAnsi="Times New Roman" w:cs="Times New Roman"/>
          <w:sz w:val="24"/>
          <w:szCs w:val="24"/>
        </w:rPr>
        <w:t xml:space="preserve">Infections, chronic diseases, and cause of death studies formed the other major </w:t>
      </w:r>
      <w:r w:rsidR="005C40D9" w:rsidRPr="00CB69A7">
        <w:rPr>
          <w:rFonts w:ascii="Times New Roman" w:hAnsi="Times New Roman" w:cs="Times New Roman"/>
          <w:sz w:val="24"/>
          <w:szCs w:val="24"/>
        </w:rPr>
        <w:t>field</w:t>
      </w:r>
      <w:r w:rsidR="00FE1E9B" w:rsidRPr="00CB69A7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D4258F" w:rsidRPr="00CB69A7" w:rsidRDefault="00D4258F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258F" w:rsidRPr="00CB69A7" w:rsidRDefault="00D4258F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:rsidR="00A61D54" w:rsidRPr="00CB69A7" w:rsidRDefault="00260E6F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Majority of the high impact clinical medicine and public health research on India has partnerships that span countries and fun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ders. Two-thirds of the projects were </w:t>
      </w:r>
      <w:r w:rsidRPr="00CB69A7">
        <w:rPr>
          <w:rFonts w:ascii="Times New Roman" w:hAnsi="Times New Roman" w:cs="Times New Roman"/>
          <w:sz w:val="24"/>
          <w:szCs w:val="24"/>
        </w:rPr>
        <w:t>conceived, designed, and conducted by an individual who has an affiliation to a foreign nation. Non-governmental and foreign government support has been crucial to the</w:t>
      </w:r>
      <w:r w:rsidR="008076FF" w:rsidRPr="00CB69A7">
        <w:rPr>
          <w:rFonts w:ascii="Times New Roman" w:hAnsi="Times New Roman" w:cs="Times New Roman"/>
          <w:sz w:val="24"/>
          <w:szCs w:val="24"/>
        </w:rPr>
        <w:t>se</w:t>
      </w:r>
      <w:r w:rsidRPr="00CB69A7">
        <w:rPr>
          <w:rFonts w:ascii="Times New Roman" w:hAnsi="Times New Roman" w:cs="Times New Roman"/>
          <w:sz w:val="24"/>
          <w:szCs w:val="24"/>
        </w:rPr>
        <w:t xml:space="preserve"> studies. More than four-fifths of the funding </w:t>
      </w:r>
      <w:r w:rsidR="00B0591C" w:rsidRPr="00CB69A7">
        <w:rPr>
          <w:rFonts w:ascii="Times New Roman" w:hAnsi="Times New Roman" w:cs="Times New Roman"/>
          <w:sz w:val="24"/>
          <w:szCs w:val="24"/>
        </w:rPr>
        <w:t>was</w:t>
      </w:r>
      <w:r w:rsidRPr="00CB69A7">
        <w:rPr>
          <w:rFonts w:ascii="Times New Roman" w:hAnsi="Times New Roman" w:cs="Times New Roman"/>
          <w:sz w:val="24"/>
          <w:szCs w:val="24"/>
        </w:rPr>
        <w:t xml:space="preserve"> not from the government of India. One-fourth of the funding support has been from the Bill &amp; Melinda Gates Foundation. The government of India has imposed strict restrictions on research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 funding</w:t>
      </w:r>
      <w:r w:rsidRPr="00CB69A7">
        <w:rPr>
          <w:rFonts w:ascii="Times New Roman" w:hAnsi="Times New Roman" w:cs="Times New Roman"/>
          <w:sz w:val="24"/>
          <w:szCs w:val="24"/>
        </w:rPr>
        <w:t xml:space="preserve"> from the organization, among several other 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similar </w:t>
      </w:r>
      <w:r w:rsidRPr="00CB69A7">
        <w:rPr>
          <w:rFonts w:ascii="Times New Roman" w:hAnsi="Times New Roman" w:cs="Times New Roman"/>
          <w:sz w:val="24"/>
          <w:szCs w:val="24"/>
        </w:rPr>
        <w:t>non-governmental organizations.</w:t>
      </w:r>
      <w:r w:rsidR="00CB69A7" w:rsidRPr="00CB69A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B6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E6F" w:rsidRPr="00CB69A7" w:rsidRDefault="00260E6F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260E6F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Research in developing regions should be conducted based on strong ethical benchmarks. 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Collaborative partnerships, </w:t>
      </w:r>
      <w:r w:rsidRPr="00CB69A7">
        <w:rPr>
          <w:rFonts w:ascii="Times New Roman" w:hAnsi="Times New Roman" w:cs="Times New Roman"/>
          <w:sz w:val="24"/>
          <w:szCs w:val="24"/>
        </w:rPr>
        <w:t xml:space="preserve">social value, scientific validity, and context of the research </w:t>
      </w:r>
      <w:r w:rsidR="00D90C30" w:rsidRPr="00CB69A7">
        <w:rPr>
          <w:rFonts w:ascii="Times New Roman" w:hAnsi="Times New Roman" w:cs="Times New Roman"/>
          <w:sz w:val="24"/>
          <w:szCs w:val="24"/>
        </w:rPr>
        <w:t>have</w:t>
      </w:r>
      <w:r w:rsidRPr="00CB69A7">
        <w:rPr>
          <w:rFonts w:ascii="Times New Roman" w:hAnsi="Times New Roman" w:cs="Times New Roman"/>
          <w:sz w:val="24"/>
          <w:szCs w:val="24"/>
        </w:rPr>
        <w:t xml:space="preserve"> to favor the region where research is conducted.</w:t>
      </w:r>
      <w:r w:rsidR="00CB69A7" w:rsidRPr="00CB69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B69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9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69A7">
        <w:rPr>
          <w:rFonts w:ascii="Times New Roman" w:hAnsi="Times New Roman" w:cs="Times New Roman"/>
          <w:sz w:val="24"/>
          <w:szCs w:val="24"/>
        </w:rPr>
        <w:t xml:space="preserve"> the government is curtailing research collaborations between nations and organizations, it risks harming the health of its citizens. While </w:t>
      </w:r>
      <w:r w:rsidR="00F84011" w:rsidRPr="00CB69A7">
        <w:rPr>
          <w:rFonts w:ascii="Times New Roman" w:hAnsi="Times New Roman" w:cs="Times New Roman"/>
          <w:sz w:val="24"/>
          <w:szCs w:val="24"/>
        </w:rPr>
        <w:t xml:space="preserve">funding from local organizations, civil society, and government will help reduce 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the </w:t>
      </w:r>
      <w:r w:rsidR="00F84011" w:rsidRPr="00CB69A7">
        <w:rPr>
          <w:rFonts w:ascii="Times New Roman" w:hAnsi="Times New Roman" w:cs="Times New Roman"/>
          <w:sz w:val="24"/>
          <w:szCs w:val="24"/>
        </w:rPr>
        <w:t>risk for exploitation, curtailing research funding from external sources may have a human cost. The solution to this problem rests with the government which should ensure greater investment in research. Not doing so will be detrimental to the well-being of its people.</w:t>
      </w:r>
    </w:p>
    <w:p w:rsidR="00D90C30" w:rsidRPr="00CB69A7" w:rsidRDefault="00D90C30">
      <w:pPr>
        <w:rPr>
          <w:rFonts w:ascii="Times New Roman" w:hAnsi="Times New Roman" w:cs="Times New Roman"/>
          <w:sz w:val="24"/>
          <w:szCs w:val="24"/>
        </w:rPr>
      </w:pPr>
    </w:p>
    <w:p w:rsidR="00CB69A7" w:rsidRPr="00CB69A7" w:rsidRDefault="00CB69A7" w:rsidP="00CB6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CB69A7" w:rsidRPr="00CB69A7" w:rsidRDefault="00CB69A7">
      <w:pPr>
        <w:rPr>
          <w:rFonts w:ascii="Times New Roman" w:hAnsi="Times New Roman" w:cs="Times New Roman"/>
          <w:sz w:val="24"/>
          <w:szCs w:val="24"/>
        </w:rPr>
      </w:pPr>
    </w:p>
    <w:p w:rsidR="00CB69A7" w:rsidRPr="00CB69A7" w:rsidRDefault="00CB69A7">
      <w:pPr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1. </w:t>
      </w:r>
      <w:hyperlink r:id="rId5" w:history="1">
        <w:r w:rsidRPr="00CB69A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https://www.reuters.com/article/us-india-health-bmgf/india-cuts-some-funding-ties-with-gates-foundation-on-immunization-idUSKBN15N13K</w:t>
        </w:r>
      </w:hyperlink>
      <w:r w:rsidRPr="00CB69A7">
        <w:rPr>
          <w:rFonts w:ascii="Times New Roman" w:hAnsi="Times New Roman" w:cs="Times New Roman"/>
          <w:sz w:val="24"/>
          <w:szCs w:val="24"/>
        </w:rPr>
        <w:t xml:space="preserve"> (Accessed March 1st 2018)</w:t>
      </w:r>
    </w:p>
    <w:p w:rsidR="00CB69A7" w:rsidRPr="00CB69A7" w:rsidRDefault="00CB69A7">
      <w:pPr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2. 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Ezekiel J. Emanuel, David </w:t>
      </w:r>
      <w:proofErr w:type="spellStart"/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Wendler</w:t>
      </w:r>
      <w:proofErr w:type="spellEnd"/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, Jack Killen, Christine Grady; What Makes Clinical Research in Developing Countries Ethical? The Benchmarks of Ethical Research, </w:t>
      </w:r>
      <w:proofErr w:type="gramStart"/>
      <w:r w:rsidRPr="00CB69A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The</w:t>
      </w:r>
      <w:proofErr w:type="gramEnd"/>
      <w:r w:rsidRPr="00CB69A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Journal of Infectious Diseases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, Volume 189, Issue 5, 1 March 2004, Pages 930–937</w:t>
      </w:r>
    </w:p>
    <w:p w:rsidR="00D90C30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69A7" w:rsidRDefault="00CB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69A7" w:rsidRPr="00CB69A7" w:rsidRDefault="00CB69A7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0C30" w:rsidRPr="00CB69A7" w:rsidRDefault="00D90C30" w:rsidP="00D90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Table 1: </w:t>
      </w:r>
      <w:bookmarkStart w:id="0" w:name="_GoBack"/>
      <w:bookmarkEnd w:id="0"/>
      <w:r w:rsidRPr="00CB69A7">
        <w:rPr>
          <w:rFonts w:ascii="Times New Roman" w:hAnsi="Times New Roman" w:cs="Times New Roman"/>
          <w:b/>
          <w:bCs/>
          <w:sz w:val="24"/>
          <w:szCs w:val="24"/>
        </w:rPr>
        <w:t>Research in India in field of medicine and public health published in five high impact factor clinical research journals over ten years (2008-2018)</w:t>
      </w:r>
    </w:p>
    <w:p w:rsidR="00D90C30" w:rsidRPr="00CB69A7" w:rsidRDefault="00D90C30" w:rsidP="00D90C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080"/>
        <w:gridCol w:w="1134"/>
      </w:tblGrid>
      <w:tr w:rsidR="00CB69A7" w:rsidRPr="00CB69A7" w:rsidTr="0003769C">
        <w:tc>
          <w:tcPr>
            <w:tcW w:w="496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 of research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CB69A7" w:rsidRPr="00CB69A7" w:rsidTr="0003769C">
        <w:tc>
          <w:tcPr>
            <w:tcW w:w="496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Type of interventional study (N=36)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9A7" w:rsidRPr="00CB69A7" w:rsidTr="0003769C">
        <w:tc>
          <w:tcPr>
            <w:tcW w:w="4968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Drug</w:t>
            </w:r>
          </w:p>
        </w:tc>
        <w:tc>
          <w:tcPr>
            <w:tcW w:w="1080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Vaccine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Vitamin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Health behavioral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CB69A7" w:rsidRPr="00CB69A7" w:rsidTr="0003769C">
        <w:trPr>
          <w:trHeight w:val="106"/>
        </w:trPr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Health workers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Other (CPAP, drug eluting stents)</w:t>
            </w:r>
          </w:p>
        </w:tc>
        <w:tc>
          <w:tcPr>
            <w:tcW w:w="1080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CB69A7" w:rsidRPr="00CB69A7" w:rsidTr="0003769C">
        <w:tc>
          <w:tcPr>
            <w:tcW w:w="496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Type of observational study (N=23)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9A7" w:rsidRPr="00CB69A7" w:rsidTr="0003769C">
        <w:tc>
          <w:tcPr>
            <w:tcW w:w="4968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Cross-sectional</w:t>
            </w:r>
          </w:p>
        </w:tc>
        <w:tc>
          <w:tcPr>
            <w:tcW w:w="1080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65.2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Modeling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Registry/census data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Cohort</w:t>
            </w:r>
          </w:p>
        </w:tc>
        <w:tc>
          <w:tcPr>
            <w:tcW w:w="1080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</w:tr>
      <w:tr w:rsidR="00CB69A7" w:rsidRPr="00CB69A7" w:rsidTr="0003769C">
        <w:tc>
          <w:tcPr>
            <w:tcW w:w="496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Field of study (N=59)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9A7" w:rsidRPr="00CB69A7" w:rsidTr="0003769C">
        <w:tc>
          <w:tcPr>
            <w:tcW w:w="4968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Maternal/Pregnancy</w:t>
            </w:r>
          </w:p>
        </w:tc>
        <w:tc>
          <w:tcPr>
            <w:tcW w:w="1080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Child health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27.1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Public health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Mental health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Mortality study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 xml:space="preserve">Cancer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Infections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 xml:space="preserve">Nutritional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CB69A7" w:rsidRPr="00CB69A7" w:rsidTr="0003769C">
        <w:tc>
          <w:tcPr>
            <w:tcW w:w="4968" w:type="dxa"/>
            <w:tcBorders>
              <w:top w:val="nil"/>
              <w:bottom w:val="single" w:sz="4" w:space="0" w:color="auto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Chronic diseases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90C30" w:rsidRPr="00CB69A7" w:rsidRDefault="00D90C30" w:rsidP="00037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9A7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</w:tr>
    </w:tbl>
    <w:p w:rsidR="00D90C30" w:rsidRPr="00CB69A7" w:rsidRDefault="00D90C30" w:rsidP="00D90C30">
      <w:pPr>
        <w:rPr>
          <w:rFonts w:ascii="Times New Roman" w:hAnsi="Times New Roman" w:cs="Times New Roman"/>
          <w:sz w:val="24"/>
          <w:szCs w:val="24"/>
        </w:rPr>
      </w:pPr>
    </w:p>
    <w:p w:rsidR="00260E6F" w:rsidRPr="00CB69A7" w:rsidRDefault="00F84011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E6F" w:rsidRPr="00CB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C"/>
    <w:rsid w:val="001C14A1"/>
    <w:rsid w:val="002356DD"/>
    <w:rsid w:val="00260E6F"/>
    <w:rsid w:val="00302069"/>
    <w:rsid w:val="005C40D9"/>
    <w:rsid w:val="005F5095"/>
    <w:rsid w:val="00737B88"/>
    <w:rsid w:val="007C078C"/>
    <w:rsid w:val="007C23DC"/>
    <w:rsid w:val="0080008A"/>
    <w:rsid w:val="008076FF"/>
    <w:rsid w:val="00880992"/>
    <w:rsid w:val="008A759C"/>
    <w:rsid w:val="008C27AF"/>
    <w:rsid w:val="00931947"/>
    <w:rsid w:val="009B4AFC"/>
    <w:rsid w:val="009D3C97"/>
    <w:rsid w:val="00A24271"/>
    <w:rsid w:val="00A61D54"/>
    <w:rsid w:val="00B0591C"/>
    <w:rsid w:val="00B4092E"/>
    <w:rsid w:val="00B73811"/>
    <w:rsid w:val="00B80122"/>
    <w:rsid w:val="00CB69A7"/>
    <w:rsid w:val="00D31A03"/>
    <w:rsid w:val="00D4258F"/>
    <w:rsid w:val="00D90C30"/>
    <w:rsid w:val="00E92C04"/>
    <w:rsid w:val="00EA6022"/>
    <w:rsid w:val="00ED4C1A"/>
    <w:rsid w:val="00F30083"/>
    <w:rsid w:val="00F84011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9A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B69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9A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B69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uters.com/article/us-india-health-bmgf/india-cuts-some-funding-ties-with-gates-foundation-on-immunization-idUSKBN15N13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Aju</dc:creator>
  <cp:keywords/>
  <dc:description/>
  <cp:lastModifiedBy>Mathew, Aju</cp:lastModifiedBy>
  <cp:revision>26</cp:revision>
  <dcterms:created xsi:type="dcterms:W3CDTF">2018-03-01T23:59:00Z</dcterms:created>
  <dcterms:modified xsi:type="dcterms:W3CDTF">2018-03-03T16:55:00Z</dcterms:modified>
</cp:coreProperties>
</file>