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A44" w:rsidRDefault="00D5169E" w:rsidP="00D5169E">
      <w:pPr>
        <w:spacing w:line="240" w:lineRule="auto"/>
        <w:jc w:val="center"/>
        <w:rPr>
          <w:rFonts w:asciiTheme="majorHAnsi" w:eastAsia="Cambria" w:hAnsiTheme="majorHAnsi" w:cs="Cambria"/>
          <w:color w:val="000000"/>
          <w:sz w:val="30"/>
          <w:szCs w:val="30"/>
        </w:rPr>
      </w:pPr>
      <w:bookmarkStart w:id="0" w:name="_GoBack"/>
      <w:bookmarkEnd w:id="0"/>
      <w:r w:rsidRPr="00D5169E">
        <w:rPr>
          <w:rFonts w:asciiTheme="majorHAnsi" w:eastAsia="Cambria" w:hAnsiTheme="majorHAnsi" w:cs="Cambria"/>
          <w:color w:val="000000"/>
          <w:sz w:val="30"/>
          <w:szCs w:val="30"/>
        </w:rPr>
        <w:t>The ethics of compulsory TB notification</w:t>
      </w:r>
    </w:p>
    <w:p w:rsidR="00BE7D0B" w:rsidRDefault="00BE7D0B" w:rsidP="00BE7D0B">
      <w:pPr>
        <w:spacing w:after="0" w:line="240" w:lineRule="auto"/>
        <w:jc w:val="right"/>
        <w:rPr>
          <w:rFonts w:asciiTheme="majorHAnsi" w:eastAsia="Cambria" w:hAnsiTheme="majorHAnsi" w:cs="Cambria"/>
          <w:color w:val="000000"/>
          <w:sz w:val="24"/>
          <w:szCs w:val="24"/>
        </w:rPr>
      </w:pPr>
      <w:r>
        <w:rPr>
          <w:rFonts w:asciiTheme="majorHAnsi" w:eastAsia="Cambria" w:hAnsiTheme="majorHAnsi" w:cs="Cambria"/>
          <w:color w:val="000000"/>
          <w:sz w:val="24"/>
          <w:szCs w:val="24"/>
        </w:rPr>
        <w:t>-</w:t>
      </w:r>
      <w:proofErr w:type="spellStart"/>
      <w:r w:rsidRPr="00BE7D0B">
        <w:rPr>
          <w:rFonts w:asciiTheme="majorHAnsi" w:eastAsia="Cambria" w:hAnsiTheme="majorHAnsi" w:cs="Cambria"/>
          <w:color w:val="000000"/>
          <w:sz w:val="24"/>
          <w:szCs w:val="24"/>
        </w:rPr>
        <w:t>Shaheen</w:t>
      </w:r>
      <w:proofErr w:type="spellEnd"/>
      <w:r w:rsidRPr="00BE7D0B">
        <w:rPr>
          <w:rFonts w:asciiTheme="majorHAnsi" w:eastAsia="Cambria" w:hAnsiTheme="majorHAnsi" w:cs="Cambria"/>
          <w:color w:val="000000"/>
          <w:sz w:val="24"/>
          <w:szCs w:val="24"/>
        </w:rPr>
        <w:t xml:space="preserve"> Chowdhury, Gajanan </w:t>
      </w:r>
      <w:proofErr w:type="spellStart"/>
      <w:r w:rsidRPr="00BE7D0B">
        <w:rPr>
          <w:rFonts w:asciiTheme="majorHAnsi" w:eastAsia="Cambria" w:hAnsiTheme="majorHAnsi" w:cs="Cambria"/>
          <w:color w:val="000000"/>
          <w:sz w:val="24"/>
          <w:szCs w:val="24"/>
        </w:rPr>
        <w:t>Phutke</w:t>
      </w:r>
      <w:proofErr w:type="spellEnd"/>
      <w:r w:rsidRPr="00BE7D0B">
        <w:rPr>
          <w:rFonts w:asciiTheme="majorHAnsi" w:eastAsia="Cambria" w:hAnsiTheme="majorHAnsi" w:cs="Cambria"/>
          <w:color w:val="000000"/>
          <w:sz w:val="24"/>
          <w:szCs w:val="24"/>
        </w:rPr>
        <w:t>, Sushil Patil</w:t>
      </w:r>
    </w:p>
    <w:p w:rsidR="00BE7D0B" w:rsidRPr="00BE7D0B" w:rsidRDefault="00BE7D0B" w:rsidP="00BE7D0B">
      <w:pPr>
        <w:spacing w:line="240" w:lineRule="auto"/>
        <w:jc w:val="right"/>
        <w:rPr>
          <w:rFonts w:asciiTheme="majorHAnsi" w:eastAsia="Times New Roman" w:hAnsiTheme="majorHAnsi" w:cs="Times New Roman"/>
          <w:sz w:val="24"/>
          <w:szCs w:val="24"/>
        </w:rPr>
      </w:pPr>
      <w:r>
        <w:rPr>
          <w:rFonts w:asciiTheme="majorHAnsi" w:eastAsia="Cambria" w:hAnsiTheme="majorHAnsi" w:cs="Cambria"/>
          <w:color w:val="000000"/>
          <w:sz w:val="24"/>
          <w:szCs w:val="24"/>
        </w:rPr>
        <w:t>Jan Swasthya Sahyog, Ganiyari.</w:t>
      </w:r>
    </w:p>
    <w:p w:rsidR="00590A44" w:rsidRPr="008222CB" w:rsidRDefault="00590A44">
      <w:pPr>
        <w:spacing w:after="0" w:line="240" w:lineRule="auto"/>
        <w:rPr>
          <w:rFonts w:asciiTheme="majorHAnsi" w:eastAsia="Times New Roman" w:hAnsiTheme="majorHAnsi" w:cs="Times New Roman"/>
          <w:sz w:val="24"/>
          <w:szCs w:val="24"/>
        </w:rPr>
      </w:pPr>
    </w:p>
    <w:p w:rsidR="00590A44" w:rsidRPr="008222CB" w:rsidRDefault="00D5169E" w:rsidP="00D5169E">
      <w:pPr>
        <w:spacing w:line="240" w:lineRule="auto"/>
        <w:jc w:val="both"/>
        <w:rPr>
          <w:rFonts w:asciiTheme="majorHAnsi" w:eastAsia="Cambria" w:hAnsiTheme="majorHAnsi" w:cs="Cambria"/>
          <w:color w:val="282828"/>
          <w:sz w:val="24"/>
          <w:szCs w:val="24"/>
          <w:shd w:val="clear" w:color="auto" w:fill="F5F5F5"/>
        </w:rPr>
      </w:pPr>
      <w:r w:rsidRPr="008222CB">
        <w:rPr>
          <w:rFonts w:asciiTheme="majorHAnsi" w:eastAsia="Cambria" w:hAnsiTheme="majorHAnsi" w:cs="Cambria"/>
          <w:color w:val="282828"/>
          <w:sz w:val="24"/>
          <w:szCs w:val="24"/>
        </w:rPr>
        <w:t>The government of India recently passed a notification making the non-reporting</w:t>
      </w:r>
      <w:r w:rsidRPr="008222CB">
        <w:rPr>
          <w:rFonts w:asciiTheme="majorHAnsi" w:eastAsia="Cambria" w:hAnsiTheme="majorHAnsi" w:cs="Cambria"/>
          <w:color w:val="282828"/>
          <w:sz w:val="24"/>
          <w:szCs w:val="24"/>
          <w:shd w:val="clear" w:color="auto" w:fill="F5F5F5"/>
        </w:rPr>
        <w:t xml:space="preserve"> </w:t>
      </w:r>
      <w:r w:rsidRPr="00D5169E">
        <w:rPr>
          <w:rFonts w:asciiTheme="majorHAnsi" w:eastAsia="Cambria" w:hAnsiTheme="majorHAnsi" w:cs="Cambria"/>
          <w:color w:val="282828"/>
          <w:sz w:val="24"/>
          <w:szCs w:val="24"/>
        </w:rPr>
        <w:t>of </w:t>
      </w:r>
      <w:r w:rsidRPr="00D5169E">
        <w:rPr>
          <w:rFonts w:asciiTheme="majorHAnsi" w:eastAsia="Cambria" w:hAnsiTheme="majorHAnsi" w:cs="Cambria"/>
          <w:color w:val="000000"/>
          <w:sz w:val="24"/>
          <w:szCs w:val="24"/>
        </w:rPr>
        <w:t>tuberculosis</w:t>
      </w:r>
      <w:r w:rsidRPr="008222CB">
        <w:rPr>
          <w:rFonts w:asciiTheme="majorHAnsi" w:eastAsia="Cambria" w:hAnsiTheme="majorHAnsi" w:cs="Cambria"/>
          <w:color w:val="000000"/>
          <w:sz w:val="24"/>
          <w:szCs w:val="24"/>
        </w:rPr>
        <w:t xml:space="preserve"> cases by the clinical establishment,</w:t>
      </w:r>
      <w:r w:rsidR="008222CB">
        <w:rPr>
          <w:rFonts w:asciiTheme="majorHAnsi" w:eastAsia="Cambria" w:hAnsiTheme="majorHAnsi" w:cs="Cambria"/>
          <w:color w:val="000000"/>
          <w:sz w:val="24"/>
          <w:szCs w:val="24"/>
        </w:rPr>
        <w:t xml:space="preserve"> </w:t>
      </w:r>
      <w:r w:rsidRPr="008222CB">
        <w:rPr>
          <w:rFonts w:asciiTheme="majorHAnsi" w:eastAsia="Cambria" w:hAnsiTheme="majorHAnsi" w:cs="Cambria"/>
          <w:color w:val="000000"/>
          <w:sz w:val="24"/>
          <w:szCs w:val="24"/>
        </w:rPr>
        <w:t>including private practitioners and pharmacists</w:t>
      </w:r>
      <w:r w:rsidRPr="00D5169E">
        <w:rPr>
          <w:rFonts w:asciiTheme="majorHAnsi" w:eastAsia="Cambria" w:hAnsiTheme="majorHAnsi" w:cs="Cambria"/>
          <w:color w:val="000000"/>
          <w:sz w:val="24"/>
          <w:szCs w:val="24"/>
        </w:rPr>
        <w:t xml:space="preserve">, </w:t>
      </w:r>
      <w:r w:rsidRPr="00D5169E">
        <w:rPr>
          <w:rFonts w:asciiTheme="majorHAnsi" w:eastAsia="Cambria" w:hAnsiTheme="majorHAnsi" w:cs="Cambria"/>
          <w:color w:val="282828"/>
          <w:sz w:val="24"/>
          <w:szCs w:val="24"/>
        </w:rPr>
        <w:t>a punishable offence. Under sections 269 and 270 of the Indian Penal Code, this may now be deemed either a – “</w:t>
      </w:r>
      <w:r w:rsidRPr="008222CB">
        <w:rPr>
          <w:rFonts w:asciiTheme="majorHAnsi" w:eastAsia="Cambria" w:hAnsiTheme="majorHAnsi" w:cs="Cambria"/>
          <w:color w:val="000000"/>
          <w:sz w:val="24"/>
          <w:szCs w:val="24"/>
        </w:rPr>
        <w:t xml:space="preserve">Negligent act likely to spread infection of disease dangerous to life” or a “Malignant act likely to spread infection of disease dangerous to life.” This </w:t>
      </w:r>
      <w:r w:rsidRPr="00D5169E">
        <w:rPr>
          <w:rFonts w:asciiTheme="majorHAnsi" w:eastAsia="Cambria" w:hAnsiTheme="majorHAnsi" w:cs="Cambria"/>
          <w:color w:val="282828"/>
          <w:sz w:val="24"/>
          <w:szCs w:val="24"/>
        </w:rPr>
        <w:t>will be punishable with either a fine or a period of imprisonment of up to 6 months/2 years depending upon the section invoked.</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"author" : [ { "dropping-particle" : "", "family" : "India", "given" : "Government of", "non-dropping-particle" : "", "parse-names" : false, "suffix" : "" } ], "id" : "ITEM-1", "issued" : { "date-parts" : [ [ "2018" ] ] }, "title" : "Gazette notification, mandarory reporting of TB", "type" : "article-journal" }, "uris" : [ "http://www.mendeley.com/documents/?uuid=f0ff1efc-17d3-4129-8878-03660889d13f" ] } ], "mendeley" : { "formattedCitation" : "(1)", "plainTextFormattedCitation" : "(1)", "previouslyFormattedCitation" : "(India, 2018)"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(1)</w:t>
      </w:r>
      <w:r w:rsidR="0011123A">
        <w:rPr>
          <w:rFonts w:asciiTheme="majorHAnsi" w:eastAsia="Cambria" w:hAnsiTheme="majorHAnsi" w:cs="Cambria"/>
          <w:color w:val="282828"/>
          <w:sz w:val="24"/>
          <w:szCs w:val="24"/>
        </w:rPr>
        <w:fldChar w:fldCharType="end"/>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It is entirely reasonable for a government which takes the responsibility to ensure treatment of everyone with a disease to collec</w:t>
      </w:r>
      <w:r w:rsidR="008222CB" w:rsidRPr="00D5169E">
        <w:rPr>
          <w:rFonts w:asciiTheme="majorHAnsi" w:eastAsia="Cambria" w:hAnsiTheme="majorHAnsi" w:cs="Cambria"/>
          <w:color w:val="282828"/>
          <w:sz w:val="24"/>
          <w:szCs w:val="24"/>
        </w:rPr>
        <w:t xml:space="preserve">t data from all care providers </w:t>
      </w:r>
      <w:r w:rsidRPr="00D5169E">
        <w:rPr>
          <w:rFonts w:asciiTheme="majorHAnsi" w:eastAsia="Cambria" w:hAnsiTheme="majorHAnsi" w:cs="Cambria"/>
          <w:color w:val="282828"/>
          <w:sz w:val="24"/>
          <w:szCs w:val="24"/>
        </w:rPr>
        <w:t>about the said disease in order to know its true burden and plan policy. And this is even more so in the case of a communicable disease where prevention is closely intertwined with early diagnosis and treatment and there is, in addition, the dimension of drug resistance to be dealt with.</w:t>
      </w:r>
      <w:r w:rsidRPr="008222CB">
        <w:rPr>
          <w:rFonts w:asciiTheme="majorHAnsi" w:eastAsia="Cambria" w:hAnsiTheme="majorHAnsi" w:cs="Cambria"/>
          <w:color w:val="282828"/>
          <w:sz w:val="24"/>
          <w:szCs w:val="24"/>
          <w:shd w:val="clear" w:color="auto" w:fill="F5F5F5"/>
        </w:rPr>
        <w:t xml:space="preserve">   </w:t>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And to be clear, despite the furor that this notification has caused, mandatory reporting of tuberculosis is not new.  It had already been made compulsory by a gazette notification back in 2012.</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"DOI" : "7/05/2012", "author" : [ { "dropping-particle" : "", "family" : "Central TB Division Directorate General of Health Services and Ministry of Health and Family Welfare", "given" : "", "non-dropping-particle" : "", "parse-names" : false, "suffix" : "" } ], "id" : "ITEM-1", "issued" : { "date-parts" : [ [ "2012" ] ] }, "title" : "Notification of TB cases", "type" : "article" }, "uris" : [ "http://www.mendeley.com/documents/?uuid=bd2d930e-3659-44e0-8dbd-07689eb9d546" ] } ], "mendeley" : { "formattedCitation" : "(2)", "plainTextFormattedCitation" : "(2)", "previouslyFormattedCitation" : "(Central TB Division Directorate General of Health Services and Ministry of Health and Family Welfare, 2012)"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(2)</w:t>
      </w:r>
      <w:r w:rsidR="0011123A">
        <w:rPr>
          <w:rFonts w:asciiTheme="majorHAnsi" w:eastAsia="Cambria" w:hAnsiTheme="majorHAnsi" w:cs="Cambria"/>
          <w:color w:val="282828"/>
          <w:sz w:val="24"/>
          <w:szCs w:val="24"/>
        </w:rPr>
        <w:fldChar w:fldCharType="end"/>
      </w:r>
    </w:p>
    <w:p w:rsidR="00590A44" w:rsidRPr="008222CB" w:rsidRDefault="00D5169E" w:rsidP="00D5169E">
      <w:pPr>
        <w:spacing w:line="240" w:lineRule="auto"/>
        <w:jc w:val="both"/>
        <w:rPr>
          <w:rFonts w:asciiTheme="majorHAnsi" w:eastAsia="Cambria" w:hAnsiTheme="majorHAnsi" w:cs="Cambria"/>
          <w:color w:val="282828"/>
          <w:sz w:val="24"/>
          <w:szCs w:val="24"/>
          <w:shd w:val="clear" w:color="auto" w:fill="F5F5F5"/>
        </w:rPr>
      </w:pPr>
      <w:r w:rsidRPr="00D5169E">
        <w:rPr>
          <w:rFonts w:asciiTheme="majorHAnsi" w:eastAsia="Cambria" w:hAnsiTheme="majorHAnsi" w:cs="Cambria"/>
          <w:color w:val="282828"/>
          <w:sz w:val="24"/>
          <w:szCs w:val="24"/>
        </w:rPr>
        <w:t>However making such notification a punishable offence is cause for serious concern and pathognomonic of the lack of foresight and tokenism that ails Indian health policy-making toda</w:t>
      </w:r>
      <w:r w:rsidR="008222CB" w:rsidRPr="00D5169E">
        <w:rPr>
          <w:rFonts w:asciiTheme="majorHAnsi" w:eastAsia="Cambria" w:hAnsiTheme="majorHAnsi" w:cs="Cambria"/>
          <w:color w:val="282828"/>
          <w:sz w:val="24"/>
          <w:szCs w:val="24"/>
        </w:rPr>
        <w:t xml:space="preserve">y. The concerns with this move </w:t>
      </w:r>
      <w:r w:rsidRPr="00D5169E">
        <w:rPr>
          <w:rFonts w:asciiTheme="majorHAnsi" w:eastAsia="Cambria" w:hAnsiTheme="majorHAnsi" w:cs="Cambria"/>
          <w:color w:val="282828"/>
          <w:sz w:val="24"/>
          <w:szCs w:val="24"/>
        </w:rPr>
        <w:t xml:space="preserve">can be discussed under the following broad categories - poor cost-benefit ratio in terms of actionable data obtained, unintended harmful consequences of mandatory reporting, possible widening of the private vs. </w:t>
      </w:r>
      <w:r w:rsidR="00B01B8F" w:rsidRPr="00D5169E">
        <w:rPr>
          <w:rFonts w:asciiTheme="majorHAnsi" w:eastAsia="Cambria" w:hAnsiTheme="majorHAnsi" w:cs="Cambria"/>
          <w:color w:val="282828"/>
          <w:sz w:val="24"/>
          <w:szCs w:val="24"/>
        </w:rPr>
        <w:t>RNTCP</w:t>
      </w:r>
      <w:r w:rsidR="00B01B8F">
        <w:rPr>
          <w:rFonts w:asciiTheme="majorHAnsi" w:eastAsia="Cambria" w:hAnsiTheme="majorHAnsi" w:cs="Cambria"/>
          <w:color w:val="282828"/>
          <w:sz w:val="24"/>
          <w:szCs w:val="24"/>
        </w:rPr>
        <w:t xml:space="preserve"> (Revised national tuberculosis control program)</w:t>
      </w:r>
      <w:r w:rsidRPr="00D5169E">
        <w:rPr>
          <w:rFonts w:asciiTheme="majorHAnsi" w:eastAsia="Cambria" w:hAnsiTheme="majorHAnsi" w:cs="Cambria"/>
          <w:color w:val="282828"/>
          <w:sz w:val="24"/>
          <w:szCs w:val="24"/>
        </w:rPr>
        <w:t xml:space="preserve"> divide and lastly distraction caused from the more urgent issues with the tuberculosis program today. </w:t>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First of all, there is so far little evidence to suggest that any significant analysis or policy change has come about from the notification data of 2012 onwards.  Indeed for the purposes of planning a program it is generally acknowledged that meta-data is of little use. Representative sample surveys provide high quality data with significantly less input being required for data collection not to mention the fact that the confidentiality of patient data is maintained.  Investing time and energy in prosecuting estab</w:t>
      </w:r>
      <w:r w:rsidR="00B01B8F">
        <w:rPr>
          <w:rFonts w:asciiTheme="majorHAnsi" w:eastAsia="Cambria" w:hAnsiTheme="majorHAnsi" w:cs="Cambria"/>
          <w:color w:val="282828"/>
          <w:sz w:val="24"/>
          <w:szCs w:val="24"/>
        </w:rPr>
        <w:t>lishments that do not report tuberculosis</w:t>
      </w:r>
      <w:r w:rsidRPr="00D5169E">
        <w:rPr>
          <w:rFonts w:asciiTheme="majorHAnsi" w:eastAsia="Cambria" w:hAnsiTheme="majorHAnsi" w:cs="Cambria"/>
          <w:color w:val="282828"/>
          <w:sz w:val="24"/>
          <w:szCs w:val="24"/>
        </w:rPr>
        <w:t xml:space="preserve"> seems excessive for the return in terms of useful information that will be obtained from this. </w:t>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Further, for all practical and administrative purposes it is a completely un-enforceable law. Its enforcement may go one of two ways- the first possibility is that it will be ignored by the clinical establishment, like its predecessor.</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"author" : [ { "dropping-particle" : "", "family" : "The Hindu", "given" : "", "non-dropping-particle" : "", "parse-names" : false, "suffix" : "" } ], "id" : "ITEM-1", "issued" : { "date-parts" : [ [ "2018", "3", "25" ] ] }, "title" : "Reaching the unreached - The Hindu", "type" : "article-newspaper" }, "uris" : [ "http://www.mendeley.com/documents/?uuid=398bebe5-727e-4332-821d-8706acddb0db" ] } ], "mendeley" : { "formattedCitation" : "(3)", "plainTextFormattedCitation" : "(3)", "previouslyFormattedCitation" : "(The Hindu, 2018)"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(3)</w:t>
      </w:r>
      <w:r w:rsidR="0011123A">
        <w:rPr>
          <w:rFonts w:asciiTheme="majorHAnsi" w:eastAsia="Cambria" w:hAnsiTheme="majorHAnsi" w:cs="Cambria"/>
          <w:color w:val="282828"/>
          <w:sz w:val="24"/>
          <w:szCs w:val="24"/>
        </w:rPr>
        <w:fldChar w:fldCharType="end"/>
      </w:r>
      <w:r w:rsidRPr="00D5169E">
        <w:rPr>
          <w:rFonts w:asciiTheme="majorHAnsi" w:eastAsia="Cambria" w:hAnsiTheme="majorHAnsi" w:cs="Cambria"/>
          <w:color w:val="282828"/>
          <w:sz w:val="24"/>
          <w:szCs w:val="24"/>
        </w:rPr>
        <w:t> And while this may not adversely affect the existing care of TB patients, laws that are not enforceable on account of their conceptual framework are counterproductive as they normalize a disregard for the law.</w:t>
      </w:r>
      <w:r w:rsidRPr="00D5169E">
        <w:rPr>
          <w:rFonts w:asciiTheme="majorHAnsi" w:eastAsia="Times New Roman" w:hAnsiTheme="majorHAnsi" w:cs="Times New Roman"/>
          <w:sz w:val="24"/>
          <w:szCs w:val="24"/>
        </w:rPr>
        <w:t xml:space="preserve"> </w:t>
      </w:r>
      <w:r w:rsidRPr="00D5169E">
        <w:rPr>
          <w:rFonts w:asciiTheme="majorHAnsi" w:eastAsia="Cambria" w:hAnsiTheme="majorHAnsi" w:cs="Cambria"/>
          <w:color w:val="282828"/>
          <w:sz w:val="24"/>
          <w:szCs w:val="24"/>
        </w:rPr>
        <w:t xml:space="preserve">If it is ever actually enforced (if only by means of a few high profile convictions) it may well cause harm to the status quo.  The private medical sector when  faced with the option of  “mandatory reporting” with it’s inevitable burden </w:t>
      </w:r>
      <w:r w:rsidRPr="00D5169E">
        <w:rPr>
          <w:rFonts w:asciiTheme="majorHAnsi" w:eastAsia="Cambria" w:hAnsiTheme="majorHAnsi" w:cs="Cambria"/>
          <w:color w:val="282828"/>
          <w:sz w:val="24"/>
          <w:szCs w:val="24"/>
        </w:rPr>
        <w:lastRenderedPageBreak/>
        <w:t>of  red tape and privacy concerns  vs. the option of “no treatment and referral”  may opt  (as it often does ,for example, in medico-le</w:t>
      </w:r>
      <w:r>
        <w:rPr>
          <w:rFonts w:asciiTheme="majorHAnsi" w:eastAsia="Cambria" w:hAnsiTheme="majorHAnsi" w:cs="Cambria"/>
          <w:color w:val="282828"/>
          <w:sz w:val="24"/>
          <w:szCs w:val="24"/>
        </w:rPr>
        <w:t>gal cases )  for “no treatment”</w:t>
      </w:r>
      <w:r w:rsidRPr="00D5169E">
        <w:rPr>
          <w:rFonts w:asciiTheme="majorHAnsi" w:eastAsia="Cambria" w:hAnsiTheme="majorHAnsi" w:cs="Cambria"/>
          <w:color w:val="282828"/>
          <w:sz w:val="24"/>
          <w:szCs w:val="24"/>
        </w:rPr>
        <w:t>.</w:t>
      </w:r>
      <w:r w:rsidRPr="008222CB">
        <w:rPr>
          <w:rFonts w:asciiTheme="majorHAnsi" w:eastAsia="Cambria" w:hAnsiTheme="majorHAnsi" w:cs="Cambria"/>
          <w:color w:val="282828"/>
          <w:sz w:val="24"/>
          <w:szCs w:val="24"/>
          <w:shd w:val="clear" w:color="auto" w:fill="F5F5F5"/>
        </w:rPr>
        <w:t xml:space="preserve"> </w:t>
      </w:r>
      <w:r w:rsidRPr="00D5169E">
        <w:rPr>
          <w:rFonts w:asciiTheme="majorHAnsi" w:eastAsia="Cambria" w:hAnsiTheme="majorHAnsi" w:cs="Cambria"/>
          <w:color w:val="282828"/>
          <w:sz w:val="24"/>
          <w:szCs w:val="24"/>
        </w:rPr>
        <w:t>Where does that leave about half of all TB patients who currently seek care in the private sector?</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"DOI" : "10.1016/S0140-6736(01)06076-7", "ISSN" : "01406736", "PMID" : "11567729", "author" : [ { "dropping-particle" : "", "family" : "Uplekar", "given" : "Mukund", "non-dropping-particle" : "", "parse-names" : false, "suffix" : "" }, { "dropping-particle" : "", "family" : "Pathania", "given" : "Vikram", "non-dropping-particle" : "", "parse-names" : false, "suffix" : "" }, { "dropping-particle" : "", "family" : "Raviglione", "given" : "Mario", "non-dropping-particle" : "", "parse-names" : false, "suffix" : "" } ], "container-title" : "The Lancet", "id" : "ITEM-1", "issue" : "9285", "issued" : { "date-parts" : [ [ "2001", "9", "15" ] ] }, "page" : "912-916", "title" : "Private practitioners and public health: weak links in tuberculosis control", "type" : "article-journal", "volume" : "358" }, "uris" : [ "http://www.mendeley.com/documents/?uuid=b86fe29a-f554-3ad3-abd3-8bcd8f9dbb06" ] } ], "mendeley" : { "formattedCitation" : "(4)", "plainTextFormattedCitation" : "(4)", "previouslyFormattedCitation" : "(Uplekar, Pathania, &amp; Raviglione, 2001)"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(4)</w:t>
      </w:r>
      <w:r w:rsidR="0011123A">
        <w:rPr>
          <w:rFonts w:asciiTheme="majorHAnsi" w:eastAsia="Cambria" w:hAnsiTheme="majorHAnsi" w:cs="Cambria"/>
          <w:color w:val="282828"/>
          <w:sz w:val="24"/>
          <w:szCs w:val="24"/>
        </w:rPr>
        <w:fldChar w:fldCharType="end"/>
      </w:r>
      <w:r w:rsidRPr="00D5169E">
        <w:rPr>
          <w:rFonts w:asciiTheme="majorHAnsi" w:eastAsia="Times New Roman" w:hAnsiTheme="majorHAnsi" w:cs="Times New Roman"/>
          <w:sz w:val="24"/>
          <w:szCs w:val="24"/>
        </w:rPr>
        <w:t xml:space="preserve"> </w:t>
      </w:r>
      <w:r w:rsidRPr="00D5169E">
        <w:rPr>
          <w:rFonts w:asciiTheme="majorHAnsi" w:eastAsia="Cambria" w:hAnsiTheme="majorHAnsi" w:cs="Cambria"/>
          <w:color w:val="282828"/>
          <w:sz w:val="24"/>
          <w:szCs w:val="24"/>
        </w:rPr>
        <w:t>Lessons from other programs around the world that employ strictly enforced mandatory reporting like child abuse programs (where early interventions are far more critical) suggest that mandatory reporting is often a deterrent to patients accessing care.</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"DOI" : "10.1542/peds.2016-3511", "ISSN" : "1098-4275", "PMID" : "28292874", "abstract" : "The Penn State child sex abuse case highlighted failures to act among numerous adults in positions of responsibility, as chilling details of football coach Gerald Sandusky\u2019s sexual abuse of children over the course of decades came to light.1 Although it is unclear whether adults who chose to ignore ongoing child sexual abuse and rape would have acted differently had there been a legal requirement in place, it would have at least enabled their prosecution after the fact. In the aftermath, Pennsylvania adopted extensive new legislation to prevent and detect child abuse. In particular, Pennsylvania expanded its definitions of mandatory reporters, requiring child abuse awareness training for any licensed health care professional in the state and significantly expanding mandatory lay reporters to include essentially any individual in contact with children, rather than specifically those in contact with children by virtue of their profession. In Philadelphia, these new reporting requirements have flooded the reporting hotline, contributing to excessive waiting times, unanswered calls, spurious calls, and unnecessary reports, leading to the inability to pursue many of these reports.2 Although the Pennsylvania Department of Human Services has acted to address these flaws, few have questioned the wisdom of this expansion of mandatory reporting. There is no indication that the increase in reporting has improved the safety of Philadelphia\u2019s children, and there is reason to believe it may detract. How is it possible that the expansion of mandatory reporting, a step designed to protect vulnerable children from harm, may have had the opposite effect?\n\nMandatory reporting of suspected child abuse and neglect has a history of \u2026 \n\nAddress correspondence to Mical Raz, MD, PhD, Robert Wood Johnson Clinical Scholars Program/Philadelphia VA Medical Center, 1310 Blockley Hall, 423 Guardian Dr, Perelman School of Medicine, University of Pennsylvania, Philadelphia, PA 19104, E-mail: micalraz{at}mail.med.upenn.edu", "author" : [ { "dropping-particle" : "", "family" : "Raz", "given" : "Mical", "non-dropping-particle" : "", "parse-names" : false, "suffix" : "" } ], "container-title" : "Pediatrics", "id" : "ITEM-1", "issue" : "4", "issued" : { "date-parts" : [ [ "2017", "3", "14" ] ] }, "page" : "e20163511", "publisher" : "American Academy of Pediatrics", "title" : "Unintended Consequences of Expanded Mandatory Reporting Laws.", "type" : "article-journal", "volume" : "139" }, "uris" : [ "http://www.mendeley.com/documents/?uuid=5f876ea2-f422-3874-9042-d61239e9a9c7" ] } ], "mendeley" : { "formattedCitation" : "(5)", "plainTextFormattedCitation" : "(5)", "previouslyFormattedCitation" : "(Raz, 2017)"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(5)</w:t>
      </w:r>
      <w:r w:rsidR="0011123A">
        <w:rPr>
          <w:rFonts w:asciiTheme="majorHAnsi" w:eastAsia="Cambria" w:hAnsiTheme="majorHAnsi" w:cs="Cambria"/>
          <w:color w:val="282828"/>
          <w:sz w:val="24"/>
          <w:szCs w:val="24"/>
        </w:rPr>
        <w:fldChar w:fldCharType="end"/>
      </w:r>
    </w:p>
    <w:p w:rsidR="00590A44" w:rsidRPr="008222CB" w:rsidRDefault="00D5169E" w:rsidP="00D5169E">
      <w:pPr>
        <w:widowControl w:val="0"/>
        <w:spacing w:line="240" w:lineRule="auto"/>
        <w:jc w:val="both"/>
        <w:rPr>
          <w:rFonts w:asciiTheme="majorHAnsi" w:eastAsia="Cambria" w:hAnsiTheme="majorHAnsi" w:cs="Cambria"/>
          <w:color w:val="282828"/>
          <w:sz w:val="24"/>
          <w:szCs w:val="24"/>
          <w:shd w:val="clear" w:color="auto" w:fill="F5F5F5"/>
          <w:vertAlign w:val="superscript"/>
        </w:rPr>
      </w:pPr>
      <w:r w:rsidRPr="00D5169E">
        <w:rPr>
          <w:rFonts w:asciiTheme="majorHAnsi" w:eastAsia="Cambria" w:hAnsiTheme="majorHAnsi" w:cs="Cambria"/>
          <w:color w:val="282828"/>
          <w:sz w:val="24"/>
          <w:szCs w:val="24"/>
        </w:rPr>
        <w:t>This coercion may further alienate a private sector that already has a fair amount of distrust of the RNTCP and the quality of care provided therein.  Distrust that is not entirely misplaced when one considers that the RNTCP stuck to policies like alternat</w:t>
      </w:r>
      <w:r w:rsidR="008222CB" w:rsidRPr="00D5169E">
        <w:rPr>
          <w:rFonts w:asciiTheme="majorHAnsi" w:eastAsia="Cambria" w:hAnsiTheme="majorHAnsi" w:cs="Cambria"/>
          <w:color w:val="282828"/>
          <w:sz w:val="24"/>
          <w:szCs w:val="24"/>
        </w:rPr>
        <w:t xml:space="preserve">e day treatment until recently </w:t>
      </w:r>
      <w:r w:rsidRPr="00D5169E">
        <w:rPr>
          <w:rFonts w:asciiTheme="majorHAnsi" w:eastAsia="Cambria" w:hAnsiTheme="majorHAnsi" w:cs="Cambria"/>
          <w:color w:val="282828"/>
          <w:sz w:val="24"/>
          <w:szCs w:val="24"/>
        </w:rPr>
        <w:t>when it was clear for long before that this is inappropriate and most private practitioners had switched to daily treatment.</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"DOI" : "10.1136/thx.2010.148585", "ISSN" : "0040-6376", "PMID" : "21169286", "abstract" : "Intermittent tuberculosis treatment regimens have been developed to facilitate treatment supervision. Their efficacy has been substantiated by clinical trials and tuberculosis control programmes, notwithstanding the lack of head-to-head comparison between daily and intermittent regimens. Recently, there has been opposing evidence from observational studies, pharmacokinetic-pharmacodynamic studies and animal models that intermittent treatment increases the risk of relapse, treatment failure or acquired rifamycin resistance, especially among HIV-infected patients. Systematic reviews have been conflicting. PubMed, Ovid MEDLINE and EMBASE were systematically searched for publications in English to evaluate the evidence about dosing schedules and treatment efficacy. Levels of evidence and grades of recommendation were assigned largely according to clinical evidence with reference to the Scottish Intercollegiate Guidelines Network guideline development handbook. A total of 32 articles were included after excluding 331 ineligible articles, 42 non-analytical studies, 22 narrative reviews or expert opinions and 44 articles embedded in systematic reviews. These included 9 systematic reviews, 8 controlled studies, 9 pharmacokinetic-pharmacodynamic studies, 5 mouse studies and 1 article about guinea pig experiments. Findings suggest high levels of evidence for using daily dosing schedules, especially during the initial phase in the presence of cavitation, isoniazid resistance and advanced HIV co-infection, to reduce the risk of treatment failure, recurrence and acquired drug resistance including acquired rifamycin resistance. This review justifies the use of daily schedules in standard tuberculosis treatment regimens (particularly in the initial phase), corroborates prevailing understanding of pharmacokinetics-pharmacodynamics and mycobacterial persisters, and supports exploration of rifapentine-containing regimens in higher dosages and frequency.", "author" : [ { "dropping-particle" : "", "family" : "Chang", "given" : "K. C.", "non-dropping-particle" : "", "parse-names" : false, "suffix" : "" }, { "dropping-particle" : "", "family" : "Leung", "given" : "C. C.", "non-dropping-particle" : "", "parse-names" : false, "suffix" : "" }, { "dropping-particle" : "", "family" : "Grosset", "given" : "J.", "non-dropping-particle" : "", "parse-names" : false, "suffix" : "" }, { "dropping-particle" : "", "family" : "Yew", "given" : "W. W.", "non-dropping-particle" : "", "parse-names" : false, "suffix" : "" } ], "container-title" : "Thorax", "id" : "ITEM-1", "issue" : "11", "issued" : { "date-parts" : [ [ "2011", "11", "1" ] ] }, "page" : "997-1007", "title" : "Treatment of tuberculosis and optimal dosing schedules", "type" : "article-journal", "volume" : "66" }, "uris" : [ "http://www.mendeley.com/documents/?uuid=7869b5e6-5745-3f4a-8974-e62eb6933365" ] } ], "mendeley" : { "formattedCitation" : "(6)", "plainTextFormattedCitation" : "(6)", "previouslyFormattedCitation" : "(Chang, Leung, Grosset, &amp; Yew, 2011)"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(6)</w:t>
      </w:r>
      <w:r w:rsidR="0011123A">
        <w:rPr>
          <w:rFonts w:asciiTheme="majorHAnsi" w:eastAsia="Cambria" w:hAnsiTheme="majorHAnsi" w:cs="Cambria"/>
          <w:color w:val="282828"/>
          <w:sz w:val="24"/>
          <w:szCs w:val="24"/>
        </w:rPr>
        <w:fldChar w:fldCharType="end"/>
      </w:r>
    </w:p>
    <w:p w:rsidR="00590A44" w:rsidRPr="008222CB" w:rsidRDefault="00D5169E" w:rsidP="00D5169E">
      <w:pPr>
        <w:widowControl w:val="0"/>
        <w:spacing w:line="240" w:lineRule="auto"/>
        <w:jc w:val="both"/>
        <w:rPr>
          <w:rFonts w:asciiTheme="majorHAnsi" w:eastAsia="Cambria" w:hAnsiTheme="majorHAnsi" w:cs="Cambria"/>
          <w:color w:val="282828"/>
          <w:sz w:val="24"/>
          <w:szCs w:val="24"/>
          <w:shd w:val="clear" w:color="auto" w:fill="F5F5F5"/>
        </w:rPr>
      </w:pPr>
      <w:r w:rsidRPr="00D5169E">
        <w:rPr>
          <w:rFonts w:asciiTheme="majorHAnsi" w:eastAsia="Cambria" w:hAnsiTheme="majorHAnsi" w:cs="Cambria"/>
          <w:color w:val="282828"/>
          <w:sz w:val="24"/>
          <w:szCs w:val="24"/>
        </w:rPr>
        <w:t>It is not clear whether any action will be taken against private practitioners who do report cases but step away from the RNTCP guidelines for treatment. So far no punitive action ha</w:t>
      </w:r>
      <w:r w:rsidR="00BE7D0B">
        <w:rPr>
          <w:rFonts w:asciiTheme="majorHAnsi" w:eastAsia="Cambria" w:hAnsiTheme="majorHAnsi" w:cs="Cambria"/>
          <w:color w:val="282828"/>
          <w:sz w:val="24"/>
          <w:szCs w:val="24"/>
        </w:rPr>
        <w:t>s been taken in this situation.</w:t>
      </w:r>
      <w:r w:rsidRPr="00D5169E">
        <w:rPr>
          <w:rFonts w:asciiTheme="majorHAnsi" w:eastAsia="Cambria" w:hAnsiTheme="majorHAnsi" w:cs="Cambria"/>
          <w:color w:val="282828"/>
          <w:sz w:val="24"/>
          <w:szCs w:val="24"/>
        </w:rPr>
        <w:t> For example what about a practitioner who wishes to treat presumptively for INH</w:t>
      </w:r>
      <w:r w:rsidR="00C77D15">
        <w:rPr>
          <w:rFonts w:asciiTheme="majorHAnsi" w:eastAsia="Cambria" w:hAnsiTheme="majorHAnsi" w:cs="Cambria"/>
          <w:color w:val="282828"/>
          <w:sz w:val="24"/>
          <w:szCs w:val="24"/>
        </w:rPr>
        <w:t xml:space="preserve"> (Isoniazid)</w:t>
      </w:r>
      <w:r w:rsidRPr="00D5169E">
        <w:rPr>
          <w:rFonts w:asciiTheme="majorHAnsi" w:eastAsia="Cambria" w:hAnsiTheme="majorHAnsi" w:cs="Cambria"/>
          <w:color w:val="282828"/>
          <w:sz w:val="24"/>
          <w:szCs w:val="24"/>
        </w:rPr>
        <w:t xml:space="preserve"> mono resistance by using different and extra drugs tha</w:t>
      </w:r>
      <w:r w:rsidR="00B01B8F">
        <w:rPr>
          <w:rFonts w:asciiTheme="majorHAnsi" w:eastAsia="Cambria" w:hAnsiTheme="majorHAnsi" w:cs="Cambria"/>
          <w:color w:val="282828"/>
          <w:sz w:val="24"/>
          <w:szCs w:val="24"/>
        </w:rPr>
        <w:t>n used in the national program</w:t>
      </w:r>
      <w:r w:rsidRPr="00D5169E">
        <w:rPr>
          <w:rFonts w:asciiTheme="majorHAnsi" w:eastAsia="Cambria" w:hAnsiTheme="majorHAnsi" w:cs="Cambria"/>
          <w:color w:val="282828"/>
          <w:sz w:val="24"/>
          <w:szCs w:val="24"/>
        </w:rPr>
        <w:t xml:space="preserve"> in the setting of a high index of suspicion and absence of DST</w:t>
      </w:r>
      <w:r w:rsidR="00B01B8F">
        <w:rPr>
          <w:rFonts w:asciiTheme="majorHAnsi" w:eastAsia="Cambria" w:hAnsiTheme="majorHAnsi" w:cs="Cambria"/>
          <w:color w:val="282828"/>
          <w:sz w:val="24"/>
          <w:szCs w:val="24"/>
        </w:rPr>
        <w:t xml:space="preserve"> (Drug susceptibility testing)</w:t>
      </w:r>
      <w:r w:rsidRPr="00D5169E">
        <w:rPr>
          <w:rFonts w:asciiTheme="majorHAnsi" w:eastAsia="Cambria" w:hAnsiTheme="majorHAnsi" w:cs="Cambria"/>
          <w:color w:val="282828"/>
          <w:sz w:val="24"/>
          <w:szCs w:val="24"/>
        </w:rPr>
        <w:t>.  Or to take an example at the other end of the spectrum, a practitioner who is treating with a clearly inadequate drug regimen.  Will the government then intervene? And if not - what are the ethics of collecting information that is not being acted on?</w:t>
      </w:r>
    </w:p>
    <w:p w:rsidR="00590A44" w:rsidRPr="008222CB" w:rsidRDefault="00D5169E" w:rsidP="00D5169E">
      <w:pPr>
        <w:spacing w:line="240" w:lineRule="auto"/>
        <w:jc w:val="both"/>
        <w:rPr>
          <w:rFonts w:asciiTheme="majorHAnsi" w:eastAsia="Cambria" w:hAnsiTheme="majorHAnsi" w:cs="Cambria"/>
          <w:color w:val="282828"/>
          <w:sz w:val="24"/>
          <w:szCs w:val="24"/>
          <w:shd w:val="clear" w:color="auto" w:fill="F5F5F5"/>
        </w:rPr>
      </w:pPr>
      <w:r w:rsidRPr="00D5169E">
        <w:rPr>
          <w:rFonts w:asciiTheme="majorHAnsi" w:eastAsia="Cambria" w:hAnsiTheme="majorHAnsi" w:cs="Cambria"/>
          <w:color w:val="282828"/>
          <w:sz w:val="24"/>
          <w:szCs w:val="24"/>
        </w:rPr>
        <w:t>But perhaps the biggest problem with this notification is that it turns away the conversation from the real and burning challenges that face the national tuberculosis program today.  Like - how do w</w:t>
      </w:r>
      <w:r w:rsidR="00C77D15">
        <w:rPr>
          <w:rFonts w:asciiTheme="majorHAnsi" w:eastAsia="Cambria" w:hAnsiTheme="majorHAnsi" w:cs="Cambria"/>
          <w:color w:val="282828"/>
          <w:sz w:val="24"/>
          <w:szCs w:val="24"/>
        </w:rPr>
        <w:t>e standardize extra-pulmonary tuberculosis</w:t>
      </w:r>
      <w:r w:rsidRPr="00D5169E">
        <w:rPr>
          <w:rFonts w:asciiTheme="majorHAnsi" w:eastAsia="Cambria" w:hAnsiTheme="majorHAnsi" w:cs="Cambria"/>
          <w:color w:val="282828"/>
          <w:sz w:val="24"/>
          <w:szCs w:val="24"/>
        </w:rPr>
        <w:t xml:space="preserve"> diagnosis in both public and private sector? How do we upscale our DST so it is available to all newly diagnosed patients when this is clearly the need of the hour? While the upscale is awaited how do we screen for INH mono-resistance? How do we work on nutrition in the face of overwhelming evidence that this is critical in successful treatment?</w:t>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Perhaps the only critical piece of data that needs anal</w:t>
      </w:r>
      <w:r w:rsidR="008222CB" w:rsidRPr="00D5169E">
        <w:rPr>
          <w:rFonts w:asciiTheme="majorHAnsi" w:eastAsia="Cambria" w:hAnsiTheme="majorHAnsi" w:cs="Cambria"/>
          <w:color w:val="282828"/>
          <w:sz w:val="24"/>
          <w:szCs w:val="24"/>
        </w:rPr>
        <w:t>ysis</w:t>
      </w:r>
      <w:r w:rsidRPr="00D5169E">
        <w:rPr>
          <w:rFonts w:asciiTheme="majorHAnsi" w:eastAsia="Cambria" w:hAnsiTheme="majorHAnsi" w:cs="Cambria"/>
          <w:color w:val="282828"/>
          <w:sz w:val="24"/>
          <w:szCs w:val="24"/>
        </w:rPr>
        <w:t xml:space="preserve"> for policy planning is - why are 50 % of TB patients seeking care in the private sector? </w:t>
      </w:r>
      <w:r w:rsidRPr="00D5169E">
        <w:rPr>
          <w:rFonts w:asciiTheme="majorHAnsi" w:eastAsia="Cambria" w:hAnsiTheme="majorHAnsi" w:cs="Cambria"/>
          <w:color w:val="282828"/>
          <w:sz w:val="24"/>
          <w:szCs w:val="24"/>
          <w:vertAlign w:val="superscript"/>
        </w:rPr>
        <w:t>4</w:t>
      </w:r>
      <w:r w:rsidRPr="00D5169E">
        <w:rPr>
          <w:rFonts w:asciiTheme="majorHAnsi" w:eastAsia="Times New Roman" w:hAnsiTheme="majorHAnsi" w:cs="Times New Roman"/>
          <w:sz w:val="24"/>
          <w:szCs w:val="24"/>
        </w:rPr>
        <w:t xml:space="preserve"> </w:t>
      </w:r>
      <w:r w:rsidRPr="00D5169E">
        <w:rPr>
          <w:rFonts w:asciiTheme="majorHAnsi" w:eastAsia="Cambria" w:hAnsiTheme="majorHAnsi" w:cs="Cambria"/>
          <w:color w:val="282828"/>
          <w:sz w:val="24"/>
          <w:szCs w:val="24"/>
        </w:rPr>
        <w:t xml:space="preserve">For a program that provides (or claims to provide) not only completely free treatment but also transport and nutrition allowances as well as  financial incentives ; why does one need any sort of notification at all? Why is there no queue outside the door? </w:t>
      </w:r>
      <w:r w:rsidRPr="00D5169E">
        <w:rPr>
          <w:rFonts w:asciiTheme="majorHAnsi" w:eastAsia="Times New Roman" w:hAnsiTheme="majorHAnsi" w:cs="Times New Roman"/>
          <w:sz w:val="24"/>
          <w:szCs w:val="24"/>
        </w:rPr>
        <w:t xml:space="preserve"> </w:t>
      </w:r>
      <w:r w:rsidRPr="00D5169E">
        <w:rPr>
          <w:rFonts w:asciiTheme="majorHAnsi" w:eastAsia="Cambria" w:hAnsiTheme="majorHAnsi" w:cs="Cambria"/>
          <w:color w:val="282828"/>
          <w:sz w:val="24"/>
          <w:szCs w:val="24"/>
        </w:rPr>
        <w:t>While the concerns about the private sector in health being unethical, substandard and responsible for gross errors in TB diagnosis and treatment may be justified, it is chilling to realize that 2.2 million TB patients still prefer to seek this care ( and pay for it) rather than access public health services.</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"DOI" : "10.1016/S1473-3099(16)30259-6", "ISSN" : "14733099", "PMID" : "27568356", "abstract" : "BACKGROUND Understanding the amount of tuberculosis managed by the private sector in India is crucial to understanding the true burden of the disease in the country, and thus globally. In the absence of quality surveillance data on privately treated patients, commercial drug sales data offer an empirical foundation for disease burden estimation. METHODS We used a large, nationally representative commercial dataset on sales of 189 anti-tuberculosis products available in India to calculate the amount of anti-tuberculosis treatment in the private sector in 2013-14. We corrected estimates using validation studies that audited prescriptions against tuberculosis diagnosis, and estimated uncertainty using Monte Carlo simulation. To address implications for numbers of patients with tuberculosis, we explored varying assumptions for average duration of tuberculosis treatment and accuracy of private diagnosis. FINDINGS There were 17\u00b7793 million patient-months (95% credible interval 16\u00b7709 million to 19\u00b7841 million) of anti-tuberculosis treatment in the private sector in 2014, twice as many as the public sector. If 40-60% of private-sector tuberculosis diagnoses are correct, and if private-sector tuberculosis treatment lasts on average 2-6 months, this implies that 1\u00b719-5\u00b734 million tuberculosis cases were treated in the private sector in 2014 alone. The midpoint of these ranges yields an estimate of 2\u00b72 million cases, two to three times higher than currently assumed. INTERPRETATION India's private sector is treating an enormous number of patients for tuberculosis, appreciably higher than has been previously recognised. Accordingly, there is a re-doubled need to address this burden and to strengthen surveillance. Tuberculosis burden estimates in India and worldwide require revision. FUNDING Bill &amp; Melinda Gates Foundation.", "author" : [ { "dropping-particle" : "", "family" : "Arinaminpathy", "given" : "Nimalan", "non-dropping-particle" : "", "parse-names" : false, "suffix" : "" }, { "dropping-particle" : "", "family" : "Batra", "given" : "Deepak", "non-dropping-particle" : "", "parse-names" : false, "suffix" : "" }, { "dropping-particle" : "", "family" : "Khaparde", "given" : "Sunil", "non-dropping-particle" : "", "parse-names" : false, "suffix" : "" }, { "dropping-particle" : "", "family" : "Vualnam", "given" : "Thongsuanmung", "non-dropping-particle" : "", "parse-names" : false, "suffix" : "" }, { "dropping-particle" : "", "family" : "Maheshwari", "given" : "Nilesh", "non-dropping-particle" : "", "parse-names" : false, "suffix" : "" }, { "dropping-particle" : "", "family" : "Sharma", "given" : "Lokesh", "non-dropping-particle" : "", "parse-names" : false, "suffix" : "" }, { "dropping-particle" : "", "family" : "Nair", "given" : "Sreenivas A", "non-dropping-particle" : "", "parse-names" : false, "suffix" : "" }, { "dropping-particle" : "", "family" : "Dewan", "given" : "Puneet", "non-dropping-particle" : "", "parse-names" : false, "suffix" : "" } ], "container-title" : "The Lancet Infectious Diseases", "id" : "ITEM-1", "issue" : "11", "issued" : { "date-parts" : [ [ "2016", "11" ] ] }, "page" : "1255-1260", "title" : "The number of privately treated tuberculosis cases in India: an estimation from drug sales data", "type" : "article-journal", "volume" : "16" }, "uris" : [ "http://www.mendeley.com/documents/?uuid=5e79528c-e72c-3e0b-bfae-33954c168c98" ] } ], "mendeley" : { "formattedCitation" : "(7)", "plainTextFormattedCitation" : "(7)", "previouslyFormattedCitation" : "(Arinaminpathy et al., 2016)"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(7)</w:t>
      </w:r>
      <w:r w:rsidR="0011123A">
        <w:rPr>
          <w:rFonts w:asciiTheme="majorHAnsi" w:eastAsia="Cambria" w:hAnsiTheme="majorHAnsi" w:cs="Cambria"/>
          <w:color w:val="282828"/>
          <w:sz w:val="24"/>
          <w:szCs w:val="24"/>
        </w:rPr>
        <w:fldChar w:fldCharType="end"/>
      </w:r>
    </w:p>
    <w:p w:rsidR="00590A44" w:rsidRPr="008222CB" w:rsidRDefault="00C77D15" w:rsidP="00D5169E">
      <w:pPr>
        <w:spacing w:line="240" w:lineRule="auto"/>
        <w:jc w:val="both"/>
        <w:rPr>
          <w:rFonts w:asciiTheme="majorHAnsi" w:eastAsia="Times New Roman" w:hAnsiTheme="majorHAnsi" w:cs="Times New Roman"/>
          <w:sz w:val="24"/>
          <w:szCs w:val="24"/>
        </w:rPr>
      </w:pPr>
      <w:r>
        <w:rPr>
          <w:rFonts w:asciiTheme="majorHAnsi" w:eastAsia="Cambria" w:hAnsiTheme="majorHAnsi" w:cs="Cambria"/>
          <w:color w:val="282828"/>
          <w:sz w:val="24"/>
          <w:szCs w:val="24"/>
        </w:rPr>
        <w:t>Tuberculosis</w:t>
      </w:r>
      <w:r w:rsidR="00D5169E" w:rsidRPr="00D5169E">
        <w:rPr>
          <w:rFonts w:asciiTheme="majorHAnsi" w:eastAsia="Cambria" w:hAnsiTheme="majorHAnsi" w:cs="Cambria"/>
          <w:color w:val="282828"/>
          <w:sz w:val="24"/>
          <w:szCs w:val="24"/>
        </w:rPr>
        <w:t xml:space="preserve"> care in India, more than that of any other disease makes evident the fallacy of a policy trend that increasingly outsources the most critical job of the state i.e. health care to the private sector.  Examples of this outsourcing trend include insurance packages that incentivize private inpatient care under RSBY</w:t>
      </w:r>
      <w:r>
        <w:rPr>
          <w:rFonts w:asciiTheme="majorHAnsi" w:eastAsia="Cambria" w:hAnsiTheme="majorHAnsi" w:cs="Cambria"/>
          <w:color w:val="282828"/>
          <w:sz w:val="24"/>
          <w:szCs w:val="24"/>
        </w:rPr>
        <w:t xml:space="preserve"> (Rashtriya Swasthya Bima </w:t>
      </w:r>
      <w:proofErr w:type="spellStart"/>
      <w:r>
        <w:rPr>
          <w:rFonts w:asciiTheme="majorHAnsi" w:eastAsia="Cambria" w:hAnsiTheme="majorHAnsi" w:cs="Cambria"/>
          <w:color w:val="282828"/>
          <w:sz w:val="24"/>
          <w:szCs w:val="24"/>
        </w:rPr>
        <w:t>Yojna</w:t>
      </w:r>
      <w:proofErr w:type="spellEnd"/>
      <w:r>
        <w:rPr>
          <w:rFonts w:asciiTheme="majorHAnsi" w:eastAsia="Cambria" w:hAnsiTheme="majorHAnsi" w:cs="Cambria"/>
          <w:color w:val="282828"/>
          <w:sz w:val="24"/>
          <w:szCs w:val="24"/>
        </w:rPr>
        <w:t>)</w:t>
      </w:r>
      <w:r w:rsidR="00D5169E" w:rsidRPr="00D5169E">
        <w:rPr>
          <w:rFonts w:asciiTheme="majorHAnsi" w:eastAsia="Cambria" w:hAnsiTheme="majorHAnsi" w:cs="Cambria"/>
          <w:color w:val="282828"/>
          <w:sz w:val="24"/>
          <w:szCs w:val="24"/>
        </w:rPr>
        <w:t xml:space="preserve"> or the recent disturbing privatization of the Chhattisgarh community health centers.</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"URL" : "http://www.rsby.gov.in/about_rsby.aspx", "accessed" : { "date-parts" : [ [ "2018", "5", "8" ] ] }, "id" : "ITEM-1", "issued" : { "date-parts" : [ [ "0" ] ] }, "title" : "::RSBY::", "type" : "webpage" }, "uris" : [ "http://www.mendeley.com/documents/?uuid=24d22207-470b-3c7f-9d55-801726bb9221" ] } ], "mendeley" : { "formattedCitation" : "(8)", "plainTextFormattedCitation" : "(8)", "previouslyFormattedCitation" : "(\u201c::RSBY::,\u201d n.d.)"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(8)</w:t>
      </w:r>
      <w:r w:rsidR="0011123A">
        <w:rPr>
          <w:rFonts w:asciiTheme="majorHAnsi" w:eastAsia="Cambria" w:hAnsiTheme="majorHAnsi" w:cs="Cambria"/>
          <w:color w:val="282828"/>
          <w:sz w:val="24"/>
          <w:szCs w:val="24"/>
        </w:rPr>
        <w:fldChar w:fldCharType="end"/>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"URL" : "https://timesofindia.indiatimes.com/city/raipur/chhattisgarh-to-hand-over-9-chcs-to-private-players-opposition-cries-foul/articleshow/63423269.cms", "accessed" : { "date-parts" : [ [ "2018", "5", "8" ] ] }, "author" : [ { "dropping-particle" : "", "family" : "Times of India", "given" : "", "non-dropping-particle" : "", "parse-names" : false, "suffix" : "" } ], "id" : "ITEM-1", "issued" : { "date-parts" : [ [ "2018", "3", "18" ] ] }, "title" : "community health centre: Chhattisgarh to hand over 9 CHCs to private players, opposition cries foul | Raipur News - Times of India", "type" : "webpage" }, "uris" : [ "http://www.mendeley.com/documents/?uuid=8ea14265-1720-38d1-8f4f-32a37d4b786e" ] } ], "mendeley" : { "formattedCitation" : "(9)", "plainTextFormattedCitation" : "(9)", "previouslyFormattedCitation" : "(Times of India, 2018)"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(9)</w:t>
      </w:r>
      <w:r w:rsidR="0011123A">
        <w:rPr>
          <w:rFonts w:asciiTheme="majorHAnsi" w:eastAsia="Cambria" w:hAnsiTheme="majorHAnsi" w:cs="Cambria"/>
          <w:color w:val="282828"/>
          <w:sz w:val="24"/>
          <w:szCs w:val="24"/>
        </w:rPr>
        <w:fldChar w:fldCharType="end"/>
      </w:r>
      <w:r w:rsidR="00D5169E" w:rsidRPr="00D5169E">
        <w:rPr>
          <w:rFonts w:asciiTheme="majorHAnsi" w:eastAsia="Times New Roman" w:hAnsiTheme="majorHAnsi" w:cs="Times New Roman"/>
          <w:sz w:val="24"/>
          <w:szCs w:val="24"/>
        </w:rPr>
        <w:t xml:space="preserve"> </w:t>
      </w:r>
      <w:r w:rsidR="00D5169E" w:rsidRPr="00D5169E">
        <w:rPr>
          <w:rFonts w:asciiTheme="majorHAnsi" w:eastAsia="Cambria" w:hAnsiTheme="majorHAnsi" w:cs="Cambria"/>
          <w:color w:val="282828"/>
          <w:sz w:val="24"/>
          <w:szCs w:val="24"/>
        </w:rPr>
        <w:t>In the absence of a robust general primary and secondary care systems, a health program (even a vertical one) cannot sustainable survive; especially one where early diagnosis and appropriate treatment is key.  Because in general, the system that a patient uses for their less serious illnesses such as acid peptic disease and viral fever is ultimately the system they will use for the chron</w:t>
      </w:r>
      <w:r>
        <w:rPr>
          <w:rFonts w:asciiTheme="majorHAnsi" w:eastAsia="Cambria" w:hAnsiTheme="majorHAnsi" w:cs="Cambria"/>
          <w:color w:val="282828"/>
          <w:sz w:val="24"/>
          <w:szCs w:val="24"/>
        </w:rPr>
        <w:t>ic cough that turns out to be tuberculosis</w:t>
      </w:r>
      <w:r w:rsidR="00D5169E" w:rsidRPr="00D5169E">
        <w:rPr>
          <w:rFonts w:asciiTheme="majorHAnsi" w:eastAsia="Cambria" w:hAnsiTheme="majorHAnsi" w:cs="Cambria"/>
          <w:color w:val="282828"/>
          <w:sz w:val="24"/>
          <w:szCs w:val="24"/>
        </w:rPr>
        <w:t>.  </w:t>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 xml:space="preserve">It is time for all stakeholders in tuberculosis care to come together and take decisions that can have an actual impact on the state of affairs that exists.  With the </w:t>
      </w:r>
      <w:proofErr w:type="spellStart"/>
      <w:r w:rsidRPr="00D5169E">
        <w:rPr>
          <w:rFonts w:asciiTheme="majorHAnsi" w:eastAsia="Cambria" w:hAnsiTheme="majorHAnsi" w:cs="Cambria"/>
          <w:color w:val="282828"/>
          <w:sz w:val="24"/>
          <w:szCs w:val="24"/>
        </w:rPr>
        <w:t>spectre</w:t>
      </w:r>
      <w:proofErr w:type="spellEnd"/>
      <w:r w:rsidRPr="00D5169E">
        <w:rPr>
          <w:rFonts w:asciiTheme="majorHAnsi" w:eastAsia="Cambria" w:hAnsiTheme="majorHAnsi" w:cs="Cambria"/>
          <w:color w:val="282828"/>
          <w:sz w:val="24"/>
          <w:szCs w:val="24"/>
        </w:rPr>
        <w:t xml:space="preserve"> of drug resistant TB looming over us, failure to do so even now would most certainly constitute a “</w:t>
      </w:r>
      <w:r w:rsidRPr="00D5169E">
        <w:rPr>
          <w:rFonts w:asciiTheme="majorHAnsi" w:eastAsia="Cambria" w:hAnsiTheme="majorHAnsi" w:cs="Cambria"/>
          <w:color w:val="000000"/>
          <w:sz w:val="24"/>
          <w:szCs w:val="24"/>
        </w:rPr>
        <w:t>Negligent act</w:t>
      </w:r>
      <w:r w:rsidRPr="008222CB">
        <w:rPr>
          <w:rFonts w:asciiTheme="majorHAnsi" w:eastAsia="Cambria" w:hAnsiTheme="majorHAnsi" w:cs="Cambria"/>
          <w:color w:val="000000"/>
          <w:sz w:val="24"/>
          <w:szCs w:val="24"/>
        </w:rPr>
        <w:t xml:space="preserve"> likely to spread infection of disease dangerous to life”. </w:t>
      </w:r>
      <w:r w:rsidRPr="008222CB">
        <w:rPr>
          <w:rFonts w:asciiTheme="majorHAnsi" w:eastAsia="Cambria" w:hAnsiTheme="majorHAnsi" w:cs="Cambria"/>
          <w:sz w:val="24"/>
          <w:szCs w:val="24"/>
        </w:rPr>
        <w:t>Can</w:t>
      </w:r>
      <w:r w:rsidRPr="008222CB">
        <w:rPr>
          <w:rFonts w:asciiTheme="majorHAnsi" w:eastAsia="Cambria" w:hAnsiTheme="majorHAnsi" w:cs="Cambria"/>
          <w:color w:val="000000"/>
          <w:sz w:val="24"/>
          <w:szCs w:val="24"/>
        </w:rPr>
        <w:t xml:space="preserve"> the state be book</w:t>
      </w:r>
      <w:r w:rsidRPr="008222CB">
        <w:rPr>
          <w:rFonts w:asciiTheme="majorHAnsi" w:eastAsia="Cambria" w:hAnsiTheme="majorHAnsi" w:cs="Cambria"/>
          <w:sz w:val="24"/>
          <w:szCs w:val="24"/>
        </w:rPr>
        <w:t>ed for being negligent and allowing spread of drug resistance and endangering other people?</w:t>
      </w:r>
    </w:p>
    <w:p w:rsidR="00590A44" w:rsidRDefault="00590A44">
      <w:pPr>
        <w:widowControl w:val="0"/>
        <w:spacing w:line="240" w:lineRule="auto"/>
        <w:ind w:left="640" w:hanging="640"/>
        <w:rPr>
          <w:rFonts w:asciiTheme="majorHAnsi" w:eastAsia="Times New Roman" w:hAnsiTheme="majorHAnsi" w:cs="Times New Roman"/>
          <w:sz w:val="24"/>
          <w:szCs w:val="24"/>
        </w:rPr>
      </w:pPr>
      <w:bookmarkStart w:id="1" w:name="_gjdgxs" w:colFirst="0" w:colLast="0"/>
      <w:bookmarkEnd w:id="1"/>
    </w:p>
    <w:p w:rsidR="00BE7D0B" w:rsidRDefault="00BE7D0B">
      <w:pPr>
        <w:rPr>
          <w:rFonts w:asciiTheme="majorHAnsi" w:eastAsia="Times New Roman" w:hAnsiTheme="majorHAnsi" w:cs="Times New Roman"/>
          <w:sz w:val="24"/>
          <w:szCs w:val="24"/>
        </w:rPr>
      </w:pPr>
      <w:r>
        <w:rPr>
          <w:rFonts w:asciiTheme="majorHAnsi" w:eastAsia="Times New Roman" w:hAnsiTheme="majorHAnsi" w:cs="Times New Roman"/>
          <w:sz w:val="24"/>
          <w:szCs w:val="24"/>
        </w:rPr>
        <w:br w:type="page"/>
      </w:r>
    </w:p>
    <w:p w:rsidR="00BE7D0B" w:rsidRDefault="00BE7D0B">
      <w:pPr>
        <w:widowControl w:val="0"/>
        <w:spacing w:line="240" w:lineRule="auto"/>
        <w:ind w:left="640" w:hanging="640"/>
        <w:rPr>
          <w:rFonts w:asciiTheme="majorHAnsi" w:eastAsia="Times New Roman" w:hAnsiTheme="majorHAnsi" w:cs="Times New Roman"/>
          <w:sz w:val="24"/>
          <w:szCs w:val="24"/>
        </w:rPr>
      </w:pPr>
      <w:r>
        <w:rPr>
          <w:rFonts w:asciiTheme="majorHAnsi" w:eastAsia="Times New Roman" w:hAnsiTheme="majorHAnsi" w:cs="Times New Roman"/>
          <w:sz w:val="24"/>
          <w:szCs w:val="24"/>
        </w:rPr>
        <w:t>References:</w:t>
      </w:r>
    </w:p>
    <w:p w:rsidR="00BE7D0B" w:rsidRPr="00BE7D0B" w:rsidRDefault="0011123A" w:rsidP="00BE7D0B">
      <w:pPr>
        <w:widowControl w:val="0"/>
        <w:autoSpaceDE w:val="0"/>
        <w:autoSpaceDN w:val="0"/>
        <w:adjustRightInd w:val="0"/>
        <w:spacing w:line="240" w:lineRule="auto"/>
        <w:ind w:left="640" w:hanging="640"/>
        <w:rPr>
          <w:rFonts w:cs="Mangal"/>
          <w:noProof/>
          <w:sz w:val="24"/>
          <w:szCs w:val="24"/>
        </w:rPr>
      </w:pPr>
      <w:r>
        <w:rPr>
          <w:rFonts w:asciiTheme="majorHAnsi" w:eastAsia="Times New Roman" w:hAnsiTheme="majorHAnsi" w:cs="Times New Roman"/>
          <w:sz w:val="24"/>
          <w:szCs w:val="24"/>
        </w:rPr>
        <w:fldChar w:fldCharType="begin" w:fldLock="1"/>
      </w:r>
      <w:r w:rsidR="00BE7D0B">
        <w:rPr>
          <w:rFonts w:asciiTheme="majorHAnsi" w:eastAsia="Times New Roman" w:hAnsiTheme="majorHAnsi" w:cs="Times New Roman"/>
          <w:sz w:val="24"/>
          <w:szCs w:val="24"/>
        </w:rPr>
        <w:instrText xml:space="preserve">ADDIN Mendeley Bibliography CSL_BIBLIOGRAPHY </w:instrText>
      </w:r>
      <w:r>
        <w:rPr>
          <w:rFonts w:asciiTheme="majorHAnsi" w:eastAsia="Times New Roman" w:hAnsiTheme="majorHAnsi" w:cs="Times New Roman"/>
          <w:sz w:val="24"/>
          <w:szCs w:val="24"/>
        </w:rPr>
        <w:fldChar w:fldCharType="separate"/>
      </w:r>
      <w:r w:rsidR="00BE7D0B" w:rsidRPr="00BE7D0B">
        <w:rPr>
          <w:rFonts w:cs="Mangal"/>
          <w:noProof/>
          <w:sz w:val="24"/>
          <w:szCs w:val="24"/>
        </w:rPr>
        <w:t xml:space="preserve">1. </w:t>
      </w:r>
      <w:r w:rsidR="00BE7D0B" w:rsidRPr="00BE7D0B">
        <w:rPr>
          <w:rFonts w:cs="Mangal"/>
          <w:noProof/>
          <w:sz w:val="24"/>
          <w:szCs w:val="24"/>
        </w:rPr>
        <w:tab/>
        <w:t>India G of. Gazette notification, mandarory reporting of TB. 2018; Available from: http://egazette.nic.in/WriteReadData/2018/183924.pdf</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2. </w:t>
      </w:r>
      <w:r w:rsidRPr="00BE7D0B">
        <w:rPr>
          <w:rFonts w:cs="Mangal"/>
          <w:noProof/>
          <w:sz w:val="24"/>
          <w:szCs w:val="24"/>
        </w:rPr>
        <w:tab/>
        <w:t>Central TB Division Directorate General of Health Services and Ministry of Health and Family Welfare. Notification of TB cases [Internet]. 2012. Available from: https://tbcindia.gov.in/showfile.php?lid=3136</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3. </w:t>
      </w:r>
      <w:r w:rsidRPr="00BE7D0B">
        <w:rPr>
          <w:rFonts w:cs="Mangal"/>
          <w:noProof/>
          <w:sz w:val="24"/>
          <w:szCs w:val="24"/>
        </w:rPr>
        <w:tab/>
        <w:t>The Hindu. Reaching the unreached - The Hindu. 2018 Mar 25 [cited 2018 May 8]; Available from: http://www.thehindu.com/sci-tech/health/reaching-the-unreached/article23344422.ece</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4. </w:t>
      </w:r>
      <w:r w:rsidRPr="00BE7D0B">
        <w:rPr>
          <w:rFonts w:cs="Mangal"/>
          <w:noProof/>
          <w:sz w:val="24"/>
          <w:szCs w:val="24"/>
        </w:rPr>
        <w:tab/>
        <w:t>Uplekar M, Pathania V, Raviglione M. Private practitioners and public health: weak links in tuberculosis control. Lancet [Internet]. 2001 Sep 15 [cited 2018 May 8];358(9285):912–6. Available from: http://www.ncbi.nlm.nih.gov/pubmed/11567729</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5. </w:t>
      </w:r>
      <w:r w:rsidRPr="00BE7D0B">
        <w:rPr>
          <w:rFonts w:cs="Mangal"/>
          <w:noProof/>
          <w:sz w:val="24"/>
          <w:szCs w:val="24"/>
        </w:rPr>
        <w:tab/>
        <w:t>Raz M. Unintended Consequences of Expanded Mandatory Reporting Laws. Pediatrics [Internet]. 2017 Mar 14 [cited 2018 May 8];139(4):e20163511. Available from: http://www.ncbi.nlm.nih.gov/pubmed/28292874</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6. </w:t>
      </w:r>
      <w:r w:rsidRPr="00BE7D0B">
        <w:rPr>
          <w:rFonts w:cs="Mangal"/>
          <w:noProof/>
          <w:sz w:val="24"/>
          <w:szCs w:val="24"/>
        </w:rPr>
        <w:tab/>
        <w:t>Chang KC, Leung CC, Grosset J, Yew WW. Treatment of tuberculosis and optimal dosing schedules. Thorax [Internet]. 2011 Nov 1 [cited 2018 May 8];66(11):997–1007. Available from: http://www.ncbi.nlm.nih.gov/pubmed/21169286</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7. </w:t>
      </w:r>
      <w:r w:rsidRPr="00BE7D0B">
        <w:rPr>
          <w:rFonts w:cs="Mangal"/>
          <w:noProof/>
          <w:sz w:val="24"/>
          <w:szCs w:val="24"/>
        </w:rPr>
        <w:tab/>
        <w:t>Arinaminpathy N, Batra D, Khaparde S, Vualnam T, Maheshwari N, Sharma L, et al. The number of privately treated tuberculosis cases in India: an estimation from drug sales data. Lancet Infect Dis [Internet]. 2016 Nov [cited 2018 May 8];16(11):1255–60. Available from: http://www.ncbi.nlm.nih.gov/pubmed/27568356</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8. </w:t>
      </w:r>
      <w:r w:rsidRPr="00BE7D0B">
        <w:rPr>
          <w:rFonts w:cs="Mangal"/>
          <w:noProof/>
          <w:sz w:val="24"/>
          <w:szCs w:val="24"/>
        </w:rPr>
        <w:tab/>
        <w:t>::RSBY:: [Internet]. [cited 2018 May 8]. Available from: http://www.rsby.gov.in/about_rsby.aspx</w:t>
      </w:r>
    </w:p>
    <w:p w:rsidR="00BE7D0B" w:rsidRPr="00BE7D0B" w:rsidRDefault="00BE7D0B" w:rsidP="00BE7D0B">
      <w:pPr>
        <w:widowControl w:val="0"/>
        <w:autoSpaceDE w:val="0"/>
        <w:autoSpaceDN w:val="0"/>
        <w:adjustRightInd w:val="0"/>
        <w:spacing w:line="240" w:lineRule="auto"/>
        <w:ind w:left="640" w:hanging="640"/>
        <w:rPr>
          <w:noProof/>
          <w:sz w:val="24"/>
        </w:rPr>
      </w:pPr>
      <w:r w:rsidRPr="00BE7D0B">
        <w:rPr>
          <w:rFonts w:cs="Mangal"/>
          <w:noProof/>
          <w:sz w:val="24"/>
          <w:szCs w:val="24"/>
        </w:rPr>
        <w:t xml:space="preserve">9. </w:t>
      </w:r>
      <w:r w:rsidRPr="00BE7D0B">
        <w:rPr>
          <w:rFonts w:cs="Mangal"/>
          <w:noProof/>
          <w:sz w:val="24"/>
          <w:szCs w:val="24"/>
        </w:rPr>
        <w:tab/>
        <w:t>Times of India. community health centre: Chhattisgarh to hand over 9 CHCs to private players, opposition cries foul | Raipur News - Times of India [Internet]. 2018 [cited 2018 May 8]. Available from: https://timesofindia.indiatimes.com/city/raipur/chhattisgarh-to-hand-over-9-chcs-to-private-players-opposition-cries-foul/articleshow/63423269.cms</w:t>
      </w:r>
    </w:p>
    <w:p w:rsidR="00590A44" w:rsidRPr="00BE7D0B" w:rsidRDefault="0011123A" w:rsidP="00BE7D0B">
      <w:pPr>
        <w:widowControl w:val="0"/>
        <w:autoSpaceDE w:val="0"/>
        <w:autoSpaceDN w:val="0"/>
        <w:adjustRightInd w:val="0"/>
        <w:spacing w:line="240" w:lineRule="auto"/>
        <w:rPr>
          <w:rFonts w:asciiTheme="majorHAnsi" w:hAnsiTheme="majorHAnsi"/>
          <w:sz w:val="24"/>
          <w:szCs w:val="24"/>
        </w:rPr>
      </w:pPr>
      <w:r>
        <w:rPr>
          <w:rFonts w:asciiTheme="majorHAnsi" w:eastAsia="Times New Roman" w:hAnsiTheme="majorHAnsi" w:cs="Times New Roman"/>
          <w:sz w:val="24"/>
          <w:szCs w:val="24"/>
        </w:rPr>
        <w:fldChar w:fldCharType="end"/>
      </w:r>
    </w:p>
    <w:sectPr w:rsidR="00590A44" w:rsidRPr="00BE7D0B" w:rsidSect="0011123A">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B06" w:rsidRDefault="00652B06" w:rsidP="00BE7D0B">
      <w:pPr>
        <w:spacing w:after="0" w:line="240" w:lineRule="auto"/>
      </w:pPr>
      <w:r>
        <w:separator/>
      </w:r>
    </w:p>
  </w:endnote>
  <w:endnote w:type="continuationSeparator" w:id="0">
    <w:p w:rsidR="00652B06" w:rsidRDefault="00652B06" w:rsidP="00BE7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B06" w:rsidRDefault="00652B06" w:rsidP="00BE7D0B">
      <w:pPr>
        <w:spacing w:after="0" w:line="240" w:lineRule="auto"/>
      </w:pPr>
      <w:r>
        <w:separator/>
      </w:r>
    </w:p>
  </w:footnote>
  <w:footnote w:type="continuationSeparator" w:id="0">
    <w:p w:rsidR="00652B06" w:rsidRDefault="00652B06" w:rsidP="00BE7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44"/>
    <w:rsid w:val="0011123A"/>
    <w:rsid w:val="004D41D7"/>
    <w:rsid w:val="00533FBE"/>
    <w:rsid w:val="00590A44"/>
    <w:rsid w:val="006203F1"/>
    <w:rsid w:val="00652B06"/>
    <w:rsid w:val="008222CB"/>
    <w:rsid w:val="009E3D78"/>
    <w:rsid w:val="00B01B8F"/>
    <w:rsid w:val="00BE7D0B"/>
    <w:rsid w:val="00C77D15"/>
    <w:rsid w:val="00D5169E"/>
    <w:rsid w:val="00F111E5"/>
    <w:rsid w:val="00F22E1B"/>
    <w:rsid w:val="00F330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CACCD-564A-49E2-BD8D-0C238681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22C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222CB"/>
    <w:rPr>
      <w:rFonts w:ascii="Tahoma" w:hAnsi="Tahoma" w:cs="Mangal"/>
      <w:sz w:val="16"/>
      <w:szCs w:val="14"/>
    </w:rPr>
  </w:style>
  <w:style w:type="paragraph" w:styleId="FootnoteText">
    <w:name w:val="footnote text"/>
    <w:basedOn w:val="Normal"/>
    <w:link w:val="FootnoteTextChar"/>
    <w:uiPriority w:val="99"/>
    <w:semiHidden/>
    <w:unhideWhenUsed/>
    <w:rsid w:val="00BE7D0B"/>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BE7D0B"/>
    <w:rPr>
      <w:rFonts w:cs="Mangal"/>
      <w:sz w:val="20"/>
      <w:szCs w:val="18"/>
    </w:rPr>
  </w:style>
  <w:style w:type="character" w:styleId="FootnoteReference">
    <w:name w:val="footnote reference"/>
    <w:basedOn w:val="DefaultParagraphFont"/>
    <w:uiPriority w:val="99"/>
    <w:semiHidden/>
    <w:unhideWhenUsed/>
    <w:rsid w:val="00BE7D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EC806-1136-420B-82F3-2A55739C2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3758</Words>
  <Characters>21424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shaheen chowdhury</dc:creator>
  <cp:lastModifiedBy>Admin</cp:lastModifiedBy>
  <cp:revision>2</cp:revision>
  <dcterms:created xsi:type="dcterms:W3CDTF">2018-06-15T09:55:00Z</dcterms:created>
  <dcterms:modified xsi:type="dcterms:W3CDTF">2018-06-15T09:55:00Z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cdce44ea-d25f-3e34-b738-fcc2ed0df89e</vt:lpwstr>
  </property>
  <property fmtid="{D5CDD505-2E9C-101B-9397-08002B2CF9AE}" pid="24" name="Mendeley Citation Style_1">
    <vt:lpwstr>http://www.zotero.org/styles/vancouver</vt:lpwstr>
  </property>
</Properties>
</file>