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D3461" w14:textId="77777777" w:rsidR="004E5EC6" w:rsidRPr="00DE6E2E" w:rsidRDefault="004E5EC6" w:rsidP="00D417CB">
      <w:pPr>
        <w:jc w:val="center"/>
        <w:rPr>
          <w:rFonts w:ascii="Times" w:hAnsi="Times"/>
        </w:rPr>
      </w:pPr>
      <w:bookmarkStart w:id="0" w:name="_GoBack"/>
      <w:bookmarkEnd w:id="0"/>
    </w:p>
    <w:p w14:paraId="2653F92B" w14:textId="77777777" w:rsidR="00C0333F" w:rsidRPr="00DE6E2E" w:rsidRDefault="00C0333F" w:rsidP="00D417CB">
      <w:pPr>
        <w:jc w:val="center"/>
        <w:rPr>
          <w:rFonts w:ascii="Times" w:hAnsi="Times"/>
          <w:b/>
        </w:rPr>
      </w:pPr>
    </w:p>
    <w:p w14:paraId="12C99E09" w14:textId="53981D92" w:rsidR="009B413A" w:rsidRDefault="00BD173C" w:rsidP="00D417CB">
      <w:pPr>
        <w:jc w:val="center"/>
        <w:rPr>
          <w:rFonts w:ascii="Times" w:hAnsi="Times"/>
          <w:b/>
        </w:rPr>
      </w:pPr>
      <w:r w:rsidRPr="00DE6E2E">
        <w:rPr>
          <w:rFonts w:ascii="Times" w:hAnsi="Times"/>
          <w:b/>
        </w:rPr>
        <w:t>The menace of i</w:t>
      </w:r>
      <w:r w:rsidR="009B413A" w:rsidRPr="00DE6E2E">
        <w:rPr>
          <w:rFonts w:ascii="Times" w:hAnsi="Times"/>
          <w:b/>
        </w:rPr>
        <w:t xml:space="preserve">rrational </w:t>
      </w:r>
      <w:r w:rsidR="002D49D3" w:rsidRPr="00DE6E2E">
        <w:rPr>
          <w:rFonts w:ascii="Times" w:hAnsi="Times"/>
          <w:b/>
        </w:rPr>
        <w:t xml:space="preserve">antimicrobial </w:t>
      </w:r>
      <w:r w:rsidR="003C716C" w:rsidRPr="00DE6E2E">
        <w:rPr>
          <w:rFonts w:ascii="Times" w:hAnsi="Times"/>
          <w:b/>
        </w:rPr>
        <w:t>drug combinations</w:t>
      </w:r>
      <w:r w:rsidRPr="00DE6E2E">
        <w:rPr>
          <w:rFonts w:ascii="Times" w:hAnsi="Times"/>
          <w:b/>
        </w:rPr>
        <w:t xml:space="preserve"> </w:t>
      </w:r>
      <w:r w:rsidR="00BA0919" w:rsidRPr="00DE6E2E">
        <w:rPr>
          <w:rFonts w:ascii="Times" w:hAnsi="Times"/>
          <w:b/>
        </w:rPr>
        <w:t>in India</w:t>
      </w:r>
      <w:r w:rsidR="000844DB" w:rsidRPr="00DE6E2E">
        <w:rPr>
          <w:rFonts w:ascii="Times" w:hAnsi="Times"/>
          <w:b/>
        </w:rPr>
        <w:t xml:space="preserve">- </w:t>
      </w:r>
      <w:r w:rsidR="00C71410" w:rsidRPr="00DE6E2E">
        <w:rPr>
          <w:rFonts w:ascii="Times" w:hAnsi="Times"/>
          <w:b/>
        </w:rPr>
        <w:t>Doctors</w:t>
      </w:r>
      <w:r w:rsidR="006609A3" w:rsidRPr="00DE6E2E">
        <w:rPr>
          <w:rFonts w:ascii="Times" w:hAnsi="Times"/>
          <w:b/>
        </w:rPr>
        <w:t xml:space="preserve"> need to </w:t>
      </w:r>
      <w:r w:rsidR="00A37515" w:rsidRPr="00DE6E2E">
        <w:rPr>
          <w:rFonts w:ascii="Times" w:hAnsi="Times"/>
          <w:b/>
        </w:rPr>
        <w:t>recognize</w:t>
      </w:r>
      <w:r w:rsidR="00316BF0" w:rsidRPr="00DE6E2E">
        <w:rPr>
          <w:rFonts w:ascii="Times" w:hAnsi="Times"/>
          <w:b/>
        </w:rPr>
        <w:t xml:space="preserve"> </w:t>
      </w:r>
      <w:r w:rsidR="00A37515" w:rsidRPr="00DE6E2E">
        <w:rPr>
          <w:rFonts w:ascii="Times" w:hAnsi="Times"/>
          <w:b/>
        </w:rPr>
        <w:t>the writing on the</w:t>
      </w:r>
      <w:r w:rsidR="006A6FF4" w:rsidRPr="00DE6E2E">
        <w:rPr>
          <w:rFonts w:ascii="Times" w:hAnsi="Times"/>
          <w:b/>
        </w:rPr>
        <w:t xml:space="preserve"> wall</w:t>
      </w:r>
      <w:r w:rsidR="00A37515" w:rsidRPr="00DE6E2E">
        <w:rPr>
          <w:rFonts w:ascii="Times" w:hAnsi="Times"/>
          <w:b/>
        </w:rPr>
        <w:t xml:space="preserve"> and act on it.</w:t>
      </w:r>
    </w:p>
    <w:p w14:paraId="5F16335B" w14:textId="77777777" w:rsidR="00D417CB" w:rsidRPr="000B13C7" w:rsidRDefault="00D417CB" w:rsidP="00D417CB">
      <w:pPr>
        <w:jc w:val="center"/>
        <w:rPr>
          <w:rFonts w:ascii="Times" w:hAnsi="Times"/>
          <w:b/>
        </w:rPr>
      </w:pPr>
    </w:p>
    <w:p w14:paraId="41584520" w14:textId="3003AEA3" w:rsidR="00C060A3" w:rsidRDefault="000B13C7" w:rsidP="00D417CB">
      <w:pPr>
        <w:jc w:val="both"/>
        <w:rPr>
          <w:rFonts w:ascii="Times" w:hAnsi="Times"/>
        </w:rPr>
      </w:pPr>
      <w:r>
        <w:rPr>
          <w:rFonts w:ascii="Times" w:hAnsi="Times"/>
        </w:rPr>
        <w:t xml:space="preserve">        </w:t>
      </w:r>
      <w:r w:rsidR="008A10AC" w:rsidRPr="00DE6E2E">
        <w:rPr>
          <w:rFonts w:ascii="Times" w:hAnsi="Times"/>
        </w:rPr>
        <w:t>Antimicrobial resistance</w:t>
      </w:r>
      <w:r w:rsidR="00F5654D" w:rsidRPr="00DE6E2E">
        <w:rPr>
          <w:rFonts w:ascii="Times" w:hAnsi="Times"/>
        </w:rPr>
        <w:t xml:space="preserve"> (AMR)</w:t>
      </w:r>
      <w:r w:rsidR="0009392F" w:rsidRPr="00DE6E2E">
        <w:rPr>
          <w:rFonts w:ascii="Times" w:hAnsi="Times"/>
        </w:rPr>
        <w:t xml:space="preserve"> is </w:t>
      </w:r>
      <w:r w:rsidR="00657652" w:rsidRPr="00DE6E2E">
        <w:rPr>
          <w:rFonts w:ascii="Times" w:hAnsi="Times"/>
        </w:rPr>
        <w:t xml:space="preserve">a public health crisis that </w:t>
      </w:r>
      <w:r w:rsidR="008965BB" w:rsidRPr="00DE6E2E">
        <w:rPr>
          <w:rFonts w:ascii="Times" w:hAnsi="Times"/>
        </w:rPr>
        <w:t>is likely to cause about 10 million deaths every year by 2050</w:t>
      </w:r>
      <w:r w:rsidR="005456F6" w:rsidRPr="00DE6E2E">
        <w:rPr>
          <w:rFonts w:ascii="Times" w:hAnsi="Times"/>
        </w:rPr>
        <w:t xml:space="preserve"> </w:t>
      </w:r>
      <w:r w:rsidR="00543437" w:rsidRPr="00DE6E2E">
        <w:rPr>
          <w:rFonts w:ascii="Times" w:hAnsi="Times"/>
        </w:rPr>
        <w:fldChar w:fldCharType="begin" w:fldLock="1"/>
      </w:r>
      <w:r w:rsidR="005B5853" w:rsidRPr="00DE6E2E">
        <w:rPr>
          <w:rFonts w:ascii="Times" w:hAnsi="Times"/>
        </w:rPr>
        <w:instrText>ADDIN CSL_CITATION { "citationItems" : [ { "id" : "ITEM-1", "itemData" : { "id" : "ITEM-1", "issued" : { "date-parts" : [ [ "2014" ] ] }, "number-of-pages" : "16", "title" : "Antimicrobial Resistance: Tackling a Crisis for the Health and Wealth of Nations.", "type" : "report" }, "uris" : [ "http://www.mendeley.com/documents/?uuid=bd405d79-0432-3ce3-bf7a-d08d21f1e4d6" ] } ], "mendeley" : { "formattedCitation" : "(1)", "plainTextFormattedCitation" : "(1)", "previouslyFormattedCitation" : "(1)" }, "properties" : { "noteIndex" : 0 }, "schema" : "https://github.com/citation-style-language/schema/raw/master/csl-citation.json" }</w:instrText>
      </w:r>
      <w:r w:rsidR="00543437" w:rsidRPr="00DE6E2E">
        <w:rPr>
          <w:rFonts w:ascii="Times" w:hAnsi="Times"/>
        </w:rPr>
        <w:fldChar w:fldCharType="separate"/>
      </w:r>
      <w:r w:rsidR="00543437" w:rsidRPr="00DE6E2E">
        <w:rPr>
          <w:rFonts w:ascii="Times" w:hAnsi="Times"/>
          <w:noProof/>
        </w:rPr>
        <w:t>(1)</w:t>
      </w:r>
      <w:r w:rsidR="00543437" w:rsidRPr="00DE6E2E">
        <w:rPr>
          <w:rFonts w:ascii="Times" w:hAnsi="Times"/>
        </w:rPr>
        <w:fldChar w:fldCharType="end"/>
      </w:r>
      <w:r w:rsidR="008965BB" w:rsidRPr="00DE6E2E">
        <w:rPr>
          <w:rFonts w:ascii="Times" w:hAnsi="Times"/>
        </w:rPr>
        <w:t>, unless strong health system based actions are taken aga</w:t>
      </w:r>
      <w:r w:rsidR="00772846" w:rsidRPr="00DE6E2E">
        <w:rPr>
          <w:rFonts w:ascii="Times" w:hAnsi="Times"/>
        </w:rPr>
        <w:t>inst it. Although a</w:t>
      </w:r>
      <w:r w:rsidR="008965BB" w:rsidRPr="00DE6E2E">
        <w:rPr>
          <w:rFonts w:ascii="Times" w:hAnsi="Times"/>
        </w:rPr>
        <w:t>ny antimicrobial use contributes to development</w:t>
      </w:r>
      <w:r w:rsidR="00772846" w:rsidRPr="00DE6E2E">
        <w:rPr>
          <w:rFonts w:ascii="Times" w:hAnsi="Times"/>
        </w:rPr>
        <w:t xml:space="preserve"> of resistance;</w:t>
      </w:r>
      <w:r w:rsidR="00A3007A" w:rsidRPr="00DE6E2E">
        <w:rPr>
          <w:rFonts w:ascii="Times" w:hAnsi="Times"/>
        </w:rPr>
        <w:t xml:space="preserve"> overuse, </w:t>
      </w:r>
      <w:r w:rsidR="008965BB" w:rsidRPr="00DE6E2E">
        <w:rPr>
          <w:rFonts w:ascii="Times" w:hAnsi="Times"/>
        </w:rPr>
        <w:t>misuse</w:t>
      </w:r>
      <w:r w:rsidR="00A3007A" w:rsidRPr="00DE6E2E">
        <w:rPr>
          <w:rFonts w:ascii="Times" w:hAnsi="Times"/>
        </w:rPr>
        <w:t xml:space="preserve"> and irrational use</w:t>
      </w:r>
      <w:r w:rsidR="008965BB" w:rsidRPr="00DE6E2E">
        <w:rPr>
          <w:rFonts w:ascii="Times" w:hAnsi="Times"/>
        </w:rPr>
        <w:t xml:space="preserve"> remain the </w:t>
      </w:r>
      <w:r w:rsidR="00A3007A" w:rsidRPr="00DE6E2E">
        <w:rPr>
          <w:rFonts w:ascii="Times" w:hAnsi="Times"/>
        </w:rPr>
        <w:t xml:space="preserve">biggest culprit, with or without prescription. </w:t>
      </w:r>
      <w:r w:rsidR="00772846" w:rsidRPr="00DE6E2E">
        <w:rPr>
          <w:rFonts w:ascii="Times" w:hAnsi="Times"/>
        </w:rPr>
        <w:t>Thus, t</w:t>
      </w:r>
      <w:r w:rsidR="00A3007A" w:rsidRPr="00DE6E2E">
        <w:rPr>
          <w:rFonts w:ascii="Times" w:hAnsi="Times"/>
        </w:rPr>
        <w:t>he widespread availability</w:t>
      </w:r>
      <w:r w:rsidR="00144566" w:rsidRPr="00DE6E2E">
        <w:rPr>
          <w:rFonts w:ascii="Times" w:hAnsi="Times"/>
        </w:rPr>
        <w:t>, use</w:t>
      </w:r>
      <w:r w:rsidR="00A3007A" w:rsidRPr="00DE6E2E">
        <w:rPr>
          <w:rFonts w:ascii="Times" w:hAnsi="Times"/>
        </w:rPr>
        <w:t xml:space="preserve"> and prescription of irrational fixed dose combinations</w:t>
      </w:r>
      <w:r w:rsidR="00144566" w:rsidRPr="00DE6E2E">
        <w:rPr>
          <w:rFonts w:ascii="Times" w:hAnsi="Times"/>
        </w:rPr>
        <w:t xml:space="preserve"> (FDCs) of antimicrobials in India is </w:t>
      </w:r>
      <w:r w:rsidR="00D6651E" w:rsidRPr="00DE6E2E">
        <w:rPr>
          <w:rFonts w:ascii="Times" w:hAnsi="Times"/>
        </w:rPr>
        <w:t>one such contributor</w:t>
      </w:r>
      <w:r w:rsidR="008D119F" w:rsidRPr="00DE6E2E">
        <w:rPr>
          <w:rFonts w:ascii="Times" w:hAnsi="Times"/>
        </w:rPr>
        <w:t>. The Ministry of Health and Family Welfare banned 344 FDCs in 2015</w:t>
      </w:r>
      <w:r w:rsidR="00CF4E8B" w:rsidRPr="00DE6E2E">
        <w:rPr>
          <w:rFonts w:ascii="Times" w:hAnsi="Times"/>
        </w:rPr>
        <w:t xml:space="preserve">, which was </w:t>
      </w:r>
      <w:r w:rsidR="00240395" w:rsidRPr="00DE6E2E">
        <w:rPr>
          <w:rFonts w:ascii="Times" w:hAnsi="Times"/>
        </w:rPr>
        <w:t>challenged</w:t>
      </w:r>
      <w:r w:rsidR="00CF4E8B" w:rsidRPr="00DE6E2E">
        <w:rPr>
          <w:rFonts w:ascii="Times" w:hAnsi="Times"/>
        </w:rPr>
        <w:t xml:space="preserve"> by the drug companies</w:t>
      </w:r>
      <w:r w:rsidR="00240395" w:rsidRPr="00DE6E2E">
        <w:rPr>
          <w:rFonts w:ascii="Times" w:hAnsi="Times"/>
        </w:rPr>
        <w:t xml:space="preserve"> a</w:t>
      </w:r>
      <w:r w:rsidR="00CF4E8B" w:rsidRPr="00DE6E2E">
        <w:rPr>
          <w:rFonts w:ascii="Times" w:hAnsi="Times"/>
        </w:rPr>
        <w:t xml:space="preserve">nd later </w:t>
      </w:r>
      <w:r w:rsidR="00240395" w:rsidRPr="00DE6E2E">
        <w:rPr>
          <w:rFonts w:ascii="Times" w:hAnsi="Times"/>
        </w:rPr>
        <w:t xml:space="preserve">the ban was </w:t>
      </w:r>
      <w:r w:rsidR="00240395" w:rsidRPr="00DE6E2E">
        <w:rPr>
          <w:rFonts w:ascii="Times" w:hAnsi="Times"/>
          <w:color w:val="000000" w:themeColor="text1"/>
        </w:rPr>
        <w:t>quashed in the Delhi high court on the grounds that the government did not consult statutory authorities before enforcing the ban</w:t>
      </w:r>
      <w:r w:rsidR="00543437" w:rsidRPr="00DE6E2E">
        <w:rPr>
          <w:rFonts w:ascii="Times" w:hAnsi="Times"/>
          <w:color w:val="000000" w:themeColor="text1"/>
        </w:rPr>
        <w:t xml:space="preserve"> </w:t>
      </w:r>
      <w:r w:rsidR="005B5853" w:rsidRPr="00DE6E2E">
        <w:rPr>
          <w:rFonts w:ascii="Times" w:hAnsi="Times"/>
          <w:color w:val="000000" w:themeColor="text1"/>
        </w:rPr>
        <w:fldChar w:fldCharType="begin" w:fldLock="1"/>
      </w:r>
      <w:r w:rsidR="0028276C" w:rsidRPr="00DE6E2E">
        <w:rPr>
          <w:rFonts w:ascii="Times" w:hAnsi="Times"/>
          <w:color w:val="000000" w:themeColor="text1"/>
        </w:rPr>
        <w:instrText>ADDIN CSL_CITATION { "citationItems" : [ { "id" : "ITEM-1", "itemData" : { "URL" : "https://www.livemint.com/Industry/I3tznDsotKp1dd3GY30q8I/Expert-committee-set-up-to-review-344-banned-FDC-drugs.html", "accessed" : { "date-parts" : [ [ "2018", "7", "9" ] ] }, "author" : [ { "dropping-particle" : "", "family" : "Thacker", "given" : "Teena", "non-dropping-particle" : "", "parse-names" : false, "suffix" : "" } ], "container-title" : "Livemint", "id" : "ITEM-1", "issued" : { "date-parts" : [ [ "2018" ] ] }, "title" : "Expert committee set up to review 344 banned FDC drugs", "type" : "webpage" }, "uris" : [ "http://www.mendeley.com/documents/?uuid=0ac1ce04-ef85-38f1-8c9e-7b175186d422" ] } ], "mendeley" : { "formattedCitation" : "(2)", "plainTextFormattedCitation" : "(2)", "previouslyFormattedCitation" : "(2)" }, "properties" : { "noteIndex" : 0 }, "schema" : "https://github.com/citation-style-language/schema/raw/master/csl-citation.json" }</w:instrText>
      </w:r>
      <w:r w:rsidR="005B5853" w:rsidRPr="00DE6E2E">
        <w:rPr>
          <w:rFonts w:ascii="Times" w:hAnsi="Times"/>
          <w:color w:val="000000" w:themeColor="text1"/>
        </w:rPr>
        <w:fldChar w:fldCharType="separate"/>
      </w:r>
      <w:r w:rsidR="005B5853" w:rsidRPr="00DE6E2E">
        <w:rPr>
          <w:rFonts w:ascii="Times" w:hAnsi="Times"/>
          <w:noProof/>
          <w:color w:val="000000" w:themeColor="text1"/>
        </w:rPr>
        <w:t>(2)</w:t>
      </w:r>
      <w:r w:rsidR="005B5853" w:rsidRPr="00DE6E2E">
        <w:rPr>
          <w:rFonts w:ascii="Times" w:hAnsi="Times"/>
          <w:color w:val="000000" w:themeColor="text1"/>
        </w:rPr>
        <w:fldChar w:fldCharType="end"/>
      </w:r>
      <w:r w:rsidR="00240395" w:rsidRPr="00DE6E2E">
        <w:rPr>
          <w:rFonts w:ascii="Times" w:hAnsi="Times"/>
        </w:rPr>
        <w:t>.</w:t>
      </w:r>
      <w:r w:rsidR="005B5853" w:rsidRPr="00DE6E2E">
        <w:rPr>
          <w:rFonts w:ascii="Times" w:hAnsi="Times"/>
        </w:rPr>
        <w:t xml:space="preserve"> Though there are more antimicrobial FDCs in India, about 63 are present even in these 344 FDCs</w:t>
      </w:r>
      <w:r w:rsidR="00467224" w:rsidRPr="00DE6E2E">
        <w:rPr>
          <w:rFonts w:ascii="Times" w:hAnsi="Times"/>
        </w:rPr>
        <w:t>.</w:t>
      </w:r>
      <w:r w:rsidR="003B6083" w:rsidRPr="00DE6E2E">
        <w:rPr>
          <w:rFonts w:ascii="Times" w:hAnsi="Times"/>
        </w:rPr>
        <w:t xml:space="preserve"> While an expert committee is reviewing the issue, clear regulatory loopholes are</w:t>
      </w:r>
      <w:r w:rsidR="00543F48" w:rsidRPr="00DE6E2E">
        <w:rPr>
          <w:rFonts w:ascii="Times" w:hAnsi="Times"/>
        </w:rPr>
        <w:t xml:space="preserve"> evident</w:t>
      </w:r>
      <w:r w:rsidR="003B6083" w:rsidRPr="00DE6E2E">
        <w:rPr>
          <w:rFonts w:ascii="Times" w:hAnsi="Times"/>
        </w:rPr>
        <w:t xml:space="preserve"> as People’s Health Movement and other public health organizations </w:t>
      </w:r>
      <w:r w:rsidR="0028276C" w:rsidRPr="00DE6E2E">
        <w:rPr>
          <w:rFonts w:ascii="Times" w:hAnsi="Times"/>
        </w:rPr>
        <w:fldChar w:fldCharType="begin" w:fldLock="1"/>
      </w:r>
      <w:r w:rsidR="000E20B3" w:rsidRPr="00DE6E2E">
        <w:rPr>
          <w:rFonts w:ascii="Times" w:hAnsi="Times"/>
        </w:rPr>
        <w:instrText>ADDIN CSL_CITATION { "citationItems" : [ { "id" : "ITEM-1", "itemData" : { "URL" : "http://phmindia.org/wp-content/uploads/2016/03/JSA-FDCs-Press-Release.pdf", "accessed" : { "date-parts" : [ [ "2018", "7", "9" ] ] }, "author" : [ { "dropping-particle" : "", "family" : "Jan Swasthya Abhiyan", "given" : "", "non-dropping-particle" : "", "parse-names" : false, "suffix" : "" } ], "id" : "ITEM-1", "issued" : { "date-parts" : [ [ "2016" ] ] }, "title" : "Public Health Must Prevail Over Corporate Profits", "type" : "webpage" }, "uris" : [ "http://www.mendeley.com/documents/?uuid=628e5c38-d9b4-3448-940c-316e652d0d3b" ] } ], "mendeley" : { "formattedCitation" : "(3)", "plainTextFormattedCitation" : "(3)", "previouslyFormattedCitation" : "(3)" }, "properties" : { "noteIndex" : 0 }, "schema" : "https://github.com/citation-style-language/schema/raw/master/csl-citation.json" }</w:instrText>
      </w:r>
      <w:r w:rsidR="0028276C" w:rsidRPr="00DE6E2E">
        <w:rPr>
          <w:rFonts w:ascii="Times" w:hAnsi="Times"/>
        </w:rPr>
        <w:fldChar w:fldCharType="separate"/>
      </w:r>
      <w:r w:rsidR="0028276C" w:rsidRPr="00DE6E2E">
        <w:rPr>
          <w:rFonts w:ascii="Times" w:hAnsi="Times"/>
          <w:noProof/>
        </w:rPr>
        <w:t>(3)</w:t>
      </w:r>
      <w:r w:rsidR="0028276C" w:rsidRPr="00DE6E2E">
        <w:rPr>
          <w:rFonts w:ascii="Times" w:hAnsi="Times"/>
        </w:rPr>
        <w:fldChar w:fldCharType="end"/>
      </w:r>
      <w:r w:rsidR="0028276C" w:rsidRPr="00DE6E2E">
        <w:rPr>
          <w:rFonts w:ascii="Times" w:hAnsi="Times"/>
        </w:rPr>
        <w:t xml:space="preserve"> </w:t>
      </w:r>
      <w:r w:rsidR="003B6083" w:rsidRPr="00DE6E2E">
        <w:rPr>
          <w:rFonts w:ascii="Times" w:hAnsi="Times"/>
        </w:rPr>
        <w:t>have pointed out</w:t>
      </w:r>
      <w:r w:rsidR="00FB7D03" w:rsidRPr="00DE6E2E">
        <w:rPr>
          <w:rFonts w:ascii="Times" w:hAnsi="Times"/>
        </w:rPr>
        <w:t>-</w:t>
      </w:r>
      <w:r w:rsidR="003B6083" w:rsidRPr="00DE6E2E">
        <w:rPr>
          <w:rFonts w:ascii="Times" w:hAnsi="Times"/>
        </w:rPr>
        <w:t xml:space="preserve"> these formulations </w:t>
      </w:r>
      <w:r w:rsidR="00250281" w:rsidRPr="00DE6E2E">
        <w:rPr>
          <w:rFonts w:ascii="Times" w:hAnsi="Times"/>
        </w:rPr>
        <w:t>were never</w:t>
      </w:r>
      <w:r w:rsidR="003B6083" w:rsidRPr="00DE6E2E">
        <w:rPr>
          <w:rFonts w:ascii="Times" w:hAnsi="Times"/>
        </w:rPr>
        <w:t xml:space="preserve"> approved by Central Drug Standard Control Organization (CDSCO) but the drugs are available in the market by merely receiving manufacturing approvals from state drug authorities.</w:t>
      </w:r>
      <w:r w:rsidR="00B809F5" w:rsidRPr="00DE6E2E">
        <w:rPr>
          <w:rFonts w:ascii="Times" w:hAnsi="Times"/>
        </w:rPr>
        <w:t xml:space="preserve"> Interestingly</w:t>
      </w:r>
      <w:r w:rsidR="00754E3C" w:rsidRPr="00DE6E2E">
        <w:rPr>
          <w:rFonts w:ascii="Times" w:hAnsi="Times"/>
        </w:rPr>
        <w:t xml:space="preserve">, </w:t>
      </w:r>
      <w:r w:rsidR="00B809F5" w:rsidRPr="00DE6E2E">
        <w:rPr>
          <w:rFonts w:ascii="Times" w:hAnsi="Times"/>
        </w:rPr>
        <w:t xml:space="preserve">state </w:t>
      </w:r>
      <w:r w:rsidR="00754E3C" w:rsidRPr="00DE6E2E">
        <w:rPr>
          <w:rFonts w:ascii="Times" w:hAnsi="Times"/>
        </w:rPr>
        <w:t xml:space="preserve">drug control authorities </w:t>
      </w:r>
      <w:r w:rsidR="00B809F5" w:rsidRPr="00DE6E2E">
        <w:rPr>
          <w:rFonts w:ascii="Times" w:hAnsi="Times"/>
        </w:rPr>
        <w:t>are not</w:t>
      </w:r>
      <w:r w:rsidR="00754E3C" w:rsidRPr="00DE6E2E">
        <w:rPr>
          <w:rFonts w:ascii="Times" w:hAnsi="Times"/>
        </w:rPr>
        <w:t xml:space="preserve"> authorize</w:t>
      </w:r>
      <w:r w:rsidR="00B809F5" w:rsidRPr="00DE6E2E">
        <w:rPr>
          <w:rFonts w:ascii="Times" w:hAnsi="Times"/>
        </w:rPr>
        <w:t>d</w:t>
      </w:r>
      <w:r w:rsidR="00D50543" w:rsidRPr="00DE6E2E">
        <w:rPr>
          <w:rFonts w:ascii="Times" w:hAnsi="Times"/>
        </w:rPr>
        <w:t xml:space="preserve"> </w:t>
      </w:r>
      <w:r w:rsidR="00B809F5" w:rsidRPr="00DE6E2E">
        <w:rPr>
          <w:rFonts w:ascii="Times" w:hAnsi="Times"/>
        </w:rPr>
        <w:t xml:space="preserve">to grant </w:t>
      </w:r>
      <w:r w:rsidR="00D50543" w:rsidRPr="00DE6E2E">
        <w:rPr>
          <w:rFonts w:ascii="Times" w:hAnsi="Times"/>
        </w:rPr>
        <w:t>marketing approvals</w:t>
      </w:r>
      <w:r w:rsidR="000E20B3" w:rsidRPr="00DE6E2E">
        <w:rPr>
          <w:rFonts w:ascii="Times" w:hAnsi="Times"/>
        </w:rPr>
        <w:t xml:space="preserve"> </w:t>
      </w:r>
      <w:r w:rsidR="000E20B3" w:rsidRPr="00DE6E2E">
        <w:rPr>
          <w:rFonts w:ascii="Times" w:hAnsi="Times"/>
        </w:rPr>
        <w:fldChar w:fldCharType="begin" w:fldLock="1"/>
      </w:r>
      <w:r w:rsidR="00D73BEE" w:rsidRPr="00DE6E2E">
        <w:rPr>
          <w:rFonts w:ascii="Times" w:hAnsi="Times"/>
        </w:rPr>
        <w:instrText>ADDIN CSL_CITATION { "citationItems" : [ { "id" : "ITEM-1", "itemData" : { "abstract" : "India has emerged as a major supplier of medical products globally. In recent years, great progress has been achieved in upgrading health product regulation in India in line with internationally accepted standards. This article gives an overview of the regulatory system in India and some recent initiatives that will make regulatory operations more efficient to ensure effective control and facilitate cooperation with other agencies. There is also the link to universal health coverage, the underlying theme being access to affordable and quality medical products. The country is playing an important role in the global landscape and is called by some \"the pharmacy of the world\".", "author" : [ { "dropping-particle" : "", "family" : "Gupta", "given" : "Madhur", "non-dropping-particle" : "", "parse-names" : false, "suffix" : "" }, { "dropping-particle" : "", "family" : "Shridhar", "given" : "Manisha", "non-dropping-particle" : "", "parse-names" : false, "suffix" : "" }, { "dropping-particle" : "", "family" : "Singh", "given" : "GN", "non-dropping-particle" : "", "parse-names" : false, "suffix" : "" }, { "dropping-particle" : "", "family" : "Khadem", "given" : "Alireza", "non-dropping-particle" : "", "parse-names" : false, "suffix" : "" } ], "container-title" : "WHO Drug Information", "id" : "ITEM-1", "issue" : "3", "issued" : { "date-parts" : [ [ "2017" ] ] }, "page" : "387-401", "title" : "Regulatory systems in India", "type" : "article-journal", "volume" : "31" }, "uris" : [ "http://www.mendeley.com/documents/?uuid=67dada96-56d9-3874-a7d9-b5fb6876d2b4" ] } ], "mendeley" : { "formattedCitation" : "(4)", "plainTextFormattedCitation" : "(4)", "previouslyFormattedCitation" : "(4)" }, "properties" : { "noteIndex" : 0 }, "schema" : "https://github.com/citation-style-language/schema/raw/master/csl-citation.json" }</w:instrText>
      </w:r>
      <w:r w:rsidR="000E20B3" w:rsidRPr="00DE6E2E">
        <w:rPr>
          <w:rFonts w:ascii="Times" w:hAnsi="Times"/>
        </w:rPr>
        <w:fldChar w:fldCharType="separate"/>
      </w:r>
      <w:r w:rsidR="000E20B3" w:rsidRPr="00DE6E2E">
        <w:rPr>
          <w:rFonts w:ascii="Times" w:hAnsi="Times"/>
          <w:noProof/>
        </w:rPr>
        <w:t>(4)</w:t>
      </w:r>
      <w:r w:rsidR="000E20B3" w:rsidRPr="00DE6E2E">
        <w:rPr>
          <w:rFonts w:ascii="Times" w:hAnsi="Times"/>
        </w:rPr>
        <w:fldChar w:fldCharType="end"/>
      </w:r>
      <w:r w:rsidR="00D50543" w:rsidRPr="00DE6E2E">
        <w:rPr>
          <w:rFonts w:ascii="Times" w:hAnsi="Times"/>
        </w:rPr>
        <w:t>.</w:t>
      </w:r>
    </w:p>
    <w:p w14:paraId="71BD0552" w14:textId="77777777" w:rsidR="00D417CB" w:rsidRPr="00DE6E2E" w:rsidRDefault="00D417CB" w:rsidP="00D417CB">
      <w:pPr>
        <w:jc w:val="both"/>
        <w:rPr>
          <w:rFonts w:ascii="Times" w:hAnsi="Times"/>
        </w:rPr>
      </w:pPr>
    </w:p>
    <w:p w14:paraId="1110FD36" w14:textId="7527B976" w:rsidR="006E788C" w:rsidRDefault="00EA6B01" w:rsidP="00D417CB">
      <w:pPr>
        <w:jc w:val="both"/>
        <w:rPr>
          <w:rFonts w:ascii="Times" w:eastAsia="Times New Roman" w:hAnsi="Times"/>
        </w:rPr>
      </w:pPr>
      <w:r w:rsidRPr="00DE6E2E">
        <w:rPr>
          <w:rFonts w:ascii="Times" w:hAnsi="Times"/>
        </w:rPr>
        <w:t xml:space="preserve">                  </w:t>
      </w:r>
      <w:r w:rsidR="008B3ACA" w:rsidRPr="00DE6E2E">
        <w:rPr>
          <w:rFonts w:ascii="Times" w:hAnsi="Times"/>
        </w:rPr>
        <w:t xml:space="preserve">The </w:t>
      </w:r>
      <w:r w:rsidR="00D044B2" w:rsidRPr="00DE6E2E">
        <w:rPr>
          <w:rFonts w:ascii="Times" w:hAnsi="Times"/>
        </w:rPr>
        <w:t>WHO publishes a</w:t>
      </w:r>
      <w:r w:rsidR="00F5654D" w:rsidRPr="00DE6E2E">
        <w:rPr>
          <w:rFonts w:ascii="Times" w:hAnsi="Times"/>
        </w:rPr>
        <w:t xml:space="preserve"> list of Critically Important Antimicrobials for Human Medicines (WHO CIA List)</w:t>
      </w:r>
      <w:r w:rsidR="000E20B3" w:rsidRPr="00DE6E2E">
        <w:rPr>
          <w:rFonts w:ascii="Times" w:hAnsi="Times"/>
        </w:rPr>
        <w:t xml:space="preserve"> </w:t>
      </w:r>
      <w:r w:rsidR="00D73BEE" w:rsidRPr="00DE6E2E">
        <w:rPr>
          <w:rFonts w:ascii="Times" w:hAnsi="Times"/>
        </w:rPr>
        <w:fldChar w:fldCharType="begin" w:fldLock="1"/>
      </w:r>
      <w:r w:rsidR="00935E79" w:rsidRPr="00DE6E2E">
        <w:rPr>
          <w:rFonts w:ascii="Times" w:hAnsi="Times"/>
        </w:rPr>
        <w:instrText>ADDIN CSL_CITATION { "citationItems" : [ { "id" : "ITEM-1", "itemData" : { "author" : [ { "dropping-particle" : "", "family" : "World Health Organization", "given" : "", "non-dropping-particle" : "", "parse-names" : false, "suffix" : "" } ], "id" : "ITEM-1", "issued" : { "date-parts" : [ [ "2017" ] ] }, "number-of-pages" : "41", "publisher-place" : "Geneva", "title" : "Critically Important Antimicrobials for Human Medicine 5th Revision 2016", "type" : "report" }, "uris" : [ "http://www.mendeley.com/documents/?uuid=7dbbb70a-33c3-382c-9e08-2f7ba7774945" ] } ], "mendeley" : { "formattedCitation" : "(5)", "plainTextFormattedCitation" : "(5)", "previouslyFormattedCitation" : "(5)" }, "properties" : { "noteIndex" : 0 }, "schema" : "https://github.com/citation-style-language/schema/raw/master/csl-citation.json" }</w:instrText>
      </w:r>
      <w:r w:rsidR="00D73BEE" w:rsidRPr="00DE6E2E">
        <w:rPr>
          <w:rFonts w:ascii="Times" w:hAnsi="Times"/>
        </w:rPr>
        <w:fldChar w:fldCharType="separate"/>
      </w:r>
      <w:r w:rsidR="00D73BEE" w:rsidRPr="00DE6E2E">
        <w:rPr>
          <w:rFonts w:ascii="Times" w:hAnsi="Times"/>
          <w:noProof/>
        </w:rPr>
        <w:t>(5)</w:t>
      </w:r>
      <w:r w:rsidR="00D73BEE" w:rsidRPr="00DE6E2E">
        <w:rPr>
          <w:rFonts w:ascii="Times" w:hAnsi="Times"/>
        </w:rPr>
        <w:fldChar w:fldCharType="end"/>
      </w:r>
      <w:r w:rsidR="00F5654D" w:rsidRPr="00DE6E2E">
        <w:rPr>
          <w:rFonts w:ascii="Times" w:hAnsi="Times"/>
        </w:rPr>
        <w:t xml:space="preserve">, </w:t>
      </w:r>
      <w:r w:rsidR="007443D2" w:rsidRPr="00DE6E2E">
        <w:rPr>
          <w:rFonts w:ascii="Times" w:hAnsi="Times"/>
        </w:rPr>
        <w:t xml:space="preserve">classifying them into three categories- critically important, highly important and important. </w:t>
      </w:r>
      <w:r w:rsidR="008B3ACA" w:rsidRPr="00DE6E2E">
        <w:rPr>
          <w:rFonts w:ascii="Times" w:hAnsi="Times"/>
        </w:rPr>
        <w:t>These an</w:t>
      </w:r>
      <w:r w:rsidR="006039D1" w:rsidRPr="00DE6E2E">
        <w:rPr>
          <w:rFonts w:ascii="Times" w:hAnsi="Times"/>
        </w:rPr>
        <w:t>timicrobials are vital for treatment in human infections</w:t>
      </w:r>
      <w:r w:rsidR="008B3ACA" w:rsidRPr="00DE6E2E">
        <w:rPr>
          <w:rFonts w:ascii="Times" w:hAnsi="Times"/>
        </w:rPr>
        <w:t>,</w:t>
      </w:r>
      <w:r w:rsidR="006039D1" w:rsidRPr="00DE6E2E">
        <w:rPr>
          <w:rFonts w:ascii="Times" w:hAnsi="Times"/>
        </w:rPr>
        <w:t xml:space="preserve"> and</w:t>
      </w:r>
      <w:r w:rsidR="008B3ACA" w:rsidRPr="00DE6E2E">
        <w:rPr>
          <w:rFonts w:ascii="Times" w:hAnsi="Times"/>
        </w:rPr>
        <w:t xml:space="preserve"> the list urges to limit its use in veterinary and agricultural sectors</w:t>
      </w:r>
      <w:r w:rsidR="006039D1" w:rsidRPr="00DE6E2E">
        <w:rPr>
          <w:rFonts w:ascii="Times" w:hAnsi="Times"/>
        </w:rPr>
        <w:t xml:space="preserve">. </w:t>
      </w:r>
      <w:r w:rsidR="007443D2" w:rsidRPr="00DE6E2E">
        <w:rPr>
          <w:rFonts w:ascii="Times" w:hAnsi="Times"/>
        </w:rPr>
        <w:t>The critically important antimicrobials are further prioritized into highest priority and high priority drugs.</w:t>
      </w:r>
      <w:r w:rsidR="00A133C4" w:rsidRPr="00DE6E2E">
        <w:rPr>
          <w:rFonts w:ascii="Times" w:hAnsi="Times"/>
        </w:rPr>
        <w:t xml:space="preserve"> Among the highest priority CIA’</w:t>
      </w:r>
      <w:r w:rsidR="006A6B4C" w:rsidRPr="00DE6E2E">
        <w:rPr>
          <w:rFonts w:ascii="Times" w:hAnsi="Times"/>
        </w:rPr>
        <w:t>s</w:t>
      </w:r>
      <w:r w:rsidR="00A133C4" w:rsidRPr="00DE6E2E">
        <w:rPr>
          <w:rFonts w:ascii="Times" w:hAnsi="Times"/>
        </w:rPr>
        <w:t xml:space="preserve"> that include Cephalosporins (3</w:t>
      </w:r>
      <w:r w:rsidR="00A133C4" w:rsidRPr="00DE6E2E">
        <w:rPr>
          <w:rFonts w:ascii="Times" w:hAnsi="Times"/>
          <w:vertAlign w:val="superscript"/>
        </w:rPr>
        <w:t>rd</w:t>
      </w:r>
      <w:r w:rsidR="00A133C4" w:rsidRPr="00DE6E2E">
        <w:rPr>
          <w:rFonts w:ascii="Times" w:hAnsi="Times"/>
        </w:rPr>
        <w:t>,4</w:t>
      </w:r>
      <w:r w:rsidR="00A133C4" w:rsidRPr="00DE6E2E">
        <w:rPr>
          <w:rFonts w:ascii="Times" w:hAnsi="Times"/>
          <w:vertAlign w:val="superscript"/>
        </w:rPr>
        <w:t>th</w:t>
      </w:r>
      <w:r w:rsidR="00A133C4" w:rsidRPr="00DE6E2E">
        <w:rPr>
          <w:rFonts w:ascii="Times" w:hAnsi="Times"/>
        </w:rPr>
        <w:t xml:space="preserve"> &amp; 5</w:t>
      </w:r>
      <w:r w:rsidR="00A133C4" w:rsidRPr="00DE6E2E">
        <w:rPr>
          <w:rFonts w:ascii="Times" w:hAnsi="Times"/>
          <w:vertAlign w:val="superscript"/>
        </w:rPr>
        <w:t>th</w:t>
      </w:r>
      <w:r w:rsidR="00A133C4" w:rsidRPr="00DE6E2E">
        <w:rPr>
          <w:rFonts w:ascii="Times" w:hAnsi="Times"/>
        </w:rPr>
        <w:t xml:space="preserve"> generations), </w:t>
      </w:r>
      <w:proofErr w:type="spellStart"/>
      <w:r w:rsidR="00A133C4" w:rsidRPr="00DE6E2E">
        <w:rPr>
          <w:rFonts w:ascii="Times" w:hAnsi="Times"/>
        </w:rPr>
        <w:t>Glycopeptides</w:t>
      </w:r>
      <w:proofErr w:type="spellEnd"/>
      <w:r w:rsidR="00A133C4" w:rsidRPr="00DE6E2E">
        <w:rPr>
          <w:rFonts w:ascii="Times" w:hAnsi="Times"/>
        </w:rPr>
        <w:t>, Macrolides and Ketolides, Pol</w:t>
      </w:r>
      <w:r w:rsidR="006A6B4C" w:rsidRPr="00DE6E2E">
        <w:rPr>
          <w:rFonts w:ascii="Times" w:hAnsi="Times"/>
        </w:rPr>
        <w:t>ymyxins and Quinolones; about 39</w:t>
      </w:r>
      <w:r w:rsidR="00A133C4" w:rsidRPr="00DE6E2E">
        <w:rPr>
          <w:rFonts w:ascii="Times" w:hAnsi="Times"/>
        </w:rPr>
        <w:t xml:space="preserve"> types of </w:t>
      </w:r>
      <w:r w:rsidR="0081673D" w:rsidRPr="00DE6E2E">
        <w:rPr>
          <w:rFonts w:ascii="Times" w:hAnsi="Times"/>
        </w:rPr>
        <w:t xml:space="preserve">such </w:t>
      </w:r>
      <w:r w:rsidR="00A133C4" w:rsidRPr="00DE6E2E">
        <w:rPr>
          <w:rFonts w:ascii="Times" w:hAnsi="Times"/>
        </w:rPr>
        <w:t>FDCs are available, prescribed, and sold in India.</w:t>
      </w:r>
      <w:r w:rsidR="00530CC8" w:rsidRPr="00DE6E2E">
        <w:rPr>
          <w:rFonts w:ascii="Times" w:hAnsi="Times"/>
        </w:rPr>
        <w:t xml:space="preserve"> </w:t>
      </w:r>
      <w:r w:rsidR="00B32E5F" w:rsidRPr="00DE6E2E">
        <w:rPr>
          <w:rFonts w:ascii="Times" w:hAnsi="Times"/>
        </w:rPr>
        <w:t>Unfortunately, many of these are combinations of two highest priority CIAs</w:t>
      </w:r>
      <w:r w:rsidR="000219A6" w:rsidRPr="00DE6E2E">
        <w:rPr>
          <w:rFonts w:ascii="Times" w:hAnsi="Times"/>
        </w:rPr>
        <w:t>,</w:t>
      </w:r>
      <w:r w:rsidR="00830E6C" w:rsidRPr="00DE6E2E">
        <w:rPr>
          <w:rFonts w:ascii="Times" w:hAnsi="Times"/>
        </w:rPr>
        <w:t xml:space="preserve"> for instance</w:t>
      </w:r>
      <w:r w:rsidR="000219A6" w:rsidRPr="00DE6E2E">
        <w:rPr>
          <w:rFonts w:ascii="Times" w:hAnsi="Times"/>
        </w:rPr>
        <w:t>-</w:t>
      </w:r>
      <w:r w:rsidR="00830E6C" w:rsidRPr="00DE6E2E">
        <w:rPr>
          <w:rFonts w:ascii="Times" w:hAnsi="Times"/>
        </w:rPr>
        <w:t xml:space="preserve"> </w:t>
      </w:r>
      <w:r w:rsidR="003E6167" w:rsidRPr="00DE6E2E">
        <w:rPr>
          <w:rFonts w:ascii="Times" w:hAnsi="Times"/>
        </w:rPr>
        <w:t>Cephalosporin</w:t>
      </w:r>
      <w:r w:rsidR="00E711BA" w:rsidRPr="00DE6E2E">
        <w:rPr>
          <w:rFonts w:ascii="Times" w:hAnsi="Times"/>
        </w:rPr>
        <w:t>s with Macrolides</w:t>
      </w:r>
      <w:r w:rsidR="006A6B4C" w:rsidRPr="00DE6E2E">
        <w:rPr>
          <w:rFonts w:ascii="Times" w:hAnsi="Times"/>
        </w:rPr>
        <w:t xml:space="preserve"> (like Cefixime and Azithromycin)</w:t>
      </w:r>
      <w:r w:rsidR="00E711BA" w:rsidRPr="00DE6E2E">
        <w:rPr>
          <w:rFonts w:ascii="Times" w:hAnsi="Times"/>
        </w:rPr>
        <w:t xml:space="preserve"> and Quinolones</w:t>
      </w:r>
      <w:r w:rsidR="006A6B4C" w:rsidRPr="00DE6E2E">
        <w:rPr>
          <w:rFonts w:ascii="Times" w:hAnsi="Times"/>
        </w:rPr>
        <w:t xml:space="preserve"> (</w:t>
      </w:r>
      <w:r w:rsidR="000219A6" w:rsidRPr="00DE6E2E">
        <w:rPr>
          <w:rFonts w:ascii="Times" w:hAnsi="Times"/>
        </w:rPr>
        <w:t>Cefixime and</w:t>
      </w:r>
      <w:r w:rsidR="006A6B4C" w:rsidRPr="00DE6E2E">
        <w:rPr>
          <w:rFonts w:ascii="Times" w:hAnsi="Times"/>
        </w:rPr>
        <w:t xml:space="preserve"> Levofloxacin)</w:t>
      </w:r>
      <w:r w:rsidR="00830E6C" w:rsidRPr="00DE6E2E">
        <w:rPr>
          <w:rFonts w:ascii="Times" w:hAnsi="Times"/>
        </w:rPr>
        <w:t xml:space="preserve">. </w:t>
      </w:r>
      <w:r w:rsidR="005C5636" w:rsidRPr="00DE6E2E">
        <w:rPr>
          <w:rFonts w:ascii="Times" w:hAnsi="Times"/>
        </w:rPr>
        <w:t xml:space="preserve">All the other categories also comprise of these FDCs with </w:t>
      </w:r>
      <w:r w:rsidR="00A47783" w:rsidRPr="00DE6E2E">
        <w:rPr>
          <w:rFonts w:ascii="Times" w:hAnsi="Times"/>
        </w:rPr>
        <w:t xml:space="preserve">combinations </w:t>
      </w:r>
      <w:r w:rsidR="008F7301" w:rsidRPr="00DE6E2E">
        <w:rPr>
          <w:rFonts w:ascii="Times" w:hAnsi="Times"/>
        </w:rPr>
        <w:t>of critical antibiotics like</w:t>
      </w:r>
      <w:r w:rsidR="00A47783" w:rsidRPr="00DE6E2E">
        <w:rPr>
          <w:rFonts w:ascii="Times" w:hAnsi="Times"/>
        </w:rPr>
        <w:t xml:space="preserve"> </w:t>
      </w:r>
      <w:r w:rsidR="003E6167" w:rsidRPr="00DE6E2E">
        <w:rPr>
          <w:rFonts w:ascii="Times" w:hAnsi="Times"/>
        </w:rPr>
        <w:t xml:space="preserve">Linezolid and Cefixime, each of which is reserved for </w:t>
      </w:r>
      <w:r w:rsidR="00A47783" w:rsidRPr="00DE6E2E">
        <w:rPr>
          <w:rFonts w:ascii="Times" w:hAnsi="Times"/>
        </w:rPr>
        <w:t>serious infec</w:t>
      </w:r>
      <w:r w:rsidR="003E6167" w:rsidRPr="00DE6E2E">
        <w:rPr>
          <w:rFonts w:ascii="Times" w:hAnsi="Times"/>
        </w:rPr>
        <w:t>tions! Apart from being unscientific</w:t>
      </w:r>
      <w:r w:rsidR="00AF2470" w:rsidRPr="00DE6E2E">
        <w:rPr>
          <w:rFonts w:ascii="Times" w:hAnsi="Times"/>
        </w:rPr>
        <w:t xml:space="preserve">, these FDCs </w:t>
      </w:r>
      <w:r w:rsidR="00D72ABC" w:rsidRPr="00DE6E2E">
        <w:rPr>
          <w:rFonts w:ascii="Times" w:hAnsi="Times"/>
        </w:rPr>
        <w:t xml:space="preserve">unnecessarily increase the amount of antimicrobial use </w:t>
      </w:r>
      <w:r w:rsidR="006039D1" w:rsidRPr="00DE6E2E">
        <w:rPr>
          <w:rFonts w:ascii="Times" w:hAnsi="Times"/>
        </w:rPr>
        <w:t xml:space="preserve">in humans </w:t>
      </w:r>
      <w:r w:rsidR="00D72ABC" w:rsidRPr="00DE6E2E">
        <w:rPr>
          <w:rFonts w:ascii="Times" w:hAnsi="Times"/>
        </w:rPr>
        <w:t xml:space="preserve">and </w:t>
      </w:r>
      <w:r w:rsidR="00AF2470" w:rsidRPr="00DE6E2E">
        <w:rPr>
          <w:rFonts w:ascii="Times" w:hAnsi="Times"/>
        </w:rPr>
        <w:t xml:space="preserve">maybe </w:t>
      </w:r>
      <w:r w:rsidR="003E6167" w:rsidRPr="00DE6E2E">
        <w:rPr>
          <w:rFonts w:ascii="Times" w:hAnsi="Times"/>
        </w:rPr>
        <w:t>hazardous i</w:t>
      </w:r>
      <w:r w:rsidR="00D72ABC" w:rsidRPr="00DE6E2E">
        <w:rPr>
          <w:rFonts w:ascii="Times" w:hAnsi="Times"/>
        </w:rPr>
        <w:t>n t</w:t>
      </w:r>
      <w:r w:rsidR="000219A6" w:rsidRPr="00DE6E2E">
        <w:rPr>
          <w:rFonts w:ascii="Times" w:hAnsi="Times"/>
        </w:rPr>
        <w:t>erms of unknown interactions with</w:t>
      </w:r>
      <w:r w:rsidR="003E6167" w:rsidRPr="00DE6E2E">
        <w:rPr>
          <w:rFonts w:ascii="Times" w:hAnsi="Times"/>
        </w:rPr>
        <w:t xml:space="preserve"> added risk of adverse effects</w:t>
      </w:r>
      <w:r w:rsidR="00D72ABC" w:rsidRPr="00DE6E2E">
        <w:rPr>
          <w:rFonts w:ascii="Times" w:hAnsi="Times"/>
        </w:rPr>
        <w:t>. M</w:t>
      </w:r>
      <w:r w:rsidR="00AF2470" w:rsidRPr="00DE6E2E">
        <w:rPr>
          <w:rFonts w:ascii="Times" w:hAnsi="Times"/>
        </w:rPr>
        <w:t>ost importantly</w:t>
      </w:r>
      <w:r w:rsidR="00D72ABC" w:rsidRPr="00DE6E2E">
        <w:rPr>
          <w:rFonts w:ascii="Times" w:hAnsi="Times"/>
        </w:rPr>
        <w:t>,</w:t>
      </w:r>
      <w:r w:rsidR="00AF2470" w:rsidRPr="00DE6E2E">
        <w:rPr>
          <w:rFonts w:ascii="Times" w:hAnsi="Times"/>
        </w:rPr>
        <w:t xml:space="preserve"> </w:t>
      </w:r>
      <w:r w:rsidR="00E93E4F" w:rsidRPr="00DE6E2E">
        <w:rPr>
          <w:rFonts w:ascii="Times" w:hAnsi="Times"/>
        </w:rPr>
        <w:t>given the unregulated and privatized healthcare of the country</w:t>
      </w:r>
      <w:r w:rsidR="00CD6317" w:rsidRPr="00DE6E2E">
        <w:rPr>
          <w:rFonts w:ascii="Times" w:hAnsi="Times"/>
        </w:rPr>
        <w:t xml:space="preserve">, </w:t>
      </w:r>
      <w:r w:rsidR="00AF2470" w:rsidRPr="00DE6E2E">
        <w:rPr>
          <w:rFonts w:ascii="Times" w:hAnsi="Times"/>
        </w:rPr>
        <w:t xml:space="preserve">these broad spectrum cocktails are </w:t>
      </w:r>
      <w:r w:rsidR="00D72ABC" w:rsidRPr="00DE6E2E">
        <w:rPr>
          <w:rFonts w:ascii="Times" w:hAnsi="Times"/>
        </w:rPr>
        <w:t>often misused</w:t>
      </w:r>
      <w:r w:rsidR="000B5F0D" w:rsidRPr="00DE6E2E">
        <w:rPr>
          <w:rFonts w:ascii="Times" w:hAnsi="Times"/>
        </w:rPr>
        <w:t xml:space="preserve"> at the cost</w:t>
      </w:r>
      <w:r w:rsidR="00AF2470" w:rsidRPr="00DE6E2E">
        <w:rPr>
          <w:rFonts w:ascii="Times" w:hAnsi="Times"/>
        </w:rPr>
        <w:t xml:space="preserve"> of proper diagnosis and treatment, leading to increased selection of resistant microorganisms</w:t>
      </w:r>
      <w:r w:rsidR="006039D1" w:rsidRPr="00DE6E2E">
        <w:rPr>
          <w:rFonts w:ascii="Times" w:hAnsi="Times"/>
        </w:rPr>
        <w:t xml:space="preserve"> </w:t>
      </w:r>
      <w:r w:rsidR="00935E79" w:rsidRPr="00DE6E2E">
        <w:rPr>
          <w:rFonts w:ascii="Times" w:hAnsi="Times"/>
        </w:rPr>
        <w:fldChar w:fldCharType="begin" w:fldLock="1"/>
      </w:r>
      <w:r w:rsidR="0044036B" w:rsidRPr="00DE6E2E">
        <w:rPr>
          <w:rFonts w:ascii="Times" w:hAnsi="Times"/>
        </w:rPr>
        <w:instrText>ADDIN CSL_CITATION { "citationItems" : [ { "id" : "ITEM-1", "itemData" : { "URL" : "https://www.reactgroup.org/news-and-views/news-and-opinions/year-2018/why-are-fixed-dose-combinations-of-antibiotics-generally-not-a-good-idea/", "accessed" : { "date-parts" : [ [ "2018", "7", "9" ] ] }, "container-title" : "ReAct", "id" : "ITEM-1", "issued" : { "date-parts" : [ [ "2018" ] ] }, "title" : "Why are fixed dose combinations of antibiotics generally not a good idea?", "type" : "webpage" }, "uris" : [ "http://www.mendeley.com/documents/?uuid=fd83b04e-df5f-47df-9da7-03e1dd2f5f88" ] } ], "mendeley" : { "formattedCitation" : "(6)", "plainTextFormattedCitation" : "(6)", "previouslyFormattedCitation" : "(6)" }, "properties" : { "noteIndex" : 0 }, "schema" : "https://github.com/citation-style-language/schema/raw/master/csl-citation.json" }</w:instrText>
      </w:r>
      <w:r w:rsidR="00935E79" w:rsidRPr="00DE6E2E">
        <w:rPr>
          <w:rFonts w:ascii="Times" w:hAnsi="Times"/>
        </w:rPr>
        <w:fldChar w:fldCharType="separate"/>
      </w:r>
      <w:r w:rsidR="00935E79" w:rsidRPr="00DE6E2E">
        <w:rPr>
          <w:rFonts w:ascii="Times" w:hAnsi="Times"/>
          <w:noProof/>
        </w:rPr>
        <w:t>(6)</w:t>
      </w:r>
      <w:r w:rsidR="00935E79" w:rsidRPr="00DE6E2E">
        <w:rPr>
          <w:rFonts w:ascii="Times" w:hAnsi="Times"/>
        </w:rPr>
        <w:fldChar w:fldCharType="end"/>
      </w:r>
      <w:r w:rsidR="00AF2470" w:rsidRPr="00DE6E2E">
        <w:rPr>
          <w:rFonts w:ascii="Times" w:hAnsi="Times"/>
        </w:rPr>
        <w:t>.</w:t>
      </w:r>
      <w:r w:rsidR="00EC72FB" w:rsidRPr="00DE6E2E">
        <w:rPr>
          <w:rFonts w:ascii="Times" w:hAnsi="Times"/>
        </w:rPr>
        <w:t xml:space="preserve"> To</w:t>
      </w:r>
      <w:r w:rsidR="00A00E48" w:rsidRPr="00DE6E2E">
        <w:rPr>
          <w:rFonts w:ascii="Times" w:hAnsi="Times"/>
        </w:rPr>
        <w:t xml:space="preserve"> further strengthen the AMR agenda, the 2017 edition of the WHO </w:t>
      </w:r>
      <w:r w:rsidR="0073259A" w:rsidRPr="00DE6E2E">
        <w:rPr>
          <w:rFonts w:ascii="Times" w:hAnsi="Times"/>
        </w:rPr>
        <w:t xml:space="preserve">Model </w:t>
      </w:r>
      <w:r w:rsidR="00A00E48" w:rsidRPr="00DE6E2E">
        <w:rPr>
          <w:rFonts w:ascii="Times" w:hAnsi="Times"/>
        </w:rPr>
        <w:t>list of Essential Medicines</w:t>
      </w:r>
      <w:r w:rsidR="00781A88" w:rsidRPr="00DE6E2E">
        <w:rPr>
          <w:rFonts w:ascii="Times" w:hAnsi="Times"/>
        </w:rPr>
        <w:t xml:space="preserve"> </w:t>
      </w:r>
      <w:r w:rsidR="0044036B" w:rsidRPr="00DE6E2E">
        <w:rPr>
          <w:rFonts w:ascii="Times" w:hAnsi="Times"/>
        </w:rPr>
        <w:fldChar w:fldCharType="begin" w:fldLock="1"/>
      </w:r>
      <w:r w:rsidR="00572F45" w:rsidRPr="00DE6E2E">
        <w:rPr>
          <w:rFonts w:ascii="Times" w:hAnsi="Times"/>
        </w:rPr>
        <w:instrText>ADDIN CSL_CITATION { "citationItems" : [ { "id" : "ITEM-1", "itemData" : { "id" : "ITEM-1", "issued" : { "date-parts" : [ [ "2017" ] ] }, "number-of-pages" : "58", "title" : "20th WHO Model List of Essential Medicines", "type" : "report" }, "uris" : [ "http://www.mendeley.com/documents/?uuid=f144af6e-9472-3fc7-8634-4c25c8914464" ] } ], "mendeley" : { "formattedCitation" : "(7)", "plainTextFormattedCitation" : "(7)", "previouslyFormattedCitation" : "(7)" }, "properties" : { "noteIndex" : 0 }, "schema" : "https://github.com/citation-style-language/schema/raw/master/csl-citation.json" }</w:instrText>
      </w:r>
      <w:r w:rsidR="0044036B" w:rsidRPr="00DE6E2E">
        <w:rPr>
          <w:rFonts w:ascii="Times" w:hAnsi="Times"/>
        </w:rPr>
        <w:fldChar w:fldCharType="separate"/>
      </w:r>
      <w:r w:rsidR="0044036B" w:rsidRPr="00DE6E2E">
        <w:rPr>
          <w:rFonts w:ascii="Times" w:hAnsi="Times"/>
          <w:noProof/>
        </w:rPr>
        <w:t>(7)</w:t>
      </w:r>
      <w:r w:rsidR="0044036B" w:rsidRPr="00DE6E2E">
        <w:rPr>
          <w:rFonts w:ascii="Times" w:hAnsi="Times"/>
        </w:rPr>
        <w:fldChar w:fldCharType="end"/>
      </w:r>
      <w:r w:rsidR="0044036B" w:rsidRPr="00DE6E2E">
        <w:rPr>
          <w:rFonts w:ascii="Times" w:hAnsi="Times"/>
        </w:rPr>
        <w:t xml:space="preserve"> </w:t>
      </w:r>
      <w:r w:rsidR="00781A88" w:rsidRPr="00DE6E2E">
        <w:rPr>
          <w:rFonts w:ascii="Times" w:hAnsi="Times"/>
        </w:rPr>
        <w:t xml:space="preserve">proposes three groups of antibiotics- </w:t>
      </w:r>
      <w:proofErr w:type="spellStart"/>
      <w:r w:rsidR="00737F3B" w:rsidRPr="00DE6E2E">
        <w:rPr>
          <w:rFonts w:ascii="Times" w:hAnsi="Times"/>
        </w:rPr>
        <w:t>i</w:t>
      </w:r>
      <w:proofErr w:type="spellEnd"/>
      <w:r w:rsidR="00737F3B" w:rsidRPr="00DE6E2E">
        <w:rPr>
          <w:rFonts w:ascii="Times" w:hAnsi="Times"/>
        </w:rPr>
        <w:t xml:space="preserve">) </w:t>
      </w:r>
      <w:r w:rsidR="00781A88" w:rsidRPr="00DE6E2E">
        <w:rPr>
          <w:rFonts w:ascii="Times" w:hAnsi="Times"/>
        </w:rPr>
        <w:t>the</w:t>
      </w:r>
      <w:r w:rsidR="008D5F09" w:rsidRPr="00DE6E2E">
        <w:rPr>
          <w:rFonts w:ascii="Times" w:hAnsi="Times"/>
        </w:rPr>
        <w:t xml:space="preserve"> </w:t>
      </w:r>
      <w:r w:rsidR="008D5F09" w:rsidRPr="00DE6E2E">
        <w:rPr>
          <w:rFonts w:ascii="Times" w:hAnsi="Times"/>
          <w:i/>
        </w:rPr>
        <w:t>Access</w:t>
      </w:r>
      <w:r w:rsidR="009A4DFB" w:rsidRPr="00DE6E2E">
        <w:rPr>
          <w:rFonts w:ascii="Times" w:hAnsi="Times"/>
          <w:i/>
        </w:rPr>
        <w:t xml:space="preserve"> </w:t>
      </w:r>
      <w:r w:rsidR="00737F3B" w:rsidRPr="00DE6E2E">
        <w:rPr>
          <w:rFonts w:ascii="Times" w:hAnsi="Times"/>
        </w:rPr>
        <w:t xml:space="preserve">group which include empiric narrow spectrum, lower resistance potential drugs that should be widely available; ii) the </w:t>
      </w:r>
      <w:r w:rsidR="00737F3B" w:rsidRPr="00DE6E2E">
        <w:rPr>
          <w:rFonts w:ascii="Times" w:hAnsi="Times"/>
          <w:i/>
        </w:rPr>
        <w:t>Watch</w:t>
      </w:r>
      <w:r w:rsidR="00737F3B" w:rsidRPr="00DE6E2E">
        <w:rPr>
          <w:rFonts w:ascii="Times" w:hAnsi="Times"/>
        </w:rPr>
        <w:t xml:space="preserve"> group which include</w:t>
      </w:r>
      <w:r w:rsidR="004073A1" w:rsidRPr="00DE6E2E">
        <w:rPr>
          <w:rFonts w:ascii="Times" w:hAnsi="Times"/>
        </w:rPr>
        <w:t xml:space="preserve"> </w:t>
      </w:r>
      <w:r w:rsidR="00737F3B" w:rsidRPr="00DE6E2E">
        <w:rPr>
          <w:rFonts w:ascii="Times" w:hAnsi="Times"/>
        </w:rPr>
        <w:t>first/second choice treatment drugs with</w:t>
      </w:r>
      <w:r w:rsidR="00C864FC" w:rsidRPr="00DE6E2E">
        <w:rPr>
          <w:rFonts w:ascii="Times" w:hAnsi="Times"/>
        </w:rPr>
        <w:t xml:space="preserve"> higher resistance potential and</w:t>
      </w:r>
      <w:r w:rsidR="00737F3B" w:rsidRPr="00DE6E2E">
        <w:rPr>
          <w:rFonts w:ascii="Times" w:hAnsi="Times"/>
        </w:rPr>
        <w:t xml:space="preserve"> </w:t>
      </w:r>
      <w:r w:rsidR="00045436" w:rsidRPr="00DE6E2E">
        <w:rPr>
          <w:rFonts w:ascii="Times" w:hAnsi="Times"/>
        </w:rPr>
        <w:t>should be</w:t>
      </w:r>
      <w:r w:rsidR="00737F3B" w:rsidRPr="00DE6E2E">
        <w:rPr>
          <w:rFonts w:ascii="Times" w:hAnsi="Times"/>
        </w:rPr>
        <w:t xml:space="preserve"> used for</w:t>
      </w:r>
      <w:r w:rsidR="00045436" w:rsidRPr="00DE6E2E">
        <w:rPr>
          <w:rFonts w:ascii="Times" w:hAnsi="Times"/>
        </w:rPr>
        <w:t xml:space="preserve"> a</w:t>
      </w:r>
      <w:r w:rsidR="00737F3B" w:rsidRPr="00DE6E2E">
        <w:rPr>
          <w:rFonts w:ascii="Times" w:hAnsi="Times"/>
        </w:rPr>
        <w:t xml:space="preserve"> limited number of indications; and, iii) the </w:t>
      </w:r>
      <w:r w:rsidR="00737F3B" w:rsidRPr="00DE6E2E">
        <w:rPr>
          <w:rFonts w:ascii="Times" w:hAnsi="Times"/>
          <w:i/>
        </w:rPr>
        <w:t xml:space="preserve">Reserve </w:t>
      </w:r>
      <w:r w:rsidR="00737F3B" w:rsidRPr="00DE6E2E">
        <w:rPr>
          <w:rFonts w:ascii="Times" w:hAnsi="Times"/>
        </w:rPr>
        <w:t xml:space="preserve">group which are last-resort options tailored to highly specific patients and settings, when other alternatives are exhausted. </w:t>
      </w:r>
      <w:r w:rsidR="006E788C" w:rsidRPr="00DE6E2E">
        <w:rPr>
          <w:rFonts w:ascii="Times" w:eastAsia="Times New Roman" w:hAnsi="Times"/>
        </w:rPr>
        <w:t>Unfortunately, FDCs a</w:t>
      </w:r>
      <w:r w:rsidR="0044036B" w:rsidRPr="00DE6E2E">
        <w:rPr>
          <w:rFonts w:ascii="Times" w:eastAsia="Times New Roman" w:hAnsi="Times"/>
        </w:rPr>
        <w:t>r</w:t>
      </w:r>
      <w:r w:rsidR="006E788C" w:rsidRPr="00DE6E2E">
        <w:rPr>
          <w:rFonts w:ascii="Times" w:eastAsia="Times New Roman" w:hAnsi="Times"/>
        </w:rPr>
        <w:t xml:space="preserve">e abundant in the </w:t>
      </w:r>
      <w:r w:rsidR="0014777A" w:rsidRPr="00DE6E2E">
        <w:rPr>
          <w:rFonts w:ascii="Times" w:eastAsia="Times New Roman" w:hAnsi="Times"/>
        </w:rPr>
        <w:t xml:space="preserve">Access and </w:t>
      </w:r>
      <w:r w:rsidR="006E788C" w:rsidRPr="00DE6E2E">
        <w:rPr>
          <w:rFonts w:ascii="Times" w:eastAsia="Times New Roman" w:hAnsi="Times"/>
        </w:rPr>
        <w:t>Watch group</w:t>
      </w:r>
      <w:r w:rsidR="0014777A" w:rsidRPr="00DE6E2E">
        <w:rPr>
          <w:rFonts w:ascii="Times" w:eastAsia="Times New Roman" w:hAnsi="Times"/>
        </w:rPr>
        <w:t>s</w:t>
      </w:r>
      <w:r w:rsidR="006E788C" w:rsidRPr="00DE6E2E">
        <w:rPr>
          <w:rFonts w:ascii="Times" w:eastAsia="Times New Roman" w:hAnsi="Times"/>
        </w:rPr>
        <w:t xml:space="preserve"> and are </w:t>
      </w:r>
      <w:r w:rsidR="004073A1" w:rsidRPr="00DE6E2E">
        <w:rPr>
          <w:rFonts w:ascii="Times" w:eastAsia="Times New Roman" w:hAnsi="Times"/>
        </w:rPr>
        <w:t>even available</w:t>
      </w:r>
      <w:r w:rsidR="006E788C" w:rsidRPr="00DE6E2E">
        <w:rPr>
          <w:rFonts w:ascii="Times" w:eastAsia="Times New Roman" w:hAnsi="Times"/>
        </w:rPr>
        <w:t xml:space="preserve"> for the reserve group of drugs like Linezolid</w:t>
      </w:r>
      <w:r w:rsidR="004073A1" w:rsidRPr="00DE6E2E">
        <w:rPr>
          <w:rFonts w:ascii="Times" w:eastAsia="Times New Roman" w:hAnsi="Times"/>
        </w:rPr>
        <w:t>.</w:t>
      </w:r>
    </w:p>
    <w:p w14:paraId="7B81FDC4" w14:textId="77777777" w:rsidR="00D417CB" w:rsidRPr="00DE6E2E" w:rsidRDefault="00D417CB" w:rsidP="00D417CB">
      <w:pPr>
        <w:jc w:val="both"/>
        <w:rPr>
          <w:rFonts w:ascii="Times" w:hAnsi="Times"/>
        </w:rPr>
      </w:pPr>
    </w:p>
    <w:p w14:paraId="7D27DE01" w14:textId="6E82010D" w:rsidR="00B11B95" w:rsidRDefault="00EA6B01" w:rsidP="00D417CB">
      <w:pPr>
        <w:jc w:val="both"/>
        <w:rPr>
          <w:rFonts w:ascii="Times" w:eastAsia="Times New Roman" w:hAnsi="Times"/>
        </w:rPr>
      </w:pPr>
      <w:r w:rsidRPr="00DE6E2E">
        <w:rPr>
          <w:rFonts w:ascii="Times" w:eastAsia="Times New Roman" w:hAnsi="Times"/>
        </w:rPr>
        <w:t xml:space="preserve">                 </w:t>
      </w:r>
      <w:r w:rsidR="004073A1" w:rsidRPr="00DE6E2E">
        <w:rPr>
          <w:rFonts w:ascii="Times" w:eastAsia="Times New Roman" w:hAnsi="Times"/>
        </w:rPr>
        <w:t xml:space="preserve">Does </w:t>
      </w:r>
      <w:r w:rsidR="00BF5ACB" w:rsidRPr="00DE6E2E">
        <w:rPr>
          <w:rFonts w:ascii="Times" w:eastAsia="Times New Roman" w:hAnsi="Times"/>
        </w:rPr>
        <w:t xml:space="preserve">mere </w:t>
      </w:r>
      <w:r w:rsidR="004073A1" w:rsidRPr="00DE6E2E">
        <w:rPr>
          <w:rFonts w:ascii="Times" w:eastAsia="Times New Roman" w:hAnsi="Times"/>
        </w:rPr>
        <w:t>availability mean that t</w:t>
      </w:r>
      <w:r w:rsidR="00BF5ACB" w:rsidRPr="00DE6E2E">
        <w:rPr>
          <w:rFonts w:ascii="Times" w:eastAsia="Times New Roman" w:hAnsi="Times"/>
        </w:rPr>
        <w:t>hey</w:t>
      </w:r>
      <w:r w:rsidR="004073A1" w:rsidRPr="00DE6E2E">
        <w:rPr>
          <w:rFonts w:ascii="Times" w:eastAsia="Times New Roman" w:hAnsi="Times"/>
        </w:rPr>
        <w:t xml:space="preserve"> are prescribed by Doctors despite the fact that they </w:t>
      </w:r>
      <w:r w:rsidR="00045436" w:rsidRPr="00DE6E2E">
        <w:rPr>
          <w:rFonts w:ascii="Times" w:eastAsia="Times New Roman" w:hAnsi="Times"/>
        </w:rPr>
        <w:t>were never mentioned</w:t>
      </w:r>
      <w:r w:rsidR="004073A1" w:rsidRPr="00DE6E2E">
        <w:rPr>
          <w:rFonts w:ascii="Times" w:eastAsia="Times New Roman" w:hAnsi="Times"/>
        </w:rPr>
        <w:t xml:space="preserve"> in </w:t>
      </w:r>
      <w:r w:rsidR="00FE19A1" w:rsidRPr="00DE6E2E">
        <w:rPr>
          <w:rFonts w:ascii="Times" w:eastAsia="Times New Roman" w:hAnsi="Times"/>
        </w:rPr>
        <w:t>any pharm</w:t>
      </w:r>
      <w:r w:rsidR="00BF5ACB" w:rsidRPr="00DE6E2E">
        <w:rPr>
          <w:rFonts w:ascii="Times" w:eastAsia="Times New Roman" w:hAnsi="Times"/>
        </w:rPr>
        <w:t xml:space="preserve">acology or medicine textbooks? </w:t>
      </w:r>
      <w:r w:rsidR="0044036B" w:rsidRPr="00DE6E2E">
        <w:rPr>
          <w:rFonts w:ascii="Times" w:eastAsia="Times New Roman" w:hAnsi="Times"/>
        </w:rPr>
        <w:t>Unfortunately</w:t>
      </w:r>
      <w:r w:rsidR="00BF5ACB" w:rsidRPr="00DE6E2E">
        <w:rPr>
          <w:rFonts w:ascii="Times" w:eastAsia="Times New Roman" w:hAnsi="Times"/>
        </w:rPr>
        <w:t>, t</w:t>
      </w:r>
      <w:r w:rsidR="00FE19A1" w:rsidRPr="00DE6E2E">
        <w:rPr>
          <w:rFonts w:ascii="Times" w:eastAsia="Times New Roman" w:hAnsi="Times"/>
        </w:rPr>
        <w:t xml:space="preserve">he answer is yes. </w:t>
      </w:r>
      <w:r w:rsidR="00045436" w:rsidRPr="00DE6E2E">
        <w:rPr>
          <w:rFonts w:ascii="Times" w:eastAsia="Times New Roman" w:hAnsi="Times"/>
        </w:rPr>
        <w:t>For instance, i</w:t>
      </w:r>
      <w:r w:rsidR="00FE19A1" w:rsidRPr="00DE6E2E">
        <w:rPr>
          <w:rFonts w:ascii="Times" w:eastAsia="Times New Roman" w:hAnsi="Times"/>
        </w:rPr>
        <w:t xml:space="preserve">n the </w:t>
      </w:r>
      <w:r w:rsidR="001D3467" w:rsidRPr="00DE6E2E">
        <w:rPr>
          <w:rFonts w:ascii="Times" w:eastAsia="Times New Roman" w:hAnsi="Times"/>
        </w:rPr>
        <w:t xml:space="preserve">summers when diarrhoea is at its peak, thousands of patients </w:t>
      </w:r>
      <w:r w:rsidR="001D3467" w:rsidRPr="00DE6E2E">
        <w:rPr>
          <w:rFonts w:ascii="Times" w:eastAsia="Times New Roman" w:hAnsi="Times"/>
        </w:rPr>
        <w:lastRenderedPageBreak/>
        <w:t xml:space="preserve">are prescribed </w:t>
      </w:r>
      <w:r w:rsidR="00CA6569" w:rsidRPr="00DE6E2E">
        <w:rPr>
          <w:rFonts w:ascii="Times" w:eastAsia="Times New Roman" w:hAnsi="Times"/>
        </w:rPr>
        <w:t>an FDC</w:t>
      </w:r>
      <w:r w:rsidR="00B21695" w:rsidRPr="00DE6E2E">
        <w:rPr>
          <w:rFonts w:ascii="Times" w:eastAsia="Times New Roman" w:hAnsi="Times"/>
        </w:rPr>
        <w:t xml:space="preserve"> that include a</w:t>
      </w:r>
      <w:r w:rsidR="00CA6569" w:rsidRPr="00DE6E2E">
        <w:rPr>
          <w:rFonts w:ascii="Times" w:eastAsia="Times New Roman" w:hAnsi="Times"/>
        </w:rPr>
        <w:t xml:space="preserve"> </w:t>
      </w:r>
      <w:r w:rsidR="00B21695" w:rsidRPr="00DE6E2E">
        <w:rPr>
          <w:rFonts w:ascii="Times" w:eastAsia="Times New Roman" w:hAnsi="Times"/>
        </w:rPr>
        <w:t>quinolone</w:t>
      </w:r>
      <w:r w:rsidR="00CA6569" w:rsidRPr="00DE6E2E">
        <w:rPr>
          <w:rFonts w:ascii="Times" w:eastAsia="Times New Roman" w:hAnsi="Times"/>
        </w:rPr>
        <w:t xml:space="preserve"> with </w:t>
      </w:r>
      <w:r w:rsidR="0017053A" w:rsidRPr="00DE6E2E">
        <w:rPr>
          <w:rFonts w:ascii="Times" w:eastAsia="Times New Roman" w:hAnsi="Times"/>
        </w:rPr>
        <w:t>an antiprotozoal</w:t>
      </w:r>
      <w:r w:rsidR="00B21695" w:rsidRPr="00DE6E2E">
        <w:rPr>
          <w:rFonts w:ascii="Times" w:eastAsia="Times New Roman" w:hAnsi="Times"/>
        </w:rPr>
        <w:t xml:space="preserve"> as a blanket therapy</w:t>
      </w:r>
      <w:r w:rsidR="0044036B" w:rsidRPr="00DE6E2E">
        <w:rPr>
          <w:rFonts w:ascii="Times" w:eastAsia="Times New Roman" w:hAnsi="Times"/>
        </w:rPr>
        <w:t xml:space="preserve"> </w:t>
      </w:r>
      <w:r w:rsidR="00572F45" w:rsidRPr="00DE6E2E">
        <w:rPr>
          <w:rFonts w:ascii="Times" w:eastAsia="Times New Roman" w:hAnsi="Times"/>
        </w:rPr>
        <w:fldChar w:fldCharType="begin" w:fldLock="1"/>
      </w:r>
      <w:r w:rsidR="003D0B22" w:rsidRPr="00DE6E2E">
        <w:rPr>
          <w:rFonts w:ascii="Times" w:eastAsia="Times New Roman" w:hAnsi="Times"/>
        </w:rPr>
        <w:instrText>ADDIN CSL_CITATION { "citationItems" : [ { "id" : "ITEM-1", "itemData" : { "abstract" : "Fixed-dose combinations (FDCs) of an antiprotozoal and an antibacterial, for treatment of diarrhoea, have been available in the Indian pharmaceutical market for about a decade. There is little evidence to substantiate this combination therapy. We evaluated 2,163 physician prescriptions for diarrhoea and found that 59 per cent of prescriptions were for FDCs. This is unethical because prescribing such combinations exposes a patient to higher risks of adverse drug reactions and also increases the chances of drug resistance. Physicians' prescribing practices in India are influenced by socioeconomic factors and the pharmaceutical industry's marketing techniques that include giving incentives to physicians to prescribe certain drugs. As in other developing countries, many Indians suffer from attacks of amoebiasis, giardiasis and other infective diarrhoeas that are attributable to socioeconomic and environmental conditions such as poor sanitation and contaminated drinking water. In most cases these diarrhoeas are self-limiting and the standard treatment protocol is correction of fluid and electrolyte imbalance as a primary measure. If anti-diarrhoeal drugs are required, their prescription should be organism-specific and preceded by a diagnostic stool examination. It is rare to find infection by both protozoa and bacteria as causative agents of diarrhoea on a single occasion. In this context, prescription of a combination of an anti-protozoal and an anti-bacterial as a blanket cover for both protozoa and bacteria in a single episode of diarrhoea, without any diagnostic test, is not only unnecessary but also unethical. It is unethical because prescribing such combinations exposes a patient to higher risks of adverse drug reactions and also increases the chances of drug resistance. Around 1995-1996 fixed-dose combinations (FDCs) of an antiprotozoal and an antibacterial (such as combinations of norfloxacin and tinidazole or ciprofloxacin and tinidazole) were introduced in the Indian pharmaceutical market. Manufacturers argued that this was logical because a significant percentage of patients have mixed infections of protozoa and diarrhoea-causing bacteria. Clinicians could play safe while treating mild to moderate amoebiasis and related infective diarrhoeas. A scrutiny of the relevant product communications indicates that there is little or no clinical evidence to substantiate this claim. Despite this, FDCs have gained acceptance among physicians, as is evident by\u2026", "author" : [ { "dropping-particle" : "", "family" : "Chakrabarti", "given" : "Amit", "non-dropping-particle" : "", "parse-names" : false, "suffix" : "" } ], "container-title" : "Indian Journal of Medical Ethics", "id" : "ITEM-1", "issue" : "4", "issued" : { "date-parts" : [ [ "2007" ] ] }, "page" : "165-167", "title" : "Prescription of fixed dose combination drugs for diarrhoea", "type" : "article-journal", "volume" : "IV" }, "uris" : [ "http://www.mendeley.com/documents/?uuid=27de076c-025a-3625-9164-78aed83e306c" ] } ], "mendeley" : { "formattedCitation" : "(8)", "plainTextFormattedCitation" : "(8)", "previouslyFormattedCitation" : "(8)" }, "properties" : { "noteIndex" : 0 }, "schema" : "https://github.com/citation-style-language/schema/raw/master/csl-citation.json" }</w:instrText>
      </w:r>
      <w:r w:rsidR="00572F45" w:rsidRPr="00DE6E2E">
        <w:rPr>
          <w:rFonts w:ascii="Times" w:eastAsia="Times New Roman" w:hAnsi="Times"/>
        </w:rPr>
        <w:fldChar w:fldCharType="separate"/>
      </w:r>
      <w:r w:rsidR="00572F45" w:rsidRPr="00DE6E2E">
        <w:rPr>
          <w:rFonts w:ascii="Times" w:eastAsia="Times New Roman" w:hAnsi="Times"/>
          <w:noProof/>
        </w:rPr>
        <w:t>(8)</w:t>
      </w:r>
      <w:r w:rsidR="00572F45" w:rsidRPr="00DE6E2E">
        <w:rPr>
          <w:rFonts w:ascii="Times" w:eastAsia="Times New Roman" w:hAnsi="Times"/>
        </w:rPr>
        <w:fldChar w:fldCharType="end"/>
      </w:r>
      <w:r w:rsidR="0017053A" w:rsidRPr="00DE6E2E">
        <w:rPr>
          <w:rFonts w:ascii="Times" w:eastAsia="Times New Roman" w:hAnsi="Times"/>
        </w:rPr>
        <w:t xml:space="preserve">. </w:t>
      </w:r>
      <w:r w:rsidR="00D57514" w:rsidRPr="00DE6E2E">
        <w:rPr>
          <w:rFonts w:ascii="Times" w:eastAsia="Times New Roman" w:hAnsi="Times"/>
        </w:rPr>
        <w:t>Moreover, t</w:t>
      </w:r>
      <w:r w:rsidR="0017053A" w:rsidRPr="00DE6E2E">
        <w:rPr>
          <w:rFonts w:ascii="Times" w:eastAsia="Times New Roman" w:hAnsi="Times"/>
        </w:rPr>
        <w:t>his does not includ</w:t>
      </w:r>
      <w:r w:rsidR="0036319B" w:rsidRPr="00DE6E2E">
        <w:rPr>
          <w:rFonts w:ascii="Times" w:eastAsia="Times New Roman" w:hAnsi="Times"/>
        </w:rPr>
        <w:t>e the tens of thousands that can be</w:t>
      </w:r>
      <w:r w:rsidR="0017053A" w:rsidRPr="00DE6E2E">
        <w:rPr>
          <w:rFonts w:ascii="Times" w:eastAsia="Times New Roman" w:hAnsi="Times"/>
        </w:rPr>
        <w:t xml:space="preserve"> </w:t>
      </w:r>
      <w:r w:rsidR="00AC395B" w:rsidRPr="00DE6E2E">
        <w:rPr>
          <w:rFonts w:ascii="Times" w:eastAsia="Times New Roman" w:hAnsi="Times"/>
        </w:rPr>
        <w:t xml:space="preserve">directly </w:t>
      </w:r>
      <w:r w:rsidR="0017053A" w:rsidRPr="00DE6E2E">
        <w:rPr>
          <w:rFonts w:ascii="Times" w:eastAsia="Times New Roman" w:hAnsi="Times"/>
        </w:rPr>
        <w:t>purchased over the counter (OTC) due to weak regulation of OTC sales. It is useful to reiterate that Quinolones are highest priority CIAs and</w:t>
      </w:r>
      <w:r w:rsidR="00AC395B" w:rsidRPr="00DE6E2E">
        <w:rPr>
          <w:rFonts w:ascii="Times" w:eastAsia="Times New Roman" w:hAnsi="Times"/>
        </w:rPr>
        <w:t xml:space="preserve"> also</w:t>
      </w:r>
      <w:r w:rsidR="0017053A" w:rsidRPr="00DE6E2E">
        <w:rPr>
          <w:rFonts w:ascii="Times" w:eastAsia="Times New Roman" w:hAnsi="Times"/>
        </w:rPr>
        <w:t xml:space="preserve"> belong to the </w:t>
      </w:r>
      <w:r w:rsidR="0017053A" w:rsidRPr="00DE6E2E">
        <w:rPr>
          <w:rFonts w:ascii="Times" w:eastAsia="Times New Roman" w:hAnsi="Times"/>
          <w:i/>
        </w:rPr>
        <w:t xml:space="preserve">Watch </w:t>
      </w:r>
      <w:r w:rsidR="0017053A" w:rsidRPr="00DE6E2E">
        <w:rPr>
          <w:rFonts w:ascii="Times" w:eastAsia="Times New Roman" w:hAnsi="Times"/>
        </w:rPr>
        <w:t xml:space="preserve">group. </w:t>
      </w:r>
      <w:r w:rsidR="00C62B32" w:rsidRPr="00DE6E2E">
        <w:rPr>
          <w:rFonts w:ascii="Times" w:eastAsia="Times New Roman" w:hAnsi="Times"/>
        </w:rPr>
        <w:t xml:space="preserve">In a largely unregulated and privatized health sector, blanket combinations like that of a </w:t>
      </w:r>
      <w:proofErr w:type="spellStart"/>
      <w:r w:rsidR="00C62B32" w:rsidRPr="00DE6E2E">
        <w:rPr>
          <w:rFonts w:ascii="Times" w:eastAsia="Times New Roman" w:hAnsi="Times"/>
        </w:rPr>
        <w:t>combikit</w:t>
      </w:r>
      <w:proofErr w:type="spellEnd"/>
      <w:r w:rsidR="00C62B32" w:rsidRPr="00DE6E2E">
        <w:rPr>
          <w:rFonts w:ascii="Times" w:eastAsia="Times New Roman" w:hAnsi="Times"/>
        </w:rPr>
        <w:t xml:space="preserve"> of Fluconazole, Azithromycin and Ornidazole</w:t>
      </w:r>
      <w:r w:rsidR="00816F30" w:rsidRPr="00DE6E2E">
        <w:rPr>
          <w:rFonts w:ascii="Times" w:eastAsia="Times New Roman" w:hAnsi="Times"/>
        </w:rPr>
        <w:t xml:space="preserve"> </w:t>
      </w:r>
      <w:r w:rsidR="00045436" w:rsidRPr="00DE6E2E">
        <w:rPr>
          <w:rFonts w:ascii="Times" w:eastAsia="Times New Roman" w:hAnsi="Times"/>
        </w:rPr>
        <w:t>come in handy</w:t>
      </w:r>
      <w:r w:rsidR="00C62B32" w:rsidRPr="00DE6E2E">
        <w:rPr>
          <w:rFonts w:ascii="Times" w:eastAsia="Times New Roman" w:hAnsi="Times"/>
        </w:rPr>
        <w:t xml:space="preserve"> like </w:t>
      </w:r>
      <w:r w:rsidR="00816F30" w:rsidRPr="00DE6E2E">
        <w:rPr>
          <w:rFonts w:ascii="Times" w:eastAsia="Times New Roman" w:hAnsi="Times"/>
        </w:rPr>
        <w:t>a sort of</w:t>
      </w:r>
      <w:r w:rsidR="00FE6F61" w:rsidRPr="00DE6E2E">
        <w:rPr>
          <w:rFonts w:ascii="Times" w:eastAsia="Times New Roman" w:hAnsi="Times"/>
        </w:rPr>
        <w:t xml:space="preserve"> ‘shotgun therapy’, first warned about in an NEJM article published in 1960</w:t>
      </w:r>
      <w:r w:rsidR="00572F45" w:rsidRPr="00DE6E2E">
        <w:rPr>
          <w:rFonts w:ascii="Times" w:eastAsia="Times New Roman" w:hAnsi="Times"/>
        </w:rPr>
        <w:t xml:space="preserve"> </w:t>
      </w:r>
      <w:r w:rsidR="003D0B22" w:rsidRPr="00DE6E2E">
        <w:rPr>
          <w:rFonts w:ascii="Times" w:eastAsia="Times New Roman" w:hAnsi="Times"/>
        </w:rPr>
        <w:fldChar w:fldCharType="begin" w:fldLock="1"/>
      </w:r>
      <w:r w:rsidR="00FA33FC" w:rsidRPr="00DE6E2E">
        <w:rPr>
          <w:rFonts w:ascii="Times" w:eastAsia="Times New Roman" w:hAnsi="Times"/>
        </w:rPr>
        <w:instrText>ADDIN CSL_CITATION { "citationItems" : [ { "id" : "ITEM-1", "itemData" : { "DOI" : "10.1056/NEJM196002042620512", "container-title" : "New England Journal of Medicine", "id" : "ITEM-1", "issue" : "5", "issued" : { "date-parts" : [ [ "1960" ] ] }, "page" : "255-256", "title" : "Antibiotics in Fixed Combination", "type" : "article-journal", "volume" : "262" }, "uris" : [ "http://www.mendeley.com/documents/?uuid=e4b1e13b-4031-4ba1-9f83-a0656d580103" ] } ], "mendeley" : { "formattedCitation" : "(9)", "plainTextFormattedCitation" : "(9)", "previouslyFormattedCitation" : "(9)" }, "properties" : { "noteIndex" : 0 }, "schema" : "https://github.com/citation-style-language/schema/raw/master/csl-citation.json" }</w:instrText>
      </w:r>
      <w:r w:rsidR="003D0B22" w:rsidRPr="00DE6E2E">
        <w:rPr>
          <w:rFonts w:ascii="Times" w:eastAsia="Times New Roman" w:hAnsi="Times"/>
        </w:rPr>
        <w:fldChar w:fldCharType="separate"/>
      </w:r>
      <w:r w:rsidR="003D0B22" w:rsidRPr="00DE6E2E">
        <w:rPr>
          <w:rFonts w:ascii="Times" w:eastAsia="Times New Roman" w:hAnsi="Times"/>
          <w:noProof/>
        </w:rPr>
        <w:t>(9)</w:t>
      </w:r>
      <w:r w:rsidR="003D0B22" w:rsidRPr="00DE6E2E">
        <w:rPr>
          <w:rFonts w:ascii="Times" w:eastAsia="Times New Roman" w:hAnsi="Times"/>
        </w:rPr>
        <w:fldChar w:fldCharType="end"/>
      </w:r>
      <w:r w:rsidR="00FE6F61" w:rsidRPr="00DE6E2E">
        <w:rPr>
          <w:rFonts w:ascii="Times" w:eastAsia="Times New Roman" w:hAnsi="Times"/>
        </w:rPr>
        <w:t xml:space="preserve">. </w:t>
      </w:r>
      <w:r w:rsidR="00D872A4" w:rsidRPr="00DE6E2E">
        <w:rPr>
          <w:rFonts w:ascii="Times" w:eastAsia="Times New Roman" w:hAnsi="Times"/>
        </w:rPr>
        <w:t xml:space="preserve">Instead of </w:t>
      </w:r>
      <w:r w:rsidR="00C3609C" w:rsidRPr="00DE6E2E">
        <w:rPr>
          <w:rFonts w:ascii="Times" w:eastAsia="Times New Roman" w:hAnsi="Times"/>
        </w:rPr>
        <w:t xml:space="preserve">using the right antibiotics, a combination of broad spectrum antibiotics </w:t>
      </w:r>
      <w:proofErr w:type="gramStart"/>
      <w:r w:rsidR="00C3609C" w:rsidRPr="00DE6E2E">
        <w:rPr>
          <w:rFonts w:ascii="Times" w:eastAsia="Times New Roman" w:hAnsi="Times"/>
        </w:rPr>
        <w:t>are</w:t>
      </w:r>
      <w:proofErr w:type="gramEnd"/>
      <w:r w:rsidR="00C3609C" w:rsidRPr="00DE6E2E">
        <w:rPr>
          <w:rFonts w:ascii="Times" w:eastAsia="Times New Roman" w:hAnsi="Times"/>
        </w:rPr>
        <w:t xml:space="preserve"> prescribed, in the hope that- if a hat is big enough, some rabbit will come out of it. </w:t>
      </w:r>
      <w:r w:rsidR="003D0B22" w:rsidRPr="00DE6E2E">
        <w:rPr>
          <w:rFonts w:ascii="Times" w:eastAsia="Times New Roman" w:hAnsi="Times"/>
        </w:rPr>
        <w:t xml:space="preserve">The sales of </w:t>
      </w:r>
      <w:r w:rsidR="00FA33FC" w:rsidRPr="00DE6E2E">
        <w:rPr>
          <w:rFonts w:ascii="Times" w:eastAsia="Times New Roman" w:hAnsi="Times"/>
        </w:rPr>
        <w:t xml:space="preserve">the </w:t>
      </w:r>
      <w:r w:rsidR="003D0B22" w:rsidRPr="00DE6E2E">
        <w:rPr>
          <w:rFonts w:ascii="Times" w:eastAsia="Times New Roman" w:hAnsi="Times"/>
        </w:rPr>
        <w:t xml:space="preserve">FDCs with </w:t>
      </w:r>
      <w:r w:rsidR="003D0B22" w:rsidRPr="00DE6E2E">
        <w:rPr>
          <w:rFonts w:ascii="Times" w:eastAsia="Times New Roman" w:hAnsi="Times"/>
          <w:i/>
        </w:rPr>
        <w:t xml:space="preserve">Watch </w:t>
      </w:r>
      <w:r w:rsidR="00FA33FC" w:rsidRPr="00DE6E2E">
        <w:rPr>
          <w:rFonts w:ascii="Times" w:eastAsia="Times New Roman" w:hAnsi="Times"/>
        </w:rPr>
        <w:t>and</w:t>
      </w:r>
      <w:r w:rsidR="003D0B22" w:rsidRPr="00DE6E2E">
        <w:rPr>
          <w:rFonts w:ascii="Times" w:eastAsia="Times New Roman" w:hAnsi="Times"/>
        </w:rPr>
        <w:t xml:space="preserve"> </w:t>
      </w:r>
      <w:r w:rsidR="003D0B22" w:rsidRPr="00DE6E2E">
        <w:rPr>
          <w:rFonts w:ascii="Times" w:eastAsia="Times New Roman" w:hAnsi="Times"/>
          <w:i/>
        </w:rPr>
        <w:t xml:space="preserve">Reserve </w:t>
      </w:r>
      <w:r w:rsidR="003D0B22" w:rsidRPr="00DE6E2E">
        <w:rPr>
          <w:rFonts w:ascii="Times" w:eastAsia="Times New Roman" w:hAnsi="Times"/>
        </w:rPr>
        <w:t xml:space="preserve">group antibiotics rose by 73% and 174%, respectively in 2011-12 when compared to 2007-08 </w:t>
      </w:r>
      <w:r w:rsidR="00FA33FC" w:rsidRPr="00DE6E2E">
        <w:rPr>
          <w:rFonts w:ascii="Times" w:eastAsia="Times New Roman" w:hAnsi="Times"/>
        </w:rPr>
        <w:fldChar w:fldCharType="begin" w:fldLock="1"/>
      </w:r>
      <w:r w:rsidR="00EF2FD0" w:rsidRPr="00DE6E2E">
        <w:rPr>
          <w:rFonts w:ascii="Times" w:eastAsia="Times New Roman" w:hAnsi="Times"/>
        </w:rPr>
        <w:instrText>ADDIN CSL_CITATION { "citationItems" : [ { "id" : "ITEM-1", "itemData" : { "DOI" : "10.1016/S2214-109X(17)30365-0", "PMID" : "29025629", "author" : [ { "dropping-particle" : "", "family" : "McGettigan", "given" : "Patricia", "non-dropping-particle" : "", "parse-names" : false, "suffix" : "" }, { "dropping-particle" : "", "family" : "Roderick", "given" : "Peter", "non-dropping-particle" : "", "parse-names" : false, "suffix" : "" }, { "dropping-particle" : "", "family" : "Kadam", "given" : "Abhay", "non-dropping-particle" : "", "parse-names" : false, "suffix" : "" }, { "dropping-particle" : "", "family" : "Pollock", "given" : "Allyson M", "non-dropping-particle" : "", "parse-names" : false, "suffix" : "" } ], "container-title" : "The Lancet. Global health", "id" : "ITEM-1", "issue" : "11", "issued" : { "date-parts" : [ [ "2017", "11", "1" ] ] }, "page" : "e1075-e1076", "publisher" : "Elsevier", "title" : "Access, Watch, and Reserve antibiotics in India: challenges for WHO stewardship.", "type" : "article-journal", "volume" : "5" }, "uris" : [ "http://www.mendeley.com/documents/?uuid=72c3f3bc-df91-347c-8c07-07b0645534b1" ] } ], "mendeley" : { "formattedCitation" : "(10)", "plainTextFormattedCitation" : "(10)", "previouslyFormattedCitation" : "(10)" }, "properties" : { "noteIndex" : 0 }, "schema" : "https://github.com/citation-style-language/schema/raw/master/csl-citation.json" }</w:instrText>
      </w:r>
      <w:r w:rsidR="00FA33FC" w:rsidRPr="00DE6E2E">
        <w:rPr>
          <w:rFonts w:ascii="Times" w:eastAsia="Times New Roman" w:hAnsi="Times"/>
        </w:rPr>
        <w:fldChar w:fldCharType="separate"/>
      </w:r>
      <w:r w:rsidR="00FA33FC" w:rsidRPr="00DE6E2E">
        <w:rPr>
          <w:rFonts w:ascii="Times" w:eastAsia="Times New Roman" w:hAnsi="Times"/>
          <w:noProof/>
        </w:rPr>
        <w:t>(10)</w:t>
      </w:r>
      <w:r w:rsidR="00FA33FC" w:rsidRPr="00DE6E2E">
        <w:rPr>
          <w:rFonts w:ascii="Times" w:eastAsia="Times New Roman" w:hAnsi="Times"/>
        </w:rPr>
        <w:fldChar w:fldCharType="end"/>
      </w:r>
      <w:r w:rsidR="00FA33FC" w:rsidRPr="00DE6E2E">
        <w:rPr>
          <w:rFonts w:ascii="Times" w:eastAsia="Times New Roman" w:hAnsi="Times"/>
        </w:rPr>
        <w:t>. Further, of the 118 FDC formulations</w:t>
      </w:r>
      <w:r w:rsidR="005E4CEE" w:rsidRPr="00DE6E2E">
        <w:rPr>
          <w:rFonts w:ascii="Times" w:eastAsia="Times New Roman" w:hAnsi="Times"/>
        </w:rPr>
        <w:t xml:space="preserve">, 64% have no CDSCO approval </w:t>
      </w:r>
      <w:r w:rsidR="009A6BF1" w:rsidRPr="00DE6E2E">
        <w:rPr>
          <w:rFonts w:ascii="Times" w:eastAsia="Times New Roman" w:hAnsi="Times"/>
        </w:rPr>
        <w:t xml:space="preserve">and </w:t>
      </w:r>
      <w:r w:rsidR="00B11B95" w:rsidRPr="00DE6E2E">
        <w:rPr>
          <w:rFonts w:ascii="Times" w:eastAsia="Times New Roman" w:hAnsi="Times"/>
        </w:rPr>
        <w:t xml:space="preserve">46% include </w:t>
      </w:r>
      <w:r w:rsidR="00B11B95" w:rsidRPr="00DE6E2E">
        <w:rPr>
          <w:rFonts w:ascii="Times" w:eastAsia="Times New Roman" w:hAnsi="Times"/>
          <w:i/>
        </w:rPr>
        <w:t xml:space="preserve">Watch </w:t>
      </w:r>
      <w:r w:rsidR="00045436" w:rsidRPr="00DE6E2E">
        <w:rPr>
          <w:rFonts w:ascii="Times" w:eastAsia="Times New Roman" w:hAnsi="Times"/>
        </w:rPr>
        <w:t xml:space="preserve"> group antibiotics, some</w:t>
      </w:r>
      <w:r w:rsidR="00D57514" w:rsidRPr="00DE6E2E">
        <w:rPr>
          <w:rFonts w:ascii="Times" w:eastAsia="Times New Roman" w:hAnsi="Times"/>
        </w:rPr>
        <w:t xml:space="preserve"> even</w:t>
      </w:r>
      <w:r w:rsidR="00B11B95" w:rsidRPr="00DE6E2E">
        <w:rPr>
          <w:rFonts w:ascii="Times" w:eastAsia="Times New Roman" w:hAnsi="Times"/>
        </w:rPr>
        <w:t xml:space="preserve"> including two of them like cefixime and azithromycin</w:t>
      </w:r>
      <w:r w:rsidR="00EF2FD0" w:rsidRPr="00DE6E2E">
        <w:rPr>
          <w:rFonts w:ascii="Times" w:eastAsia="Times New Roman" w:hAnsi="Times"/>
        </w:rPr>
        <w:t xml:space="preserve"> </w:t>
      </w:r>
      <w:r w:rsidR="00EF2FD0" w:rsidRPr="00DE6E2E">
        <w:rPr>
          <w:rFonts w:ascii="Times" w:eastAsia="Times New Roman" w:hAnsi="Times"/>
        </w:rPr>
        <w:fldChar w:fldCharType="begin" w:fldLock="1"/>
      </w:r>
      <w:r w:rsidR="00C0333F" w:rsidRPr="00DE6E2E">
        <w:rPr>
          <w:rFonts w:ascii="Times" w:eastAsia="Times New Roman" w:hAnsi="Times"/>
        </w:rPr>
        <w:instrText>ADDIN CSL_CITATION { "citationItems" : [ { "id" : "ITEM-1", "itemData" : { "DOI" : "10.1016/S2214-109X(17)30365-0", "PMID" : "29025629", "author" : [ { "dropping-particle" : "", "family" : "McGettigan", "given" : "Patricia", "non-dropping-particle" : "", "parse-names" : false, "suffix" : "" }, { "dropping-particle" : "", "family" : "Roderick", "given" : "Peter", "non-dropping-particle" : "", "parse-names" : false, "suffix" : "" }, { "dropping-particle" : "", "family" : "Kadam", "given" : "Abhay", "non-dropping-particle" : "", "parse-names" : false, "suffix" : "" }, { "dropping-particle" : "", "family" : "Pollock", "given" : "Allyson M", "non-dropping-particle" : "", "parse-names" : false, "suffix" : "" } ], "container-title" : "The Lancet. Global health", "id" : "ITEM-1", "issue" : "11", "issued" : { "date-parts" : [ [ "2017", "11", "1" ] ] }, "page" : "e1075-e1076", "publisher" : "Elsevier", "title" : "Access, Watch, and Reserve antibiotics in India: challenges for WHO stewardship.", "type" : "article-journal", "volume" : "5" }, "uris" : [ "http://www.mendeley.com/documents/?uuid=72c3f3bc-df91-347c-8c07-07b0645534b1" ] } ], "mendeley" : { "formattedCitation" : "(10)", "plainTextFormattedCitation" : "(10)", "previouslyFormattedCitation" : "(10)" }, "properties" : { "noteIndex" : 0 }, "schema" : "https://github.com/citation-style-language/schema/raw/master/csl-citation.json" }</w:instrText>
      </w:r>
      <w:r w:rsidR="00EF2FD0" w:rsidRPr="00DE6E2E">
        <w:rPr>
          <w:rFonts w:ascii="Times" w:eastAsia="Times New Roman" w:hAnsi="Times"/>
        </w:rPr>
        <w:fldChar w:fldCharType="separate"/>
      </w:r>
      <w:r w:rsidR="00EF2FD0" w:rsidRPr="00DE6E2E">
        <w:rPr>
          <w:rFonts w:ascii="Times" w:eastAsia="Times New Roman" w:hAnsi="Times"/>
          <w:noProof/>
        </w:rPr>
        <w:t>(10)</w:t>
      </w:r>
      <w:r w:rsidR="00EF2FD0" w:rsidRPr="00DE6E2E">
        <w:rPr>
          <w:rFonts w:ascii="Times" w:eastAsia="Times New Roman" w:hAnsi="Times"/>
        </w:rPr>
        <w:fldChar w:fldCharType="end"/>
      </w:r>
      <w:r w:rsidR="00B11B95" w:rsidRPr="00DE6E2E">
        <w:rPr>
          <w:rFonts w:ascii="Times" w:eastAsia="Times New Roman" w:hAnsi="Times"/>
        </w:rPr>
        <w:t xml:space="preserve">. </w:t>
      </w:r>
    </w:p>
    <w:p w14:paraId="44F14675" w14:textId="77777777" w:rsidR="00D417CB" w:rsidRPr="00DE6E2E" w:rsidRDefault="00D417CB" w:rsidP="00D417CB">
      <w:pPr>
        <w:jc w:val="both"/>
        <w:rPr>
          <w:rFonts w:ascii="Times" w:eastAsia="Times New Roman" w:hAnsi="Times"/>
        </w:rPr>
      </w:pPr>
    </w:p>
    <w:p w14:paraId="18A70FE9" w14:textId="4DED0C6A" w:rsidR="002D774B" w:rsidRPr="00DE6E2E" w:rsidRDefault="007671C7" w:rsidP="00D417CB">
      <w:pPr>
        <w:jc w:val="both"/>
        <w:rPr>
          <w:rFonts w:ascii="Times" w:eastAsia="Times New Roman" w:hAnsi="Times"/>
        </w:rPr>
      </w:pPr>
      <w:r w:rsidRPr="00DE6E2E">
        <w:rPr>
          <w:rFonts w:ascii="Times" w:eastAsia="Times New Roman" w:hAnsi="Times"/>
        </w:rPr>
        <w:t xml:space="preserve">                   </w:t>
      </w:r>
      <w:r w:rsidR="00B11B95" w:rsidRPr="00DE6E2E">
        <w:rPr>
          <w:rFonts w:ascii="Times" w:eastAsia="Times New Roman" w:hAnsi="Times"/>
        </w:rPr>
        <w:t xml:space="preserve">In a country where most of the doctors and medical students including the authors have seen antimicrobial resistance in their clinics and hospitals, </w:t>
      </w:r>
      <w:r w:rsidR="00045436" w:rsidRPr="00DE6E2E">
        <w:rPr>
          <w:rFonts w:ascii="Times" w:eastAsia="Times New Roman" w:hAnsi="Times"/>
        </w:rPr>
        <w:t>such widespread</w:t>
      </w:r>
      <w:r w:rsidR="00B11B95" w:rsidRPr="00DE6E2E">
        <w:rPr>
          <w:rFonts w:ascii="Times" w:eastAsia="Times New Roman" w:hAnsi="Times"/>
        </w:rPr>
        <w:t xml:space="preserve"> </w:t>
      </w:r>
      <w:r w:rsidR="00C060A3" w:rsidRPr="00DE6E2E">
        <w:rPr>
          <w:rFonts w:ascii="Times" w:eastAsia="Times New Roman" w:hAnsi="Times"/>
        </w:rPr>
        <w:t xml:space="preserve">use of </w:t>
      </w:r>
      <w:r w:rsidR="00BD173C" w:rsidRPr="00DE6E2E">
        <w:rPr>
          <w:rFonts w:ascii="Times" w:eastAsia="Times New Roman" w:hAnsi="Times"/>
        </w:rPr>
        <w:t>unscientific</w:t>
      </w:r>
      <w:r w:rsidR="00EF2FD0" w:rsidRPr="00DE6E2E">
        <w:rPr>
          <w:rFonts w:ascii="Times" w:eastAsia="Times New Roman" w:hAnsi="Times"/>
        </w:rPr>
        <w:t>,</w:t>
      </w:r>
      <w:r w:rsidR="00C060A3" w:rsidRPr="00DE6E2E">
        <w:rPr>
          <w:rFonts w:ascii="Times" w:eastAsia="Times New Roman" w:hAnsi="Times"/>
        </w:rPr>
        <w:t xml:space="preserve"> irrational and hazardous FDCs </w:t>
      </w:r>
      <w:r w:rsidR="00045436" w:rsidRPr="00DE6E2E">
        <w:rPr>
          <w:rFonts w:ascii="Times" w:eastAsia="Times New Roman" w:hAnsi="Times"/>
        </w:rPr>
        <w:t xml:space="preserve">is </w:t>
      </w:r>
      <w:r w:rsidR="00B3547E" w:rsidRPr="00DE6E2E">
        <w:rPr>
          <w:rFonts w:ascii="Times" w:eastAsia="Times New Roman" w:hAnsi="Times"/>
        </w:rPr>
        <w:t xml:space="preserve">terrifying. </w:t>
      </w:r>
      <w:r w:rsidR="00C060A3" w:rsidRPr="00DE6E2E">
        <w:rPr>
          <w:rFonts w:ascii="Times" w:eastAsia="Times New Roman" w:hAnsi="Times"/>
        </w:rPr>
        <w:t>While the complete weeding out</w:t>
      </w:r>
      <w:r w:rsidR="00B3547E" w:rsidRPr="00DE6E2E">
        <w:rPr>
          <w:rFonts w:ascii="Times" w:eastAsia="Times New Roman" w:hAnsi="Times"/>
        </w:rPr>
        <w:t xml:space="preserve"> of these FDCs involve</w:t>
      </w:r>
      <w:r w:rsidR="00C060A3" w:rsidRPr="00DE6E2E">
        <w:rPr>
          <w:rFonts w:ascii="Times" w:eastAsia="Times New Roman" w:hAnsi="Times"/>
        </w:rPr>
        <w:t xml:space="preserve"> stronger regulations and improved healthcare access to reduce non-prescription sales, weeding them out from our prescriptions </w:t>
      </w:r>
      <w:r w:rsidR="006A6FF4" w:rsidRPr="00DE6E2E">
        <w:rPr>
          <w:rFonts w:ascii="Times" w:eastAsia="Times New Roman" w:hAnsi="Times"/>
        </w:rPr>
        <w:t xml:space="preserve">is straightforward. This </w:t>
      </w:r>
      <w:r w:rsidR="00C060A3" w:rsidRPr="00DE6E2E">
        <w:rPr>
          <w:rFonts w:ascii="Times" w:eastAsia="Times New Roman" w:hAnsi="Times"/>
        </w:rPr>
        <w:t>should be our top priority in antimicrobial stewards</w:t>
      </w:r>
      <w:r w:rsidR="00B2654C" w:rsidRPr="00DE6E2E">
        <w:rPr>
          <w:rFonts w:ascii="Times" w:eastAsia="Times New Roman" w:hAnsi="Times"/>
        </w:rPr>
        <w:t xml:space="preserve">hip. </w:t>
      </w:r>
      <w:r w:rsidR="006A6FF4" w:rsidRPr="00DE6E2E">
        <w:rPr>
          <w:rFonts w:ascii="Times" w:eastAsia="Times New Roman" w:hAnsi="Times"/>
        </w:rPr>
        <w:t>There is no riddle here,</w:t>
      </w:r>
      <w:r w:rsidR="00C060A3" w:rsidRPr="00DE6E2E">
        <w:rPr>
          <w:rFonts w:ascii="Times" w:eastAsia="Times New Roman" w:hAnsi="Times"/>
        </w:rPr>
        <w:t xml:space="preserve"> </w:t>
      </w:r>
      <w:r w:rsidR="00BD173C" w:rsidRPr="00DE6E2E">
        <w:rPr>
          <w:rFonts w:ascii="Times" w:eastAsia="Times New Roman" w:hAnsi="Times"/>
        </w:rPr>
        <w:t>no FDC</w:t>
      </w:r>
      <w:r w:rsidR="006A6FF4" w:rsidRPr="00DE6E2E">
        <w:rPr>
          <w:rFonts w:ascii="Times" w:eastAsia="Times New Roman" w:hAnsi="Times"/>
        </w:rPr>
        <w:t>s</w:t>
      </w:r>
      <w:r w:rsidR="00EF2FD0" w:rsidRPr="00DE6E2E">
        <w:rPr>
          <w:rFonts w:ascii="Times" w:eastAsia="Times New Roman" w:hAnsi="Times"/>
        </w:rPr>
        <w:t>-</w:t>
      </w:r>
      <w:r w:rsidR="00DA5EDF" w:rsidRPr="00DE6E2E">
        <w:rPr>
          <w:rFonts w:ascii="Times" w:eastAsia="Times New Roman" w:hAnsi="Times"/>
        </w:rPr>
        <w:t xml:space="preserve"> let alone antimicrobials</w:t>
      </w:r>
      <w:r w:rsidR="00C060A3" w:rsidRPr="00DE6E2E">
        <w:rPr>
          <w:rFonts w:ascii="Times" w:eastAsia="Times New Roman" w:hAnsi="Times"/>
        </w:rPr>
        <w:t xml:space="preserve"> sh</w:t>
      </w:r>
      <w:r w:rsidR="00BD173C" w:rsidRPr="00DE6E2E">
        <w:rPr>
          <w:rFonts w:ascii="Times" w:eastAsia="Times New Roman" w:hAnsi="Times"/>
        </w:rPr>
        <w:t xml:space="preserve">ould be on </w:t>
      </w:r>
      <w:r w:rsidR="00DA5EDF" w:rsidRPr="00DE6E2E">
        <w:rPr>
          <w:rFonts w:ascii="Times" w:eastAsia="Times New Roman" w:hAnsi="Times"/>
        </w:rPr>
        <w:t xml:space="preserve">our </w:t>
      </w:r>
      <w:r w:rsidR="00BD173C" w:rsidRPr="00DE6E2E">
        <w:rPr>
          <w:rFonts w:ascii="Times" w:eastAsia="Times New Roman" w:hAnsi="Times"/>
        </w:rPr>
        <w:t>medial prescriptions</w:t>
      </w:r>
      <w:r w:rsidR="00B3547E" w:rsidRPr="00DE6E2E">
        <w:rPr>
          <w:rFonts w:ascii="Times" w:eastAsia="Times New Roman" w:hAnsi="Times"/>
        </w:rPr>
        <w:t xml:space="preserve"> </w:t>
      </w:r>
      <w:r w:rsidR="00BD173C" w:rsidRPr="00DE6E2E">
        <w:rPr>
          <w:rFonts w:ascii="Times" w:eastAsia="Times New Roman" w:hAnsi="Times"/>
        </w:rPr>
        <w:t>without a credible scientific basis</w:t>
      </w:r>
      <w:r w:rsidR="000A0B43" w:rsidRPr="00DE6E2E">
        <w:rPr>
          <w:rFonts w:ascii="Times" w:eastAsia="Times New Roman" w:hAnsi="Times"/>
        </w:rPr>
        <w:t xml:space="preserve">. </w:t>
      </w:r>
      <w:r w:rsidR="00933CE2" w:rsidRPr="00DE6E2E">
        <w:rPr>
          <w:rFonts w:ascii="Times" w:eastAsia="Times New Roman" w:hAnsi="Times"/>
        </w:rPr>
        <w:t xml:space="preserve">Let us not </w:t>
      </w:r>
      <w:r w:rsidR="006A6FF4" w:rsidRPr="00DE6E2E">
        <w:rPr>
          <w:rFonts w:ascii="Times" w:eastAsia="Times New Roman" w:hAnsi="Times"/>
        </w:rPr>
        <w:t xml:space="preserve">unwittingly </w:t>
      </w:r>
      <w:r w:rsidR="00933CE2" w:rsidRPr="00DE6E2E">
        <w:rPr>
          <w:rFonts w:ascii="Times" w:eastAsia="Times New Roman" w:hAnsi="Times"/>
        </w:rPr>
        <w:t>continue to commit</w:t>
      </w:r>
      <w:r w:rsidR="00C060A3" w:rsidRPr="00DE6E2E">
        <w:rPr>
          <w:rFonts w:ascii="Times" w:eastAsia="Times New Roman" w:hAnsi="Times"/>
        </w:rPr>
        <w:t xml:space="preserve"> </w:t>
      </w:r>
      <w:r w:rsidR="00933CE2" w:rsidRPr="00DE6E2E">
        <w:rPr>
          <w:rFonts w:ascii="Times" w:eastAsia="Times New Roman" w:hAnsi="Times"/>
        </w:rPr>
        <w:t xml:space="preserve">a </w:t>
      </w:r>
      <w:r w:rsidR="00C060A3" w:rsidRPr="00DE6E2E">
        <w:rPr>
          <w:rFonts w:ascii="Times" w:eastAsia="Times New Roman" w:hAnsi="Times"/>
        </w:rPr>
        <w:t xml:space="preserve">mistake </w:t>
      </w:r>
      <w:r w:rsidR="000A0B43" w:rsidRPr="00DE6E2E">
        <w:rPr>
          <w:rFonts w:ascii="Times" w:eastAsia="Times New Roman" w:hAnsi="Times"/>
        </w:rPr>
        <w:t xml:space="preserve">that </w:t>
      </w:r>
      <w:r w:rsidR="006A6FF4" w:rsidRPr="00DE6E2E">
        <w:rPr>
          <w:rFonts w:ascii="Times" w:eastAsia="Times New Roman" w:hAnsi="Times"/>
        </w:rPr>
        <w:t>jeopardises the</w:t>
      </w:r>
      <w:r w:rsidR="00EF2FD0" w:rsidRPr="00DE6E2E">
        <w:rPr>
          <w:rFonts w:ascii="Times" w:eastAsia="Times New Roman" w:hAnsi="Times"/>
        </w:rPr>
        <w:t xml:space="preserve"> future</w:t>
      </w:r>
      <w:r w:rsidR="006A6FF4" w:rsidRPr="00DE6E2E">
        <w:rPr>
          <w:rFonts w:ascii="Times" w:eastAsia="Times New Roman" w:hAnsi="Times"/>
        </w:rPr>
        <w:t xml:space="preserve"> of humanity, where the treatable infections become untreatable</w:t>
      </w:r>
      <w:r w:rsidR="00C060A3" w:rsidRPr="00DE6E2E">
        <w:rPr>
          <w:rFonts w:ascii="Times" w:eastAsia="Times New Roman" w:hAnsi="Times"/>
        </w:rPr>
        <w:t>.</w:t>
      </w:r>
      <w:r w:rsidR="00EF2FD0" w:rsidRPr="00DE6E2E">
        <w:rPr>
          <w:rFonts w:ascii="Times" w:eastAsia="Times New Roman" w:hAnsi="Times"/>
        </w:rPr>
        <w:t xml:space="preserve"> </w:t>
      </w:r>
      <w:r w:rsidR="002D774B" w:rsidRPr="00DE6E2E">
        <w:rPr>
          <w:rFonts w:ascii="Times" w:eastAsia="Times New Roman" w:hAnsi="Times"/>
        </w:rPr>
        <w:t xml:space="preserve">While the pharma companies have exploited the regulatory loopholes to market these drugs, but </w:t>
      </w:r>
      <w:r w:rsidR="006A6FF4" w:rsidRPr="00DE6E2E">
        <w:rPr>
          <w:rFonts w:ascii="Times" w:eastAsia="Times New Roman" w:hAnsi="Times"/>
        </w:rPr>
        <w:t>very few of us acknowledge the</w:t>
      </w:r>
      <w:r w:rsidR="002D774B" w:rsidRPr="00DE6E2E">
        <w:rPr>
          <w:rFonts w:ascii="Times" w:eastAsia="Times New Roman" w:hAnsi="Times"/>
        </w:rPr>
        <w:t xml:space="preserve"> writing on the wall in this regard- that these FDCs should have no place in our prescriptions. There is little, if any excuse for this unethical and irrational overtreatment.</w:t>
      </w:r>
    </w:p>
    <w:p w14:paraId="5A284898" w14:textId="77777777" w:rsidR="000B13C7" w:rsidRPr="00DE6E2E" w:rsidRDefault="000B13C7" w:rsidP="00D417CB">
      <w:pPr>
        <w:jc w:val="both"/>
        <w:rPr>
          <w:rFonts w:ascii="Times" w:eastAsia="Times New Roman" w:hAnsi="Times"/>
        </w:rPr>
      </w:pPr>
    </w:p>
    <w:p w14:paraId="1F07B84A" w14:textId="57C6F9DD" w:rsidR="00C0333F" w:rsidRPr="00DE6E2E" w:rsidRDefault="00C0333F" w:rsidP="00D417CB">
      <w:pPr>
        <w:jc w:val="both"/>
        <w:rPr>
          <w:rFonts w:ascii="Times" w:eastAsia="Times New Roman" w:hAnsi="Times"/>
          <w:b/>
        </w:rPr>
      </w:pPr>
      <w:r w:rsidRPr="00DE6E2E">
        <w:rPr>
          <w:rFonts w:ascii="Times" w:eastAsia="Times New Roman" w:hAnsi="Times"/>
          <w:b/>
        </w:rPr>
        <w:t>References:</w:t>
      </w:r>
    </w:p>
    <w:p w14:paraId="4C16EB76" w14:textId="77777777" w:rsidR="00C0333F" w:rsidRPr="00DE6E2E" w:rsidRDefault="00C0333F" w:rsidP="00D417CB">
      <w:pPr>
        <w:jc w:val="both"/>
        <w:rPr>
          <w:rFonts w:ascii="Times" w:eastAsia="Times New Roman" w:hAnsi="Times"/>
          <w:b/>
        </w:rPr>
      </w:pPr>
    </w:p>
    <w:p w14:paraId="596B010F" w14:textId="239FFF6E" w:rsidR="00C0333F" w:rsidRPr="00DE6E2E" w:rsidRDefault="00C0333F" w:rsidP="00D417CB">
      <w:pPr>
        <w:widowControl w:val="0"/>
        <w:autoSpaceDE w:val="0"/>
        <w:autoSpaceDN w:val="0"/>
        <w:adjustRightInd w:val="0"/>
        <w:ind w:left="640" w:hanging="640"/>
        <w:rPr>
          <w:rFonts w:ascii="Times" w:eastAsia="Times New Roman" w:hAnsi="Times"/>
          <w:noProof/>
        </w:rPr>
      </w:pPr>
      <w:r w:rsidRPr="00DE6E2E">
        <w:rPr>
          <w:rFonts w:ascii="Times" w:eastAsia="Times New Roman" w:hAnsi="Times"/>
          <w:b/>
        </w:rPr>
        <w:fldChar w:fldCharType="begin" w:fldLock="1"/>
      </w:r>
      <w:r w:rsidRPr="00DE6E2E">
        <w:rPr>
          <w:rFonts w:ascii="Times" w:eastAsia="Times New Roman" w:hAnsi="Times"/>
          <w:b/>
        </w:rPr>
        <w:instrText xml:space="preserve">ADDIN Mendeley Bibliography CSL_BIBLIOGRAPHY </w:instrText>
      </w:r>
      <w:r w:rsidRPr="00DE6E2E">
        <w:rPr>
          <w:rFonts w:ascii="Times" w:eastAsia="Times New Roman" w:hAnsi="Times"/>
          <w:b/>
        </w:rPr>
        <w:fldChar w:fldCharType="separate"/>
      </w:r>
      <w:r w:rsidRPr="00DE6E2E">
        <w:rPr>
          <w:rFonts w:ascii="Times" w:eastAsia="Times New Roman" w:hAnsi="Times"/>
          <w:noProof/>
        </w:rPr>
        <w:t xml:space="preserve">1. </w:t>
      </w:r>
      <w:r w:rsidRPr="00DE6E2E">
        <w:rPr>
          <w:rFonts w:ascii="Times" w:eastAsia="Times New Roman" w:hAnsi="Times"/>
          <w:noProof/>
        </w:rPr>
        <w:tab/>
        <w:t>Antimicrobial Resistance: Tackling a Crisis for the Health and Wealth of Nations. [Internet]. 2014. Available from: https://amr-review.org/sites/default/files/AMR Review Paper - Tackling a crisis for the health and wealth of nations_1.pdf</w:t>
      </w:r>
    </w:p>
    <w:p w14:paraId="79149142" w14:textId="77777777" w:rsidR="00C0333F" w:rsidRPr="00DE6E2E" w:rsidRDefault="00C0333F" w:rsidP="00D417CB">
      <w:pPr>
        <w:widowControl w:val="0"/>
        <w:autoSpaceDE w:val="0"/>
        <w:autoSpaceDN w:val="0"/>
        <w:adjustRightInd w:val="0"/>
        <w:ind w:left="640" w:hanging="640"/>
        <w:rPr>
          <w:rFonts w:ascii="Times" w:eastAsia="Times New Roman" w:hAnsi="Times"/>
          <w:noProof/>
        </w:rPr>
      </w:pPr>
      <w:r w:rsidRPr="00DE6E2E">
        <w:rPr>
          <w:rFonts w:ascii="Times" w:eastAsia="Times New Roman" w:hAnsi="Times"/>
          <w:noProof/>
        </w:rPr>
        <w:t xml:space="preserve">2. </w:t>
      </w:r>
      <w:r w:rsidRPr="00DE6E2E">
        <w:rPr>
          <w:rFonts w:ascii="Times" w:eastAsia="Times New Roman" w:hAnsi="Times"/>
          <w:noProof/>
        </w:rPr>
        <w:tab/>
        <w:t xml:space="preserve">Thacker T. Expert committee set up to review 344 banned FDC drugs [Internet]. </w:t>
      </w:r>
      <w:r w:rsidRPr="00DE6E2E">
        <w:rPr>
          <w:rFonts w:ascii="Times" w:eastAsia="Times New Roman" w:hAnsi="Times"/>
          <w:i/>
          <w:iCs/>
          <w:noProof/>
        </w:rPr>
        <w:t>Livemint</w:t>
      </w:r>
      <w:r w:rsidRPr="00DE6E2E">
        <w:rPr>
          <w:rFonts w:ascii="Times" w:eastAsia="Times New Roman" w:hAnsi="Times"/>
          <w:noProof/>
        </w:rPr>
        <w:t xml:space="preserve"> 2018 [cited 2018 Jul 9]. Available from: https://www.livemint.com/Industry/I3tznDsotKp1dd3GY30q8I/Expert-committee-set-up-to-review-344-banned-FDC-drugs.html</w:t>
      </w:r>
    </w:p>
    <w:p w14:paraId="25159800" w14:textId="77777777" w:rsidR="00C0333F" w:rsidRPr="00DE6E2E" w:rsidRDefault="00C0333F" w:rsidP="00D417CB">
      <w:pPr>
        <w:widowControl w:val="0"/>
        <w:autoSpaceDE w:val="0"/>
        <w:autoSpaceDN w:val="0"/>
        <w:adjustRightInd w:val="0"/>
        <w:ind w:left="640" w:hanging="640"/>
        <w:rPr>
          <w:rFonts w:ascii="Times" w:eastAsia="Times New Roman" w:hAnsi="Times"/>
          <w:noProof/>
        </w:rPr>
      </w:pPr>
      <w:r w:rsidRPr="00DE6E2E">
        <w:rPr>
          <w:rFonts w:ascii="Times" w:eastAsia="Times New Roman" w:hAnsi="Times"/>
          <w:noProof/>
        </w:rPr>
        <w:t xml:space="preserve">3. </w:t>
      </w:r>
      <w:r w:rsidRPr="00DE6E2E">
        <w:rPr>
          <w:rFonts w:ascii="Times" w:eastAsia="Times New Roman" w:hAnsi="Times"/>
          <w:noProof/>
        </w:rPr>
        <w:tab/>
        <w:t>Jan Swasthya Abhiyan. Public Health Must Prevail Over Corporate Profits [Internet]. 2016 [cited 2018 Jul 9]. Available from: http://phmindia.org/wp-content/uploads/2016/03/JSA-FDCs-Press-Release.pdf</w:t>
      </w:r>
    </w:p>
    <w:p w14:paraId="4874F7C4" w14:textId="77777777" w:rsidR="00C0333F" w:rsidRPr="00DE6E2E" w:rsidRDefault="00C0333F" w:rsidP="00D417CB">
      <w:pPr>
        <w:widowControl w:val="0"/>
        <w:autoSpaceDE w:val="0"/>
        <w:autoSpaceDN w:val="0"/>
        <w:adjustRightInd w:val="0"/>
        <w:ind w:left="640" w:hanging="640"/>
        <w:rPr>
          <w:rFonts w:ascii="Times" w:eastAsia="Times New Roman" w:hAnsi="Times"/>
          <w:noProof/>
        </w:rPr>
      </w:pPr>
      <w:r w:rsidRPr="00DE6E2E">
        <w:rPr>
          <w:rFonts w:ascii="Times" w:eastAsia="Times New Roman" w:hAnsi="Times"/>
          <w:noProof/>
        </w:rPr>
        <w:t xml:space="preserve">4. </w:t>
      </w:r>
      <w:r w:rsidRPr="00DE6E2E">
        <w:rPr>
          <w:rFonts w:ascii="Times" w:eastAsia="Times New Roman" w:hAnsi="Times"/>
          <w:noProof/>
        </w:rPr>
        <w:tab/>
        <w:t xml:space="preserve">Gupta M, Shridhar M, Singh G, Khadem A. Regulatory systems in India. </w:t>
      </w:r>
      <w:r w:rsidRPr="00DE6E2E">
        <w:rPr>
          <w:rFonts w:ascii="Times" w:eastAsia="Times New Roman" w:hAnsi="Times"/>
          <w:i/>
          <w:iCs/>
          <w:noProof/>
        </w:rPr>
        <w:t>WHO Drug Inf</w:t>
      </w:r>
      <w:r w:rsidRPr="00DE6E2E">
        <w:rPr>
          <w:rFonts w:ascii="Times" w:eastAsia="Times New Roman" w:hAnsi="Times"/>
          <w:noProof/>
        </w:rPr>
        <w:t xml:space="preserve"> [Internet] 2017 [cited 2018 Jul 9];31(3):387–401. Available from: http://www.who.int/medicines/publications/druginformation/issues/WHO_DI_31-3_RegSystemIndia.pdf</w:t>
      </w:r>
    </w:p>
    <w:p w14:paraId="4A51E3C8" w14:textId="77777777" w:rsidR="00C0333F" w:rsidRPr="00DE6E2E" w:rsidRDefault="00C0333F" w:rsidP="00D417CB">
      <w:pPr>
        <w:widowControl w:val="0"/>
        <w:autoSpaceDE w:val="0"/>
        <w:autoSpaceDN w:val="0"/>
        <w:adjustRightInd w:val="0"/>
        <w:ind w:left="640" w:hanging="640"/>
        <w:rPr>
          <w:rFonts w:ascii="Times" w:eastAsia="Times New Roman" w:hAnsi="Times"/>
          <w:noProof/>
        </w:rPr>
      </w:pPr>
      <w:r w:rsidRPr="00DE6E2E">
        <w:rPr>
          <w:rFonts w:ascii="Times" w:eastAsia="Times New Roman" w:hAnsi="Times"/>
          <w:noProof/>
        </w:rPr>
        <w:t xml:space="preserve">5. </w:t>
      </w:r>
      <w:r w:rsidRPr="00DE6E2E">
        <w:rPr>
          <w:rFonts w:ascii="Times" w:eastAsia="Times New Roman" w:hAnsi="Times"/>
          <w:noProof/>
        </w:rPr>
        <w:tab/>
        <w:t>World Health Organization. Critically Important Antimicrobials for Human Medicine 5th Revision 2016 [Internet]. Geneva; 2017. Available from: http://apps.who.int/iris/bitstream/handle/10665/255027/9789241512220-eng.pdf?sequence=1</w:t>
      </w:r>
    </w:p>
    <w:p w14:paraId="429C57BB" w14:textId="77777777" w:rsidR="00C0333F" w:rsidRPr="00DE6E2E" w:rsidRDefault="00C0333F" w:rsidP="00D417CB">
      <w:pPr>
        <w:widowControl w:val="0"/>
        <w:autoSpaceDE w:val="0"/>
        <w:autoSpaceDN w:val="0"/>
        <w:adjustRightInd w:val="0"/>
        <w:ind w:left="640" w:hanging="640"/>
        <w:rPr>
          <w:rFonts w:ascii="Times" w:eastAsia="Times New Roman" w:hAnsi="Times"/>
          <w:noProof/>
        </w:rPr>
      </w:pPr>
      <w:r w:rsidRPr="00DE6E2E">
        <w:rPr>
          <w:rFonts w:ascii="Times" w:eastAsia="Times New Roman" w:hAnsi="Times"/>
          <w:noProof/>
        </w:rPr>
        <w:t xml:space="preserve">6. </w:t>
      </w:r>
      <w:r w:rsidRPr="00DE6E2E">
        <w:rPr>
          <w:rFonts w:ascii="Times" w:eastAsia="Times New Roman" w:hAnsi="Times"/>
          <w:noProof/>
        </w:rPr>
        <w:tab/>
        <w:t xml:space="preserve">Why are fixed dose combinations of antibiotics generally not a good idea? [Internet]. </w:t>
      </w:r>
      <w:r w:rsidRPr="00DE6E2E">
        <w:rPr>
          <w:rFonts w:ascii="Times" w:eastAsia="Times New Roman" w:hAnsi="Times"/>
          <w:i/>
          <w:iCs/>
          <w:noProof/>
        </w:rPr>
        <w:t>ReAct</w:t>
      </w:r>
      <w:r w:rsidRPr="00DE6E2E">
        <w:rPr>
          <w:rFonts w:ascii="Times" w:eastAsia="Times New Roman" w:hAnsi="Times"/>
          <w:noProof/>
        </w:rPr>
        <w:t xml:space="preserve"> 2018 [cited 2018 Jul 9]. Available from: https://www.reactgroup.org/news-and-views/news-and-opinions/year-2018/why-are-fixed-dose-combinations-of-antibiotics-generally-not-a-good-idea/</w:t>
      </w:r>
    </w:p>
    <w:p w14:paraId="02DE863E" w14:textId="77777777" w:rsidR="00C0333F" w:rsidRPr="00DE6E2E" w:rsidRDefault="00C0333F" w:rsidP="00D417CB">
      <w:pPr>
        <w:widowControl w:val="0"/>
        <w:autoSpaceDE w:val="0"/>
        <w:autoSpaceDN w:val="0"/>
        <w:adjustRightInd w:val="0"/>
        <w:ind w:left="640" w:hanging="640"/>
        <w:rPr>
          <w:rFonts w:ascii="Times" w:eastAsia="Times New Roman" w:hAnsi="Times"/>
          <w:noProof/>
        </w:rPr>
      </w:pPr>
      <w:r w:rsidRPr="00DE6E2E">
        <w:rPr>
          <w:rFonts w:ascii="Times" w:eastAsia="Times New Roman" w:hAnsi="Times"/>
          <w:noProof/>
        </w:rPr>
        <w:t xml:space="preserve">7. </w:t>
      </w:r>
      <w:r w:rsidRPr="00DE6E2E">
        <w:rPr>
          <w:rFonts w:ascii="Times" w:eastAsia="Times New Roman" w:hAnsi="Times"/>
          <w:noProof/>
        </w:rPr>
        <w:tab/>
        <w:t>20th WHO Model List of Essential Medicines [Internet]. 2017. Available from: http://www.who.int/medicines/publications/essentialmedicines/en/</w:t>
      </w:r>
    </w:p>
    <w:p w14:paraId="2DD09BD1" w14:textId="77777777" w:rsidR="00C0333F" w:rsidRPr="00DE6E2E" w:rsidRDefault="00C0333F" w:rsidP="00D417CB">
      <w:pPr>
        <w:widowControl w:val="0"/>
        <w:autoSpaceDE w:val="0"/>
        <w:autoSpaceDN w:val="0"/>
        <w:adjustRightInd w:val="0"/>
        <w:ind w:left="640" w:hanging="640"/>
        <w:rPr>
          <w:rFonts w:ascii="Times" w:eastAsia="Times New Roman" w:hAnsi="Times"/>
          <w:noProof/>
        </w:rPr>
      </w:pPr>
      <w:r w:rsidRPr="00DE6E2E">
        <w:rPr>
          <w:rFonts w:ascii="Times" w:eastAsia="Times New Roman" w:hAnsi="Times"/>
          <w:noProof/>
        </w:rPr>
        <w:t xml:space="preserve">8. </w:t>
      </w:r>
      <w:r w:rsidRPr="00DE6E2E">
        <w:rPr>
          <w:rFonts w:ascii="Times" w:eastAsia="Times New Roman" w:hAnsi="Times"/>
          <w:noProof/>
        </w:rPr>
        <w:tab/>
        <w:t xml:space="preserve">Chakrabarti A. Prescription of fixed dose combination drugs for diarrhoea. </w:t>
      </w:r>
      <w:r w:rsidRPr="00DE6E2E">
        <w:rPr>
          <w:rFonts w:ascii="Times" w:eastAsia="Times New Roman" w:hAnsi="Times"/>
          <w:i/>
          <w:iCs/>
          <w:noProof/>
        </w:rPr>
        <w:t>Indian J Med Ethics</w:t>
      </w:r>
      <w:r w:rsidRPr="00DE6E2E">
        <w:rPr>
          <w:rFonts w:ascii="Times" w:eastAsia="Times New Roman" w:hAnsi="Times"/>
          <w:noProof/>
        </w:rPr>
        <w:t xml:space="preserve"> [Internet] 2007 [cited 2018 Jul 9];IV(4):165–7. Available from: http://ijme.in/articles/prescription-of-fixed-dose-combination-drugs-for-diarrhoea/?galley=pdf</w:t>
      </w:r>
    </w:p>
    <w:p w14:paraId="36F6699C" w14:textId="77777777" w:rsidR="00C0333F" w:rsidRPr="00DE6E2E" w:rsidRDefault="00C0333F" w:rsidP="00D417CB">
      <w:pPr>
        <w:widowControl w:val="0"/>
        <w:autoSpaceDE w:val="0"/>
        <w:autoSpaceDN w:val="0"/>
        <w:adjustRightInd w:val="0"/>
        <w:ind w:left="640" w:hanging="640"/>
        <w:rPr>
          <w:rFonts w:ascii="Times" w:eastAsia="Times New Roman" w:hAnsi="Times"/>
          <w:noProof/>
        </w:rPr>
      </w:pPr>
      <w:r w:rsidRPr="00DE6E2E">
        <w:rPr>
          <w:rFonts w:ascii="Times" w:eastAsia="Times New Roman" w:hAnsi="Times"/>
          <w:noProof/>
        </w:rPr>
        <w:t xml:space="preserve">9. </w:t>
      </w:r>
      <w:r w:rsidRPr="00DE6E2E">
        <w:rPr>
          <w:rFonts w:ascii="Times" w:eastAsia="Times New Roman" w:hAnsi="Times"/>
          <w:noProof/>
        </w:rPr>
        <w:tab/>
        <w:t xml:space="preserve">Antibiotics in Fixed Combination. </w:t>
      </w:r>
      <w:r w:rsidRPr="00DE6E2E">
        <w:rPr>
          <w:rFonts w:ascii="Times" w:eastAsia="Times New Roman" w:hAnsi="Times"/>
          <w:i/>
          <w:iCs/>
          <w:noProof/>
        </w:rPr>
        <w:t>N Engl J Med</w:t>
      </w:r>
      <w:r w:rsidRPr="00DE6E2E">
        <w:rPr>
          <w:rFonts w:ascii="Times" w:eastAsia="Times New Roman" w:hAnsi="Times"/>
          <w:noProof/>
        </w:rPr>
        <w:t xml:space="preserve"> [Internet] 1960;262(5):255–6. Available from: https://doi.org/10.1056/NEJM196002042620512</w:t>
      </w:r>
    </w:p>
    <w:p w14:paraId="263E577F" w14:textId="77777777" w:rsidR="00C0333F" w:rsidRPr="00DE6E2E" w:rsidRDefault="00C0333F" w:rsidP="00D417CB">
      <w:pPr>
        <w:widowControl w:val="0"/>
        <w:autoSpaceDE w:val="0"/>
        <w:autoSpaceDN w:val="0"/>
        <w:adjustRightInd w:val="0"/>
        <w:ind w:left="640" w:hanging="640"/>
        <w:rPr>
          <w:rFonts w:ascii="Times" w:hAnsi="Times"/>
          <w:noProof/>
        </w:rPr>
      </w:pPr>
      <w:r w:rsidRPr="00DE6E2E">
        <w:rPr>
          <w:rFonts w:ascii="Times" w:eastAsia="Times New Roman" w:hAnsi="Times"/>
          <w:noProof/>
        </w:rPr>
        <w:t xml:space="preserve">10. </w:t>
      </w:r>
      <w:r w:rsidRPr="00DE6E2E">
        <w:rPr>
          <w:rFonts w:ascii="Times" w:eastAsia="Times New Roman" w:hAnsi="Times"/>
          <w:noProof/>
        </w:rPr>
        <w:tab/>
        <w:t xml:space="preserve">McGettigan P, Roderick P, Kadam A, Pollock AM. Access, Watch, and Reserve antibiotics in India: challenges for WHO stewardship. </w:t>
      </w:r>
      <w:r w:rsidRPr="00DE6E2E">
        <w:rPr>
          <w:rFonts w:ascii="Times" w:eastAsia="Times New Roman" w:hAnsi="Times"/>
          <w:i/>
          <w:iCs/>
          <w:noProof/>
        </w:rPr>
        <w:t>Lancet Glob Heal</w:t>
      </w:r>
      <w:r w:rsidRPr="00DE6E2E">
        <w:rPr>
          <w:rFonts w:ascii="Times" w:eastAsia="Times New Roman" w:hAnsi="Times"/>
          <w:noProof/>
        </w:rPr>
        <w:t xml:space="preserve"> [Internet] Elsevier; 2017 Nov 1 [cited 2018 Jul 9];5(11):e1075–6. Available from: http://www.ncbi.nlm.nih.gov/pubmed/29025629</w:t>
      </w:r>
    </w:p>
    <w:p w14:paraId="6F63002E" w14:textId="4E3D60BD" w:rsidR="002D774B" w:rsidRPr="00DE6E2E" w:rsidRDefault="00C0333F" w:rsidP="00D417CB">
      <w:pPr>
        <w:jc w:val="both"/>
        <w:rPr>
          <w:rFonts w:ascii="Times" w:eastAsia="Times New Roman" w:hAnsi="Times"/>
          <w:b/>
        </w:rPr>
      </w:pPr>
      <w:r w:rsidRPr="00DE6E2E">
        <w:rPr>
          <w:rFonts w:ascii="Times" w:eastAsia="Times New Roman" w:hAnsi="Times"/>
          <w:b/>
        </w:rPr>
        <w:fldChar w:fldCharType="end"/>
      </w:r>
    </w:p>
    <w:p w14:paraId="7E8A9E4A" w14:textId="23B514E5" w:rsidR="00C0333F" w:rsidRPr="00DE6E2E" w:rsidRDefault="00C0333F" w:rsidP="00D417CB">
      <w:pPr>
        <w:rPr>
          <w:rFonts w:ascii="Times" w:eastAsia="Times New Roman" w:hAnsi="Times"/>
          <w:b/>
        </w:rPr>
      </w:pPr>
      <w:r w:rsidRPr="00DE6E2E">
        <w:rPr>
          <w:rFonts w:ascii="Times" w:eastAsia="Times New Roman" w:hAnsi="Times"/>
          <w:b/>
        </w:rPr>
        <w:t>Authors</w:t>
      </w:r>
    </w:p>
    <w:p w14:paraId="197A2988" w14:textId="195BFBF3" w:rsidR="00C0333F" w:rsidRPr="00DE6E2E" w:rsidRDefault="006E7E13" w:rsidP="00D417CB">
      <w:pPr>
        <w:rPr>
          <w:rFonts w:ascii="Times" w:eastAsia="Times New Roman" w:hAnsi="Times"/>
          <w:b/>
          <w:i/>
        </w:rPr>
      </w:pPr>
      <w:r w:rsidRPr="00DE6E2E">
        <w:rPr>
          <w:rFonts w:ascii="Times" w:eastAsia="Times New Roman" w:hAnsi="Times"/>
          <w:b/>
          <w:i/>
        </w:rPr>
        <w:t>Nafis Faiz</w:t>
      </w:r>
      <w:r w:rsidR="0037515B" w:rsidRPr="00DE6E2E">
        <w:rPr>
          <w:rFonts w:ascii="Times" w:eastAsia="Times New Roman" w:hAnsi="Times"/>
          <w:b/>
          <w:i/>
        </w:rPr>
        <w:t>i</w:t>
      </w:r>
      <w:r w:rsidR="00C0333F" w:rsidRPr="00DE6E2E">
        <w:rPr>
          <w:rFonts w:ascii="Times" w:eastAsia="Times New Roman" w:hAnsi="Times"/>
          <w:b/>
          <w:i/>
        </w:rPr>
        <w:t xml:space="preserve"> (nafisfaizi@gmail.com)</w:t>
      </w:r>
    </w:p>
    <w:p w14:paraId="149AFCF4" w14:textId="5F40A66C" w:rsidR="00C0333F" w:rsidRPr="00DE6E2E" w:rsidRDefault="00C0333F" w:rsidP="00D417CB">
      <w:pPr>
        <w:rPr>
          <w:rFonts w:ascii="Times" w:eastAsia="Times New Roman" w:hAnsi="Times"/>
          <w:i/>
        </w:rPr>
      </w:pPr>
      <w:r w:rsidRPr="00DE6E2E">
        <w:rPr>
          <w:rFonts w:ascii="Times" w:eastAsia="Times New Roman" w:hAnsi="Times"/>
          <w:i/>
        </w:rPr>
        <w:t xml:space="preserve">Assistant Professor of </w:t>
      </w:r>
      <w:r w:rsidR="0037515B" w:rsidRPr="00DE6E2E">
        <w:rPr>
          <w:rFonts w:ascii="Times" w:eastAsia="Times New Roman" w:hAnsi="Times"/>
          <w:i/>
        </w:rPr>
        <w:t>Community Medicine at JN Medical College, AMU, Aligarh, India</w:t>
      </w:r>
      <w:r w:rsidRPr="00DE6E2E">
        <w:rPr>
          <w:rFonts w:ascii="Times" w:eastAsia="Times New Roman" w:hAnsi="Times"/>
          <w:i/>
        </w:rPr>
        <w:t>.</w:t>
      </w:r>
    </w:p>
    <w:p w14:paraId="55F2AA44" w14:textId="6FECDA65" w:rsidR="00181D0F" w:rsidRPr="00DE6E2E" w:rsidRDefault="00C0333F" w:rsidP="00D417CB">
      <w:pPr>
        <w:rPr>
          <w:rFonts w:ascii="Times" w:eastAsia="Times New Roman" w:hAnsi="Times"/>
          <w:i/>
        </w:rPr>
      </w:pPr>
      <w:proofErr w:type="spellStart"/>
      <w:r w:rsidRPr="00DE6E2E">
        <w:rPr>
          <w:rFonts w:ascii="Times" w:eastAsia="Times New Roman" w:hAnsi="Times"/>
          <w:b/>
          <w:i/>
        </w:rPr>
        <w:t>Hazique</w:t>
      </w:r>
      <w:proofErr w:type="spellEnd"/>
      <w:r w:rsidRPr="00DE6E2E">
        <w:rPr>
          <w:rFonts w:ascii="Times" w:eastAsia="Times New Roman" w:hAnsi="Times"/>
          <w:b/>
          <w:i/>
        </w:rPr>
        <w:t xml:space="preserve"> Jameel</w:t>
      </w:r>
      <w:r w:rsidR="00181D0F" w:rsidRPr="00DE6E2E">
        <w:rPr>
          <w:rFonts w:ascii="Times" w:eastAsia="Times New Roman" w:hAnsi="Times"/>
          <w:b/>
          <w:i/>
        </w:rPr>
        <w:t xml:space="preserve"> (</w:t>
      </w:r>
      <w:hyperlink r:id="rId5" w:history="1">
        <w:r w:rsidR="00181D0F" w:rsidRPr="00DE6E2E">
          <w:rPr>
            <w:rStyle w:val="Hyperlink"/>
            <w:rFonts w:ascii="Times" w:eastAsia="Times New Roman" w:hAnsi="Times"/>
            <w:b/>
            <w:i/>
          </w:rPr>
          <w:t>haziquejameel16@gmail.com)</w:t>
        </w:r>
      </w:hyperlink>
    </w:p>
    <w:p w14:paraId="045AE053" w14:textId="7728D2E3" w:rsidR="000B13C7" w:rsidRDefault="00181D0F" w:rsidP="00D417CB">
      <w:pPr>
        <w:rPr>
          <w:rFonts w:ascii="Times" w:eastAsia="Times New Roman" w:hAnsi="Times"/>
          <w:i/>
        </w:rPr>
      </w:pPr>
      <w:r w:rsidRPr="00DE6E2E">
        <w:rPr>
          <w:rFonts w:ascii="Times" w:eastAsia="Times New Roman" w:hAnsi="Times"/>
          <w:i/>
        </w:rPr>
        <w:t>Medical student, JN Medical College, AMU, Aligarh</w:t>
      </w:r>
    </w:p>
    <w:p w14:paraId="742F4D3E" w14:textId="77777777" w:rsidR="00D417CB" w:rsidRPr="00D417CB" w:rsidRDefault="00D417CB" w:rsidP="00D417CB">
      <w:pPr>
        <w:rPr>
          <w:rFonts w:ascii="Times" w:eastAsia="Times New Roman" w:hAnsi="Times"/>
          <w:i/>
        </w:rPr>
      </w:pPr>
    </w:p>
    <w:p w14:paraId="5568B449" w14:textId="77777777" w:rsidR="00D417CB" w:rsidRDefault="000647DD" w:rsidP="00D417CB">
      <w:pPr>
        <w:pStyle w:val="NormalWeb"/>
        <w:shd w:val="clear" w:color="auto" w:fill="FFFFFF"/>
        <w:spacing w:before="0" w:beforeAutospacing="0"/>
        <w:jc w:val="both"/>
        <w:outlineLvl w:val="0"/>
        <w:rPr>
          <w:rFonts w:ascii="Times" w:hAnsi="Times"/>
          <w:color w:val="000000" w:themeColor="text1"/>
        </w:rPr>
      </w:pPr>
      <w:r w:rsidRPr="00DE6E2E">
        <w:rPr>
          <w:rFonts w:ascii="Times" w:hAnsi="Times"/>
          <w:b/>
          <w:bCs/>
          <w:color w:val="000000" w:themeColor="text1"/>
        </w:rPr>
        <w:t>Competing interests:</w:t>
      </w:r>
      <w:r w:rsidRPr="00DE6E2E">
        <w:rPr>
          <w:rFonts w:ascii="Times" w:hAnsi="Times"/>
          <w:b/>
          <w:color w:val="000000" w:themeColor="text1"/>
        </w:rPr>
        <w:t> </w:t>
      </w:r>
      <w:r w:rsidRPr="00DE6E2E">
        <w:rPr>
          <w:rFonts w:ascii="Times" w:hAnsi="Times"/>
          <w:color w:val="000000" w:themeColor="text1"/>
        </w:rPr>
        <w:t>None</w:t>
      </w:r>
      <w:r w:rsidR="00181D0F" w:rsidRPr="00DE6E2E">
        <w:rPr>
          <w:rFonts w:ascii="Times" w:hAnsi="Times"/>
          <w:color w:val="000000" w:themeColor="text1"/>
        </w:rPr>
        <w:t xml:space="preserve">. </w:t>
      </w:r>
    </w:p>
    <w:p w14:paraId="7C12FB74" w14:textId="2CD948F6" w:rsidR="00181D0F" w:rsidRPr="00D417CB" w:rsidRDefault="00181D0F" w:rsidP="00D417CB">
      <w:pPr>
        <w:pStyle w:val="NormalWeb"/>
        <w:shd w:val="clear" w:color="auto" w:fill="FFFFFF"/>
        <w:spacing w:before="0" w:beforeAutospacing="0"/>
        <w:jc w:val="both"/>
        <w:outlineLvl w:val="0"/>
        <w:rPr>
          <w:rFonts w:ascii="Times" w:hAnsi="Times"/>
          <w:color w:val="000000" w:themeColor="text1"/>
        </w:rPr>
      </w:pPr>
      <w:r w:rsidRPr="00DE6E2E">
        <w:rPr>
          <w:rFonts w:ascii="Times" w:hAnsi="Times"/>
          <w:color w:val="000000" w:themeColor="text1"/>
        </w:rPr>
        <w:t xml:space="preserve">Though </w:t>
      </w:r>
      <w:r w:rsidRPr="00DE6E2E">
        <w:rPr>
          <w:rFonts w:ascii="Times" w:eastAsia="Times New Roman" w:hAnsi="Times"/>
          <w:iCs/>
          <w:color w:val="000000" w:themeColor="text1"/>
          <w:shd w:val="clear" w:color="auto" w:fill="FFFFFF"/>
        </w:rPr>
        <w:t xml:space="preserve">this article has been specifically written for this journal, the authors would like to declare that </w:t>
      </w:r>
      <w:r w:rsidRPr="00DE6E2E">
        <w:rPr>
          <w:rFonts w:ascii="Times" w:hAnsi="Times"/>
          <w:color w:val="000000" w:themeColor="text1"/>
        </w:rPr>
        <w:t xml:space="preserve">Nafis Faizi is </w:t>
      </w:r>
      <w:r w:rsidRPr="00DE6E2E">
        <w:rPr>
          <w:rFonts w:ascii="Times" w:eastAsia="Times New Roman" w:hAnsi="Times"/>
        </w:rPr>
        <w:t xml:space="preserve">an active member of the People’s Health Movement, which is a member of Antimicrobial Resistance Coalition, and, </w:t>
      </w:r>
      <w:proofErr w:type="spellStart"/>
      <w:r w:rsidRPr="00DE6E2E">
        <w:rPr>
          <w:rFonts w:ascii="Times" w:eastAsia="Times New Roman" w:hAnsi="Times"/>
        </w:rPr>
        <w:t>Hazique</w:t>
      </w:r>
      <w:proofErr w:type="spellEnd"/>
      <w:r w:rsidRPr="00DE6E2E">
        <w:rPr>
          <w:rFonts w:ascii="Times" w:eastAsia="Times New Roman" w:hAnsi="Times"/>
        </w:rPr>
        <w:t xml:space="preserve"> Jameel is an active member of the Public Health Research and Assistance Society (</w:t>
      </w:r>
      <w:proofErr w:type="spellStart"/>
      <w:r w:rsidRPr="00DE6E2E">
        <w:rPr>
          <w:rFonts w:ascii="Times" w:eastAsia="Times New Roman" w:hAnsi="Times"/>
        </w:rPr>
        <w:t>PHRASe</w:t>
      </w:r>
      <w:proofErr w:type="spellEnd"/>
      <w:r w:rsidRPr="00DE6E2E">
        <w:rPr>
          <w:rFonts w:ascii="Times" w:eastAsia="Times New Roman" w:hAnsi="Times"/>
        </w:rPr>
        <w:t>) and is a student advocate for cleaner and rational medical prescriptions.</w:t>
      </w:r>
    </w:p>
    <w:p w14:paraId="4F6D25BC" w14:textId="5D1DB6F5" w:rsidR="008A30BE" w:rsidRPr="00DE6E2E" w:rsidRDefault="008A30BE" w:rsidP="00D417CB">
      <w:pPr>
        <w:rPr>
          <w:rFonts w:ascii="Times" w:hAnsi="Times"/>
        </w:rPr>
      </w:pPr>
    </w:p>
    <w:sectPr w:rsidR="008A30BE" w:rsidRPr="00DE6E2E" w:rsidSect="004D17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5229"/>
    <w:multiLevelType w:val="multilevel"/>
    <w:tmpl w:val="4C7E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FDC"/>
    <w:rsid w:val="000219A6"/>
    <w:rsid w:val="00045436"/>
    <w:rsid w:val="000647DD"/>
    <w:rsid w:val="000844DB"/>
    <w:rsid w:val="0009079B"/>
    <w:rsid w:val="0009392F"/>
    <w:rsid w:val="000A0B43"/>
    <w:rsid w:val="000B13C7"/>
    <w:rsid w:val="000B5F0D"/>
    <w:rsid w:val="000E20B3"/>
    <w:rsid w:val="00132886"/>
    <w:rsid w:val="00144566"/>
    <w:rsid w:val="0014777A"/>
    <w:rsid w:val="001538E7"/>
    <w:rsid w:val="0017053A"/>
    <w:rsid w:val="00181D0F"/>
    <w:rsid w:val="001D3467"/>
    <w:rsid w:val="00240395"/>
    <w:rsid w:val="00242076"/>
    <w:rsid w:val="00250281"/>
    <w:rsid w:val="0028276C"/>
    <w:rsid w:val="0028388B"/>
    <w:rsid w:val="002D49D3"/>
    <w:rsid w:val="002D774B"/>
    <w:rsid w:val="00316BF0"/>
    <w:rsid w:val="003562E9"/>
    <w:rsid w:val="0036319B"/>
    <w:rsid w:val="0037515B"/>
    <w:rsid w:val="003B6083"/>
    <w:rsid w:val="003C716C"/>
    <w:rsid w:val="003D0B22"/>
    <w:rsid w:val="003E6167"/>
    <w:rsid w:val="004073A1"/>
    <w:rsid w:val="00413CA0"/>
    <w:rsid w:val="00415CF3"/>
    <w:rsid w:val="00430286"/>
    <w:rsid w:val="004351B5"/>
    <w:rsid w:val="0044036B"/>
    <w:rsid w:val="00442BE1"/>
    <w:rsid w:val="00467224"/>
    <w:rsid w:val="00481D6B"/>
    <w:rsid w:val="004A4AD8"/>
    <w:rsid w:val="004D1707"/>
    <w:rsid w:val="004E5EC6"/>
    <w:rsid w:val="00510CAB"/>
    <w:rsid w:val="00513A19"/>
    <w:rsid w:val="00530CC8"/>
    <w:rsid w:val="00543437"/>
    <w:rsid w:val="00543F48"/>
    <w:rsid w:val="005456F6"/>
    <w:rsid w:val="00557A61"/>
    <w:rsid w:val="00572F45"/>
    <w:rsid w:val="005804C6"/>
    <w:rsid w:val="005B5853"/>
    <w:rsid w:val="005C5636"/>
    <w:rsid w:val="005D5A36"/>
    <w:rsid w:val="005D61AF"/>
    <w:rsid w:val="005E4CEE"/>
    <w:rsid w:val="005E7C63"/>
    <w:rsid w:val="006039D1"/>
    <w:rsid w:val="006540B6"/>
    <w:rsid w:val="00657652"/>
    <w:rsid w:val="006609A3"/>
    <w:rsid w:val="006A6B4C"/>
    <w:rsid w:val="006A6FF4"/>
    <w:rsid w:val="006B36A9"/>
    <w:rsid w:val="006C7AAA"/>
    <w:rsid w:val="006E0667"/>
    <w:rsid w:val="006E788C"/>
    <w:rsid w:val="006E7E13"/>
    <w:rsid w:val="006F3FDD"/>
    <w:rsid w:val="0073259A"/>
    <w:rsid w:val="00737F3B"/>
    <w:rsid w:val="007443D2"/>
    <w:rsid w:val="00754E3C"/>
    <w:rsid w:val="007671C7"/>
    <w:rsid w:val="00772846"/>
    <w:rsid w:val="00781A88"/>
    <w:rsid w:val="007A5F7E"/>
    <w:rsid w:val="007B7DBC"/>
    <w:rsid w:val="007C28FA"/>
    <w:rsid w:val="007F6947"/>
    <w:rsid w:val="0081673D"/>
    <w:rsid w:val="00816F30"/>
    <w:rsid w:val="00830E6C"/>
    <w:rsid w:val="008474C1"/>
    <w:rsid w:val="008965BB"/>
    <w:rsid w:val="008A10AC"/>
    <w:rsid w:val="008A30BE"/>
    <w:rsid w:val="008B3ACA"/>
    <w:rsid w:val="008D119F"/>
    <w:rsid w:val="008D5F09"/>
    <w:rsid w:val="008F7301"/>
    <w:rsid w:val="00933CE2"/>
    <w:rsid w:val="00935E79"/>
    <w:rsid w:val="00982725"/>
    <w:rsid w:val="009963FB"/>
    <w:rsid w:val="009A4DFB"/>
    <w:rsid w:val="009A6BF1"/>
    <w:rsid w:val="009B413A"/>
    <w:rsid w:val="009B531D"/>
    <w:rsid w:val="009E7DAB"/>
    <w:rsid w:val="00A00E48"/>
    <w:rsid w:val="00A133C4"/>
    <w:rsid w:val="00A3007A"/>
    <w:rsid w:val="00A37515"/>
    <w:rsid w:val="00A47783"/>
    <w:rsid w:val="00A50F1E"/>
    <w:rsid w:val="00A93448"/>
    <w:rsid w:val="00AA6314"/>
    <w:rsid w:val="00AC395B"/>
    <w:rsid w:val="00AF2470"/>
    <w:rsid w:val="00B11B95"/>
    <w:rsid w:val="00B21695"/>
    <w:rsid w:val="00B23F09"/>
    <w:rsid w:val="00B2654C"/>
    <w:rsid w:val="00B32E5F"/>
    <w:rsid w:val="00B3547E"/>
    <w:rsid w:val="00B77214"/>
    <w:rsid w:val="00B809F5"/>
    <w:rsid w:val="00B87536"/>
    <w:rsid w:val="00BA0919"/>
    <w:rsid w:val="00BD173C"/>
    <w:rsid w:val="00BD618C"/>
    <w:rsid w:val="00BF5ACB"/>
    <w:rsid w:val="00C0333F"/>
    <w:rsid w:val="00C060A3"/>
    <w:rsid w:val="00C3609C"/>
    <w:rsid w:val="00C36B78"/>
    <w:rsid w:val="00C36C74"/>
    <w:rsid w:val="00C3770D"/>
    <w:rsid w:val="00C416CF"/>
    <w:rsid w:val="00C439CA"/>
    <w:rsid w:val="00C62B32"/>
    <w:rsid w:val="00C71410"/>
    <w:rsid w:val="00C864FC"/>
    <w:rsid w:val="00C94866"/>
    <w:rsid w:val="00CA6569"/>
    <w:rsid w:val="00CC2EFF"/>
    <w:rsid w:val="00CD6317"/>
    <w:rsid w:val="00CE2C3A"/>
    <w:rsid w:val="00CF4E8B"/>
    <w:rsid w:val="00D044B2"/>
    <w:rsid w:val="00D13C71"/>
    <w:rsid w:val="00D417CB"/>
    <w:rsid w:val="00D50543"/>
    <w:rsid w:val="00D57514"/>
    <w:rsid w:val="00D6651E"/>
    <w:rsid w:val="00D72ABC"/>
    <w:rsid w:val="00D73BEE"/>
    <w:rsid w:val="00D7777B"/>
    <w:rsid w:val="00D872A4"/>
    <w:rsid w:val="00DA5EDF"/>
    <w:rsid w:val="00DC730C"/>
    <w:rsid w:val="00DD29EF"/>
    <w:rsid w:val="00DE6E2E"/>
    <w:rsid w:val="00DF0E39"/>
    <w:rsid w:val="00E07503"/>
    <w:rsid w:val="00E711BA"/>
    <w:rsid w:val="00E93E4F"/>
    <w:rsid w:val="00E93FDC"/>
    <w:rsid w:val="00EA6B01"/>
    <w:rsid w:val="00EC72FB"/>
    <w:rsid w:val="00EF2FD0"/>
    <w:rsid w:val="00F435CB"/>
    <w:rsid w:val="00F53551"/>
    <w:rsid w:val="00F5654D"/>
    <w:rsid w:val="00FA33FC"/>
    <w:rsid w:val="00FA3440"/>
    <w:rsid w:val="00FB7D03"/>
    <w:rsid w:val="00FC2123"/>
    <w:rsid w:val="00FE19A1"/>
    <w:rsid w:val="00FE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73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079B"/>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5BB"/>
    <w:rPr>
      <w:color w:val="0563C1" w:themeColor="hyperlink"/>
      <w:u w:val="single"/>
    </w:rPr>
  </w:style>
  <w:style w:type="paragraph" w:styleId="NormalWeb">
    <w:name w:val="Normal (Web)"/>
    <w:basedOn w:val="Normal"/>
    <w:uiPriority w:val="99"/>
    <w:unhideWhenUsed/>
    <w:rsid w:val="00240395"/>
    <w:pPr>
      <w:spacing w:before="100" w:beforeAutospacing="1" w:after="100" w:afterAutospacing="1"/>
    </w:pPr>
  </w:style>
  <w:style w:type="character" w:styleId="FollowedHyperlink">
    <w:name w:val="FollowedHyperlink"/>
    <w:basedOn w:val="DefaultParagraphFont"/>
    <w:uiPriority w:val="99"/>
    <w:semiHidden/>
    <w:unhideWhenUsed/>
    <w:rsid w:val="00250281"/>
    <w:rPr>
      <w:color w:val="954F72" w:themeColor="followedHyperlink"/>
      <w:u w:val="single"/>
    </w:rPr>
  </w:style>
  <w:style w:type="paragraph" w:styleId="ListParagraph">
    <w:name w:val="List Paragraph"/>
    <w:basedOn w:val="Normal"/>
    <w:uiPriority w:val="34"/>
    <w:qFormat/>
    <w:rsid w:val="00D872A4"/>
    <w:pPr>
      <w:ind w:left="720"/>
      <w:contextualSpacing/>
    </w:pPr>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9316">
      <w:bodyDiv w:val="1"/>
      <w:marLeft w:val="0"/>
      <w:marRight w:val="0"/>
      <w:marTop w:val="0"/>
      <w:marBottom w:val="0"/>
      <w:divBdr>
        <w:top w:val="none" w:sz="0" w:space="0" w:color="auto"/>
        <w:left w:val="none" w:sz="0" w:space="0" w:color="auto"/>
        <w:bottom w:val="none" w:sz="0" w:space="0" w:color="auto"/>
        <w:right w:val="none" w:sz="0" w:space="0" w:color="auto"/>
      </w:divBdr>
    </w:div>
    <w:div w:id="79648294">
      <w:bodyDiv w:val="1"/>
      <w:marLeft w:val="0"/>
      <w:marRight w:val="0"/>
      <w:marTop w:val="0"/>
      <w:marBottom w:val="0"/>
      <w:divBdr>
        <w:top w:val="none" w:sz="0" w:space="0" w:color="auto"/>
        <w:left w:val="none" w:sz="0" w:space="0" w:color="auto"/>
        <w:bottom w:val="none" w:sz="0" w:space="0" w:color="auto"/>
        <w:right w:val="none" w:sz="0" w:space="0" w:color="auto"/>
      </w:divBdr>
    </w:div>
    <w:div w:id="140314684">
      <w:bodyDiv w:val="1"/>
      <w:marLeft w:val="0"/>
      <w:marRight w:val="0"/>
      <w:marTop w:val="0"/>
      <w:marBottom w:val="0"/>
      <w:divBdr>
        <w:top w:val="none" w:sz="0" w:space="0" w:color="auto"/>
        <w:left w:val="none" w:sz="0" w:space="0" w:color="auto"/>
        <w:bottom w:val="none" w:sz="0" w:space="0" w:color="auto"/>
        <w:right w:val="none" w:sz="0" w:space="0" w:color="auto"/>
      </w:divBdr>
    </w:div>
    <w:div w:id="416708189">
      <w:bodyDiv w:val="1"/>
      <w:marLeft w:val="0"/>
      <w:marRight w:val="0"/>
      <w:marTop w:val="0"/>
      <w:marBottom w:val="0"/>
      <w:divBdr>
        <w:top w:val="none" w:sz="0" w:space="0" w:color="auto"/>
        <w:left w:val="none" w:sz="0" w:space="0" w:color="auto"/>
        <w:bottom w:val="none" w:sz="0" w:space="0" w:color="auto"/>
        <w:right w:val="none" w:sz="0" w:space="0" w:color="auto"/>
      </w:divBdr>
    </w:div>
    <w:div w:id="1012881913">
      <w:bodyDiv w:val="1"/>
      <w:marLeft w:val="0"/>
      <w:marRight w:val="0"/>
      <w:marTop w:val="0"/>
      <w:marBottom w:val="0"/>
      <w:divBdr>
        <w:top w:val="none" w:sz="0" w:space="0" w:color="auto"/>
        <w:left w:val="none" w:sz="0" w:space="0" w:color="auto"/>
        <w:bottom w:val="none" w:sz="0" w:space="0" w:color="auto"/>
        <w:right w:val="none" w:sz="0" w:space="0" w:color="auto"/>
      </w:divBdr>
    </w:div>
    <w:div w:id="1622347029">
      <w:bodyDiv w:val="1"/>
      <w:marLeft w:val="0"/>
      <w:marRight w:val="0"/>
      <w:marTop w:val="0"/>
      <w:marBottom w:val="0"/>
      <w:divBdr>
        <w:top w:val="none" w:sz="0" w:space="0" w:color="auto"/>
        <w:left w:val="none" w:sz="0" w:space="0" w:color="auto"/>
        <w:bottom w:val="none" w:sz="0" w:space="0" w:color="auto"/>
        <w:right w:val="none" w:sz="0" w:space="0" w:color="auto"/>
      </w:divBdr>
    </w:div>
    <w:div w:id="1657415284">
      <w:bodyDiv w:val="1"/>
      <w:marLeft w:val="0"/>
      <w:marRight w:val="0"/>
      <w:marTop w:val="0"/>
      <w:marBottom w:val="0"/>
      <w:divBdr>
        <w:top w:val="none" w:sz="0" w:space="0" w:color="auto"/>
        <w:left w:val="none" w:sz="0" w:space="0" w:color="auto"/>
        <w:bottom w:val="none" w:sz="0" w:space="0" w:color="auto"/>
        <w:right w:val="none" w:sz="0" w:space="0" w:color="auto"/>
      </w:divBdr>
    </w:div>
    <w:div w:id="1786583409">
      <w:bodyDiv w:val="1"/>
      <w:marLeft w:val="0"/>
      <w:marRight w:val="0"/>
      <w:marTop w:val="0"/>
      <w:marBottom w:val="0"/>
      <w:divBdr>
        <w:top w:val="none" w:sz="0" w:space="0" w:color="auto"/>
        <w:left w:val="none" w:sz="0" w:space="0" w:color="auto"/>
        <w:bottom w:val="none" w:sz="0" w:space="0" w:color="auto"/>
        <w:right w:val="none" w:sz="0" w:space="0" w:color="auto"/>
      </w:divBdr>
    </w:div>
    <w:div w:id="1830174095">
      <w:bodyDiv w:val="1"/>
      <w:marLeft w:val="0"/>
      <w:marRight w:val="0"/>
      <w:marTop w:val="0"/>
      <w:marBottom w:val="0"/>
      <w:divBdr>
        <w:top w:val="none" w:sz="0" w:space="0" w:color="auto"/>
        <w:left w:val="none" w:sz="0" w:space="0" w:color="auto"/>
        <w:bottom w:val="none" w:sz="0" w:space="0" w:color="auto"/>
        <w:right w:val="none" w:sz="0" w:space="0" w:color="auto"/>
      </w:divBdr>
    </w:div>
    <w:div w:id="2090735713">
      <w:bodyDiv w:val="1"/>
      <w:marLeft w:val="0"/>
      <w:marRight w:val="0"/>
      <w:marTop w:val="0"/>
      <w:marBottom w:val="0"/>
      <w:divBdr>
        <w:top w:val="none" w:sz="0" w:space="0" w:color="auto"/>
        <w:left w:val="none" w:sz="0" w:space="0" w:color="auto"/>
        <w:bottom w:val="none" w:sz="0" w:space="0" w:color="auto"/>
        <w:right w:val="none" w:sz="0" w:space="0" w:color="auto"/>
      </w:divBdr>
    </w:div>
    <w:div w:id="2118061530">
      <w:bodyDiv w:val="1"/>
      <w:marLeft w:val="0"/>
      <w:marRight w:val="0"/>
      <w:marTop w:val="0"/>
      <w:marBottom w:val="0"/>
      <w:divBdr>
        <w:top w:val="none" w:sz="0" w:space="0" w:color="auto"/>
        <w:left w:val="none" w:sz="0" w:space="0" w:color="auto"/>
        <w:bottom w:val="none" w:sz="0" w:space="0" w:color="auto"/>
        <w:right w:val="none" w:sz="0" w:space="0" w:color="auto"/>
      </w:divBdr>
    </w:div>
    <w:div w:id="21460012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ziquejameel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3399</Words>
  <Characters>19377</Characters>
  <Application>Microsoft Office Word</Application>
  <DocSecurity>0</DocSecurity>
  <Lines>161</Lines>
  <Paragraphs>45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Competing interests: None. </vt:lpstr>
      <vt:lpstr>Though this article has been specifically written for this journal, the authors </vt:lpstr>
    </vt:vector>
  </TitlesOfParts>
  <Company/>
  <LinksUpToDate>false</LinksUpToDate>
  <CharactersWithSpaces>22731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2</cp:revision>
  <dcterms:created xsi:type="dcterms:W3CDTF">2018-07-09T11:13:00Z</dcterms:created>
  <dcterms:modified xsi:type="dcterms:W3CDTF">2018-07-09T11:13:00Z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385534ce-c50a-32c9-b967-1848147a1722</vt:lpwstr>
  </property>
  <property fmtid="{D5CDD505-2E9C-101B-9397-08002B2CF9AE}" pid="4" name="Mendeley Citation Style_1">
    <vt:lpwstr>http://www.zotero.org/styles/drugs-of-today</vt:lpwstr>
  </property>
</Properties>
</file>