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i w:val="1"/>
          <w:color w:val="2e75b5"/>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NOVA LINCS</w:t>
      </w:r>
    </w:p>
    <w:p w:rsidR="00000000" w:rsidDel="00000000" w:rsidP="00000000" w:rsidRDefault="00000000" w:rsidRPr="00000000" w14:paraId="00000004">
      <w:pPr>
        <w:jc w:val="center"/>
        <w:rPr/>
      </w:pPr>
      <w:r w:rsidDel="00000000" w:rsidR="00000000" w:rsidRPr="00000000">
        <w:rPr>
          <w:i w:val="1"/>
          <w:rtl w:val="0"/>
        </w:rPr>
        <w:t xml:space="preserve">Call for one Initiation to Research Grant (BII) scholarship</w:t>
      </w: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3rd of february of 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call for tenders is open for one Scholarship Initiation to Research Grant within the scope of the Financiamento Plurianual da unidade I&amp;D Referência: UIDP/04516/2020 (NOVA LINCS: Financiamento PROGRAMÁTICO 2020-2023), financed by national funds through FCT/MCTES, under the following conditions:</w:t>
      </w:r>
    </w:p>
    <w:p w:rsidR="00000000" w:rsidDel="00000000" w:rsidP="00000000" w:rsidRDefault="00000000" w:rsidRPr="00000000" w14:paraId="00000008">
      <w:pPr>
        <w:spacing w:before="240" w:lineRule="auto"/>
        <w:jc w:val="both"/>
        <w:rPr/>
      </w:pPr>
      <w:r w:rsidDel="00000000" w:rsidR="00000000" w:rsidRPr="00000000">
        <w:rPr>
          <w:b w:val="1"/>
          <w:rtl w:val="0"/>
        </w:rPr>
        <w:t xml:space="preserve">Scientific area</w:t>
      </w:r>
      <w:r w:rsidDel="00000000" w:rsidR="00000000" w:rsidRPr="00000000">
        <w:rPr>
          <w:rtl w:val="0"/>
        </w:rPr>
        <w:t xml:space="preserve">: Computer Science.</w:t>
      </w:r>
    </w:p>
    <w:p w:rsidR="00000000" w:rsidDel="00000000" w:rsidP="00000000" w:rsidRDefault="00000000" w:rsidRPr="00000000" w14:paraId="00000009">
      <w:pPr>
        <w:spacing w:before="240" w:lineRule="auto"/>
        <w:jc w:val="both"/>
        <w:rPr/>
      </w:pPr>
      <w:r w:rsidDel="00000000" w:rsidR="00000000" w:rsidRPr="00000000">
        <w:rPr>
          <w:b w:val="1"/>
          <w:rtl w:val="0"/>
        </w:rPr>
        <w:t xml:space="preserve">Admission requirements</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enrolled in a degree course in Computer Engineering, or similar.</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approval of at least one programming curricular unit</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According to FCT Research Grants Regulation No. 950/2019 of December 16, 2019, article 5, - </w:t>
      </w:r>
      <w:r w:rsidDel="00000000" w:rsidR="00000000" w:rsidRPr="00000000">
        <w:rPr>
          <w:b w:val="1"/>
          <w:rtl w:val="0"/>
        </w:rPr>
        <w:t xml:space="preserve">BII</w:t>
      </w:r>
      <w:r w:rsidDel="00000000" w:rsidR="00000000" w:rsidRPr="00000000">
        <w:rPr>
          <w:rtl w:val="0"/>
        </w:rPr>
        <w:t xml:space="preserve"> (Initiation to Research Grants) cannot be awarded to those who have already benefited from research grants directly or indirectly funded by FCT, awarded under the Research Fellowship Statute.</w:t>
      </w:r>
    </w:p>
    <w:p w:rsidR="00000000" w:rsidDel="00000000" w:rsidP="00000000" w:rsidRDefault="00000000" w:rsidRPr="00000000" w14:paraId="0000000D">
      <w:pPr>
        <w:jc w:val="both"/>
        <w:rPr/>
      </w:pPr>
      <w:r w:rsidDel="00000000" w:rsidR="00000000" w:rsidRPr="00000000">
        <w:rPr>
          <w:b w:val="1"/>
          <w:rtl w:val="0"/>
        </w:rPr>
        <w:t xml:space="preserve">Work plan</w:t>
      </w:r>
      <w:r w:rsidDel="00000000" w:rsidR="00000000" w:rsidRPr="00000000">
        <w:rPr>
          <w:rtl w:val="0"/>
        </w:rPr>
        <w:t xml:space="preserve">: As part of the “Zugzwang | Logic and Artificial Intelligence" project, it is intended to implement a Python library to process ASP code files annotated with probabilities including the following functionalities:</w:t>
      </w:r>
    </w:p>
    <w:p w:rsidR="00000000" w:rsidDel="00000000" w:rsidP="00000000" w:rsidRDefault="00000000" w:rsidRPr="00000000" w14:paraId="0000000E">
      <w:pPr>
        <w:spacing w:after="0" w:lineRule="auto"/>
        <w:jc w:val="both"/>
        <w:rPr/>
      </w:pPr>
      <w:r w:rsidDel="00000000" w:rsidR="00000000" w:rsidRPr="00000000">
        <w:rPr>
          <w:rtl w:val="0"/>
        </w:rPr>
        <w:t xml:space="preserve">1. Extraction of annotations and association with relevant facts.</w:t>
      </w:r>
    </w:p>
    <w:p w:rsidR="00000000" w:rsidDel="00000000" w:rsidP="00000000" w:rsidRDefault="00000000" w:rsidRPr="00000000" w14:paraId="0000000F">
      <w:pPr>
        <w:spacing w:after="0" w:lineRule="auto"/>
        <w:jc w:val="both"/>
        <w:rPr/>
      </w:pPr>
      <w:r w:rsidDel="00000000" w:rsidR="00000000" w:rsidRPr="00000000">
        <w:rPr>
          <w:rtl w:val="0"/>
        </w:rPr>
        <w:t xml:space="preserve">2. Communication with the Potassco system to obtain the results of the underlying ASP program.</w:t>
      </w:r>
    </w:p>
    <w:p w:rsidR="00000000" w:rsidDel="00000000" w:rsidP="00000000" w:rsidRDefault="00000000" w:rsidRPr="00000000" w14:paraId="00000010">
      <w:pPr>
        <w:spacing w:after="0" w:lineRule="auto"/>
        <w:jc w:val="both"/>
        <w:rPr/>
      </w:pPr>
      <w:r w:rsidDel="00000000" w:rsidR="00000000" w:rsidRPr="00000000">
        <w:rPr>
          <w:rtl w:val="0"/>
        </w:rPr>
        <w:t xml:space="preserve">3. Probability calculations based on the stable models obtained in the previous step, on the annotations extracted in step 1, and on the theoretical results of this project.</w:t>
      </w:r>
    </w:p>
    <w:p w:rsidR="00000000" w:rsidDel="00000000" w:rsidP="00000000" w:rsidRDefault="00000000" w:rsidRPr="00000000" w14:paraId="00000011">
      <w:pPr>
        <w:jc w:val="both"/>
        <w:rPr/>
      </w:pPr>
      <w:r w:rsidDel="00000000" w:rsidR="00000000" w:rsidRPr="00000000">
        <w:rPr>
          <w:b w:val="1"/>
          <w:rtl w:val="0"/>
        </w:rPr>
        <w:t xml:space="preserve">Applicable legislation and regulations</w:t>
      </w:r>
      <w:r w:rsidDel="00000000" w:rsidR="00000000" w:rsidRPr="00000000">
        <w:rPr>
          <w:rtl w:val="0"/>
        </w:rPr>
        <w:t xml:space="preserve">: The granting of the Research Scholarship will be carried out upon the signing of a contract between the University of Évora and the scholarship holder, as set in the template </w:t>
      </w:r>
      <w:hyperlink r:id="rId7">
        <w:r w:rsidDel="00000000" w:rsidR="00000000" w:rsidRPr="00000000">
          <w:rPr>
            <w:color w:val="0563c1"/>
            <w:u w:val="single"/>
            <w:rtl w:val="0"/>
          </w:rPr>
          <w:t xml:space="preserve">https://www.fct.pt/apoios/Minuta_Contrato_Bolsa.docx</w:t>
        </w:r>
      </w:hyperlink>
      <w:r w:rsidDel="00000000" w:rsidR="00000000" w:rsidRPr="00000000">
        <w:rPr>
          <w:color w:val="0563c1"/>
          <w:u w:val="single"/>
          <w:rtl w:val="0"/>
        </w:rPr>
        <w:t xml:space="preserve"> </w:t>
      </w:r>
      <w:r w:rsidDel="00000000" w:rsidR="00000000" w:rsidRPr="00000000">
        <w:rPr>
          <w:rtl w:val="0"/>
        </w:rPr>
        <w:t xml:space="preserve">, pursuant to the Research Scholarship Statute (Law No. 40/2004 of August 18 and Decree-Law No. 123/2019 of August 28) and in accordance with the legislation and Regulation of Research Grants of the Foundation for Science and Technology, IP in force, regulation nº950/2019 of December 16, 2019: </w:t>
      </w:r>
      <w:hyperlink r:id="rId8">
        <w:r w:rsidDel="00000000" w:rsidR="00000000" w:rsidRPr="00000000">
          <w:rPr>
            <w:color w:val="0563c1"/>
            <w:u w:val="single"/>
            <w:rtl w:val="0"/>
          </w:rPr>
          <w:t xml:space="preserve">https://www.fct.pt/apoios/bolsas/regulamento.phtml.pt</w:t>
        </w:r>
      </w:hyperlink>
      <w:r w:rsidDel="00000000" w:rsidR="00000000" w:rsidRPr="00000000">
        <w:rPr>
          <w:rtl w:val="0"/>
        </w:rPr>
        <w:t xml:space="preserve">   and other applicable rules.</w:t>
      </w:r>
    </w:p>
    <w:p w:rsidR="00000000" w:rsidDel="00000000" w:rsidP="00000000" w:rsidRDefault="00000000" w:rsidRPr="00000000" w14:paraId="00000012">
      <w:pPr>
        <w:spacing w:before="240" w:lineRule="auto"/>
        <w:jc w:val="both"/>
        <w:rPr/>
      </w:pPr>
      <w:r w:rsidDel="00000000" w:rsidR="00000000" w:rsidRPr="00000000">
        <w:rPr>
          <w:b w:val="1"/>
          <w:rtl w:val="0"/>
        </w:rPr>
        <w:t xml:space="preserve">Place of work</w:t>
      </w:r>
      <w:r w:rsidDel="00000000" w:rsidR="00000000" w:rsidRPr="00000000">
        <w:rPr>
          <w:rtl w:val="0"/>
        </w:rPr>
        <w:t xml:space="preserve">: The work will be developed at NOVA LINCS center of the Universidade de Évora, under the scientific guidance of the Professor Francisco Coelho.</w:t>
      </w:r>
    </w:p>
    <w:p w:rsidR="00000000" w:rsidDel="00000000" w:rsidP="00000000" w:rsidRDefault="00000000" w:rsidRPr="00000000" w14:paraId="00000013">
      <w:pPr>
        <w:spacing w:before="240" w:lineRule="auto"/>
        <w:jc w:val="both"/>
        <w:rPr/>
      </w:pPr>
      <w:r w:rsidDel="00000000" w:rsidR="00000000" w:rsidRPr="00000000">
        <w:rPr>
          <w:b w:val="1"/>
          <w:rtl w:val="0"/>
        </w:rPr>
        <w:t xml:space="preserve">Duration of the scholarship(s):</w:t>
      </w:r>
      <w:r w:rsidDel="00000000" w:rsidR="00000000" w:rsidRPr="00000000">
        <w:rPr>
          <w:rtl w:val="0"/>
        </w:rPr>
        <w:t xml:space="preserve"> The scholarship will have a duration of three months, starting in April of 2023. The scholarship contract may be renewed up to a </w:t>
      </w:r>
      <w:r w:rsidDel="00000000" w:rsidR="00000000" w:rsidRPr="00000000">
        <w:rPr>
          <w:i w:val="1"/>
          <w:rtl w:val="0"/>
        </w:rPr>
        <w:t xml:space="preserve">maximum of 12 months or until the end of the funding project's budget allocation</w:t>
      </w:r>
      <w:r w:rsidDel="00000000" w:rsidR="00000000" w:rsidRPr="00000000">
        <w:rPr>
          <w:rtl w:val="0"/>
        </w:rPr>
        <w:t xml:space="preserve">.</w:t>
      </w:r>
    </w:p>
    <w:p w:rsidR="00000000" w:rsidDel="00000000" w:rsidP="00000000" w:rsidRDefault="00000000" w:rsidRPr="00000000" w14:paraId="00000014">
      <w:pPr>
        <w:spacing w:before="240" w:lineRule="auto"/>
        <w:jc w:val="both"/>
        <w:rPr/>
      </w:pPr>
      <w:r w:rsidDel="00000000" w:rsidR="00000000" w:rsidRPr="00000000">
        <w:rPr>
          <w:b w:val="1"/>
          <w:rtl w:val="0"/>
        </w:rPr>
        <w:t xml:space="preserve">Amount of monthly maintenance allowance</w:t>
      </w:r>
      <w:r w:rsidDel="00000000" w:rsidR="00000000" w:rsidRPr="00000000">
        <w:rPr>
          <w:rtl w:val="0"/>
        </w:rPr>
        <w:t xml:space="preserve">: The amount of the scholarship corresponds to €486,12, according to the table of scholarships awarded directly by FCT, I.P. in Portugal (http://fct.pt/apoios/bolsas/valores), payments being made monthly, by check or bank transfer.</w:t>
      </w:r>
    </w:p>
    <w:p w:rsidR="00000000" w:rsidDel="00000000" w:rsidP="00000000" w:rsidRDefault="00000000" w:rsidRPr="00000000" w14:paraId="00000015">
      <w:pPr>
        <w:spacing w:before="240" w:lineRule="auto"/>
        <w:jc w:val="both"/>
        <w:rPr/>
      </w:pPr>
      <w:r w:rsidDel="00000000" w:rsidR="00000000" w:rsidRPr="00000000">
        <w:rPr>
          <w:b w:val="1"/>
          <w:rtl w:val="0"/>
        </w:rPr>
        <w:t xml:space="preserve">Selection methods</w:t>
      </w:r>
      <w:r w:rsidDel="00000000" w:rsidR="00000000" w:rsidRPr="00000000">
        <w:rPr>
          <w:rtl w:val="0"/>
        </w:rPr>
        <w:t xml:space="preserve">: The selection methods to be used will be the following: Curriculum Evaluation and Interview, with the respective valuation of: 40% and 60%.</w:t>
      </w:r>
    </w:p>
    <w:p w:rsidR="00000000" w:rsidDel="00000000" w:rsidP="00000000" w:rsidRDefault="00000000" w:rsidRPr="00000000" w14:paraId="00000016">
      <w:pPr>
        <w:spacing w:before="240" w:lineRule="auto"/>
        <w:jc w:val="both"/>
        <w:rPr/>
      </w:pPr>
      <w:r w:rsidDel="00000000" w:rsidR="00000000" w:rsidRPr="00000000">
        <w:rPr>
          <w:b w:val="1"/>
          <w:rtl w:val="0"/>
        </w:rPr>
        <w:t xml:space="preserve">Composition of the Selection Jury</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Chair: Prof. Doutor Salvador Luís de Bethencourt Pinto de Abreu</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1º Member – Prof. Doutor Francisco Manuel Gonçalves Coelho</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2º Member – Prof. Doutor Bruno Miguel Antunes Dinis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1º Suplente – Prof.ª Doutora Irene Pimenta Rodrigues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2º Suplente – Prof.ª Doutora Lígia Ferreira</w:t>
      </w:r>
    </w:p>
    <w:p w:rsidR="00000000" w:rsidDel="00000000" w:rsidP="00000000" w:rsidRDefault="00000000" w:rsidRPr="00000000" w14:paraId="0000001C">
      <w:pPr>
        <w:spacing w:before="240" w:lineRule="auto"/>
        <w:jc w:val="both"/>
        <w:rPr/>
      </w:pPr>
      <w:r w:rsidDel="00000000" w:rsidR="00000000" w:rsidRPr="00000000">
        <w:rPr>
          <w:b w:val="1"/>
          <w:rtl w:val="0"/>
        </w:rPr>
        <w:t xml:space="preserve">Advertising/notification of results:</w:t>
      </w:r>
      <w:r w:rsidDel="00000000" w:rsidR="00000000" w:rsidRPr="00000000">
        <w:rPr>
          <w:rtl w:val="0"/>
        </w:rPr>
        <w:t xml:space="preserve"> The final results of the evaluation will be publicized, through an ordered list by final grade, posted in a visible and public place of the Universidade de Évora, being the approved candidate notified through email.</w:t>
      </w:r>
    </w:p>
    <w:p w:rsidR="00000000" w:rsidDel="00000000" w:rsidP="00000000" w:rsidRDefault="00000000" w:rsidRPr="00000000" w14:paraId="0000001D">
      <w:pPr>
        <w:spacing w:before="240" w:lineRule="auto"/>
        <w:jc w:val="both"/>
        <w:rPr/>
      </w:pPr>
      <w:r w:rsidDel="00000000" w:rsidR="00000000" w:rsidRPr="00000000">
        <w:rPr>
          <w:rtl w:val="0"/>
        </w:rPr>
        <w:t xml:space="preserve">To ensure the right of prior hearing of interested parties, the Final Classification project will be announced by any written means to all interested parties.</w:t>
      </w:r>
    </w:p>
    <w:p w:rsidR="00000000" w:rsidDel="00000000" w:rsidP="00000000" w:rsidRDefault="00000000" w:rsidRPr="00000000" w14:paraId="0000001E">
      <w:pPr>
        <w:spacing w:before="240" w:lineRule="auto"/>
        <w:jc w:val="both"/>
        <w:rPr/>
      </w:pPr>
      <w:r w:rsidDel="00000000" w:rsidR="00000000" w:rsidRPr="00000000">
        <w:rPr>
          <w:rtl w:val="0"/>
        </w:rPr>
        <w:t xml:space="preserve">After communicating the provisional list of the results of the evaluation, candidates have a period of 10 working days to express their opinion in a preliminary hearing of interested parties.</w:t>
      </w:r>
    </w:p>
    <w:p w:rsidR="00000000" w:rsidDel="00000000" w:rsidP="00000000" w:rsidRDefault="00000000" w:rsidRPr="00000000" w14:paraId="0000001F">
      <w:pPr>
        <w:spacing w:before="240" w:lineRule="auto"/>
        <w:jc w:val="both"/>
        <w:rPr/>
      </w:pPr>
      <w:r w:rsidDel="00000000" w:rsidR="00000000" w:rsidRPr="00000000">
        <w:rPr>
          <w:b w:val="1"/>
          <w:rtl w:val="0"/>
        </w:rPr>
        <w:t xml:space="preserve">Application deadline and submission of applications</w:t>
      </w:r>
      <w:r w:rsidDel="00000000" w:rsidR="00000000" w:rsidRPr="00000000">
        <w:rPr>
          <w:rtl w:val="0"/>
        </w:rPr>
        <w:t xml:space="preserve">: The tender is open from 3rd to 28th february of 2023 and the results of the selection will be published by 3rd of march of 2023.</w:t>
      </w:r>
    </w:p>
    <w:p w:rsidR="00000000" w:rsidDel="00000000" w:rsidP="00000000" w:rsidRDefault="00000000" w:rsidRPr="00000000" w14:paraId="00000020">
      <w:pPr>
        <w:jc w:val="both"/>
        <w:rPr/>
      </w:pPr>
      <w:r w:rsidDel="00000000" w:rsidR="00000000" w:rsidRPr="00000000">
        <w:rPr>
          <w:rtl w:val="0"/>
        </w:rPr>
        <w:t xml:space="preserve">Applications must be formalized, obligatorily, by sending an application letter with the following documents: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Curriculum Vitae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Enrollment Certificate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Certificate of Completed Disciplines, with the respective classifications.</w:t>
      </w:r>
    </w:p>
    <w:p w:rsidR="00000000" w:rsidDel="00000000" w:rsidP="00000000" w:rsidRDefault="00000000" w:rsidRPr="00000000" w14:paraId="00000024">
      <w:pPr>
        <w:jc w:val="both"/>
        <w:rPr/>
      </w:pPr>
      <w:r w:rsidDel="00000000" w:rsidR="00000000" w:rsidRPr="00000000">
        <w:rPr>
          <w:rtl w:val="0"/>
        </w:rPr>
        <w:t xml:space="preserve">For the purposes of application, the evidence may be replaced by a declaration of honor signed by the candidate, but the failure to demonstrate that evidence, in the contracting phase, possession of the required degree on the deadline for application or the non-presentation of proof of enrollment in the study cycle or non-degree course, for scholarships with this component, imply the cancellation of the candidate's application.</w:t>
      </w:r>
    </w:p>
    <w:p w:rsidR="00000000" w:rsidDel="00000000" w:rsidP="00000000" w:rsidRDefault="00000000" w:rsidRPr="00000000" w14:paraId="00000025">
      <w:pPr>
        <w:spacing w:before="240" w:lineRule="auto"/>
        <w:jc w:val="both"/>
        <w:rPr/>
      </w:pPr>
      <w:r w:rsidDel="00000000" w:rsidR="00000000" w:rsidRPr="00000000">
        <w:rPr>
          <w:rtl w:val="0"/>
        </w:rPr>
        <w:t xml:space="preserve">Academic degrees obtained in foreign countries require registration by a Portuguese Institution in accordance with Decree-Law no. 66/2018, of August 16 and Ordinance No. 33/2019, of January 25th. </w:t>
      </w:r>
    </w:p>
    <w:p w:rsidR="00000000" w:rsidDel="00000000" w:rsidP="00000000" w:rsidRDefault="00000000" w:rsidRPr="00000000" w14:paraId="00000026">
      <w:pPr>
        <w:jc w:val="both"/>
        <w:rPr/>
      </w:pPr>
      <w:r w:rsidDel="00000000" w:rsidR="00000000" w:rsidRPr="00000000">
        <w:rPr>
          <w:rtl w:val="0"/>
        </w:rPr>
        <w:t xml:space="preserve">The presentation of the certificate is mandatory for the signing of the contract. More information can be obtained at: </w:t>
      </w:r>
      <w:hyperlink r:id="rId9">
        <w:r w:rsidDel="00000000" w:rsidR="00000000" w:rsidRPr="00000000">
          <w:rPr>
            <w:color w:val="0563c1"/>
            <w:u w:val="single"/>
            <w:rtl w:val="0"/>
          </w:rPr>
          <w:t xml:space="preserve">https://www.dges.gov.pt/pt/pagina/recognition?plid=374</w:t>
        </w:r>
      </w:hyperlink>
      <w:r w:rsidDel="00000000" w:rsidR="00000000" w:rsidRPr="00000000">
        <w:rPr>
          <w:rtl w:val="0"/>
        </w:rPr>
        <w:t xml:space="preserve">  </w:t>
      </w:r>
    </w:p>
    <w:p w:rsidR="00000000" w:rsidDel="00000000" w:rsidP="00000000" w:rsidRDefault="00000000" w:rsidRPr="00000000" w14:paraId="00000027">
      <w:pPr>
        <w:spacing w:before="240" w:lineRule="auto"/>
        <w:rPr/>
      </w:pPr>
      <w:r w:rsidDel="00000000" w:rsidR="00000000" w:rsidRPr="00000000">
        <w:rPr>
          <w:rtl w:val="0"/>
        </w:rPr>
        <w:t xml:space="preserve">Applications must be sent by email to:</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Francisco Coelho</w:t>
      </w:r>
    </w:p>
    <w:p w:rsidR="00000000" w:rsidDel="00000000" w:rsidP="00000000" w:rsidRDefault="00000000" w:rsidRPr="00000000" w14:paraId="0000002A">
      <w:pPr>
        <w:rPr/>
      </w:pPr>
      <w:r w:rsidDel="00000000" w:rsidR="00000000" w:rsidRPr="00000000">
        <w:rPr>
          <w:rtl w:val="0"/>
        </w:rPr>
        <w:t xml:space="preserve">Pólo de Évora do Nova LINCS da Universidade de Évora</w:t>
      </w:r>
    </w:p>
    <w:p w:rsidR="00000000" w:rsidDel="00000000" w:rsidP="00000000" w:rsidRDefault="00000000" w:rsidRPr="00000000" w14:paraId="0000002B">
      <w:pPr>
        <w:rPr/>
      </w:pPr>
      <w:r w:rsidDel="00000000" w:rsidR="00000000" w:rsidRPr="00000000">
        <w:rPr>
          <w:rtl w:val="0"/>
        </w:rPr>
        <w:t xml:space="preserve">e-mail: </w:t>
      </w:r>
      <w:hyperlink r:id="rId10">
        <w:r w:rsidDel="00000000" w:rsidR="00000000" w:rsidRPr="00000000">
          <w:rPr>
            <w:color w:val="0563c1"/>
            <w:u w:val="single"/>
            <w:rtl w:val="0"/>
          </w:rPr>
          <w:t xml:space="preserve">fc@uevora.pt</w:t>
        </w:r>
      </w:hyperlink>
      <w:r w:rsidDel="00000000" w:rsidR="00000000" w:rsidRPr="00000000">
        <w:rPr>
          <w:rtl w:val="0"/>
        </w:rPr>
      </w:r>
    </w:p>
    <w:p w:rsidR="00000000" w:rsidDel="00000000" w:rsidP="00000000" w:rsidRDefault="00000000" w:rsidRPr="00000000" w14:paraId="0000002C">
      <w:pPr>
        <w:rPr/>
      </w:pPr>
      <w:bookmarkStart w:colFirst="0" w:colLast="0" w:name="_heading=h.gjdgxs" w:id="0"/>
      <w:bookmarkEnd w:id="0"/>
      <w:r w:rsidDel="00000000" w:rsidR="00000000" w:rsidRPr="00000000">
        <w:rPr>
          <w:color w:val="1122cc"/>
          <w:sz w:val="27"/>
          <w:szCs w:val="27"/>
        </w:rPr>
        <w:drawing>
          <wp:inline distB="0" distT="0" distL="0" distR="0">
            <wp:extent cx="973095" cy="480060"/>
            <wp:effectExtent b="0" l="0" r="0" t="0"/>
            <wp:docPr descr="http://t0.gstatic.com/images?q=tbn:ANd9GcQcu0UEwKMqmZaKDDzWniur19_1lhmPDKTcD7Chbqmj9z0ScQ6u" id="7" name="image1.jpg"/>
            <a:graphic>
              <a:graphicData uri="http://schemas.openxmlformats.org/drawingml/2006/picture">
                <pic:pic>
                  <pic:nvPicPr>
                    <pic:cNvPr descr="http://t0.gstatic.com/images?q=tbn:ANd9GcQcu0UEwKMqmZaKDDzWniur19_1lhmPDKTcD7Chbqmj9z0ScQ6u" id="0" name="image1.jpg"/>
                    <pic:cNvPicPr preferRelativeResize="0"/>
                  </pic:nvPicPr>
                  <pic:blipFill>
                    <a:blip r:embed="rId11"/>
                    <a:srcRect b="0" l="0" r="0" t="0"/>
                    <a:stretch>
                      <a:fillRect/>
                    </a:stretch>
                  </pic:blipFill>
                  <pic:spPr>
                    <a:xfrm>
                      <a:off x="0" y="0"/>
                      <a:ext cx="973095" cy="480060"/>
                    </a:xfrm>
                    <a:prstGeom prst="rect"/>
                    <a:ln/>
                  </pic:spPr>
                </pic:pic>
              </a:graphicData>
            </a:graphic>
          </wp:inline>
        </w:drawing>
      </w:r>
      <w:r w:rsidDel="00000000" w:rsidR="00000000" w:rsidRPr="00000000">
        <w:rPr>
          <w:color w:val="000000"/>
          <w:sz w:val="15"/>
          <w:szCs w:val="15"/>
        </w:rPr>
        <w:drawing>
          <wp:inline distB="0" distT="0" distL="0" distR="0">
            <wp:extent cx="1018903" cy="342900"/>
            <wp:effectExtent b="0" l="0" r="0" t="0"/>
            <wp:docPr descr="http://www.fct.mces.pt/logotipo/imagens/FCT_Vcolor250x84.jpg" id="9" name="image2.jpg"/>
            <a:graphic>
              <a:graphicData uri="http://schemas.openxmlformats.org/drawingml/2006/picture">
                <pic:pic>
                  <pic:nvPicPr>
                    <pic:cNvPr descr="http://www.fct.mces.pt/logotipo/imagens/FCT_Vcolor250x84.jpg" id="0" name="image2.jpg"/>
                    <pic:cNvPicPr preferRelativeResize="0"/>
                  </pic:nvPicPr>
                  <pic:blipFill>
                    <a:blip r:embed="rId12"/>
                    <a:srcRect b="0" l="0" r="0" t="0"/>
                    <a:stretch>
                      <a:fillRect/>
                    </a:stretch>
                  </pic:blipFill>
                  <pic:spPr>
                    <a:xfrm>
                      <a:off x="0" y="0"/>
                      <a:ext cx="1018903" cy="342900"/>
                    </a:xfrm>
                    <a:prstGeom prst="rect"/>
                    <a:ln/>
                  </pic:spPr>
                </pic:pic>
              </a:graphicData>
            </a:graphic>
          </wp:inline>
        </w:drawing>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ff"/>
        <w:sz w:val="22"/>
        <w:szCs w:val="22"/>
        <w:highlight w:val="white"/>
        <w:u w:val="none"/>
        <w:vertAlign w:val="baseline"/>
      </w:rPr>
      <w:drawing>
        <wp:inline distB="0" distT="0" distL="0" distR="0">
          <wp:extent cx="1714737" cy="720000"/>
          <wp:effectExtent b="0" l="0" r="0" t="0"/>
          <wp:docPr descr="Logótipo da Universidade de Évora" id="8" name="image3.jpg"/>
          <a:graphic>
            <a:graphicData uri="http://schemas.openxmlformats.org/drawingml/2006/picture">
              <pic:pic>
                <pic:nvPicPr>
                  <pic:cNvPr descr="Logótipo da Universidade de Évora" id="0" name="image3.jpg"/>
                  <pic:cNvPicPr preferRelativeResize="0"/>
                </pic:nvPicPr>
                <pic:blipFill>
                  <a:blip r:embed="rId1"/>
                  <a:srcRect b="0" l="0" r="0" t="0"/>
                  <a:stretch>
                    <a:fillRect/>
                  </a:stretch>
                </pic:blipFill>
                <pic:spPr>
                  <a:xfrm>
                    <a:off x="0" y="0"/>
                    <a:ext cx="1714737"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arter"/>
    <w:uiPriority w:val="99"/>
    <w:unhideWhenUsed w:val="1"/>
    <w:rsid w:val="00BA0B32"/>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BA0B32"/>
  </w:style>
  <w:style w:type="paragraph" w:styleId="Rodap">
    <w:name w:val="footer"/>
    <w:basedOn w:val="Normal"/>
    <w:link w:val="RodapCarter"/>
    <w:uiPriority w:val="99"/>
    <w:unhideWhenUsed w:val="1"/>
    <w:rsid w:val="00BA0B32"/>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BA0B32"/>
  </w:style>
  <w:style w:type="character" w:styleId="Hiperligao">
    <w:name w:val="Hyperlink"/>
    <w:basedOn w:val="Tipodeletrapredefinidodopargrafo"/>
    <w:uiPriority w:val="99"/>
    <w:unhideWhenUsed w:val="1"/>
    <w:rsid w:val="00BA0B32"/>
    <w:rPr>
      <w:color w:val="0563c1" w:themeColor="hyperlink"/>
      <w:u w:val="single"/>
    </w:rPr>
  </w:style>
  <w:style w:type="paragraph" w:styleId="PargrafodaLista">
    <w:name w:val="List Paragraph"/>
    <w:basedOn w:val="Normal"/>
    <w:uiPriority w:val="34"/>
    <w:qFormat w:val="1"/>
    <w:rsid w:val="00D852B1"/>
    <w:pPr>
      <w:ind w:left="720"/>
      <w:contextualSpacing w:val="1"/>
    </w:pPr>
  </w:style>
  <w:style w:type="character" w:styleId="MenoNoResolvida">
    <w:name w:val="Unresolved Mention"/>
    <w:basedOn w:val="Tipodeletrapredefinidodopargrafo"/>
    <w:uiPriority w:val="99"/>
    <w:semiHidden w:val="1"/>
    <w:unhideWhenUsed w:val="1"/>
    <w:rsid w:val="00D852B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mailto:fc@uevora.pt" TargetMode="External"/><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ges.gov.pt/pt/pagina/recognition?plid=37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ct.pt/apoios/Minuta_Contrato_Bolsa.docx" TargetMode="External"/><Relationship Id="rId8" Type="http://schemas.openxmlformats.org/officeDocument/2006/relationships/hyperlink" Target="https://www.fct.pt/apoios/bolsas/regulamento.phtml.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qnR1+hJ4u/7xNyzCshvM/di4IQ==">AMUW2mXqw9gZxPPwUWKDzj/4xAGJ8gTWr2m0EhWDsVDNK8Ahd7eTT9bz5h5hshLmdXZavhzs2XfKbU13dTfTFlr59cYqZOwzae+OnePHNeVx/Q/Y1L0S+vZZRAMamv2rFb/4dhen04Tt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2023-02-02T17:51:00Z</dcterms:created>
  <dc:creator>SI</dc:creator>
</cp:coreProperties>
</file>