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C20" w:rsidRDefault="002A7344">
      <w:r>
        <w:t>Frances Janz</w:t>
      </w:r>
    </w:p>
    <w:p w:rsidR="002A7344" w:rsidRDefault="002A7344">
      <w:r>
        <w:t>June 2, 2016</w:t>
      </w:r>
    </w:p>
    <w:p w:rsidR="006034F4" w:rsidRDefault="002A7344" w:rsidP="006034F4">
      <w:pPr>
        <w:jc w:val="center"/>
      </w:pPr>
      <w:r>
        <w:t>Metagenome</w:t>
      </w:r>
      <w:r w:rsidR="006034F4">
        <w:t xml:space="preserve"> File Merge</w:t>
      </w:r>
      <w:r>
        <w:t xml:space="preserve"> Report</w:t>
      </w:r>
    </w:p>
    <w:p w:rsidR="002F3AC9" w:rsidRDefault="008A6DEF" w:rsidP="005412DF">
      <w:r>
        <w:t xml:space="preserve">The samples used for this study were collected from ten of NEON’s sites. Three types of samples were collected by field technicians per NEON’s data collection processes </w:t>
      </w:r>
      <w:sdt>
        <w:sdtPr>
          <w:id w:val="1938641402"/>
          <w:citation/>
        </w:sdtPr>
        <w:sdtContent>
          <w:r>
            <w:fldChar w:fldCharType="begin"/>
          </w:r>
          <w:r>
            <w:instrText xml:space="preserve"> CITATION Nat16 \l 1033 </w:instrText>
          </w:r>
          <w:r>
            <w:fldChar w:fldCharType="separate"/>
          </w:r>
          <w:r>
            <w:rPr>
              <w:noProof/>
            </w:rPr>
            <w:t>(National Ecological Observatory Network, 2016)</w:t>
          </w:r>
          <w:r>
            <w:fldChar w:fldCharType="end"/>
          </w:r>
        </w:sdtContent>
      </w:sdt>
      <w:r w:rsidR="006034F4">
        <w:rPr>
          <w:rStyle w:val="FootnoteReference"/>
        </w:rPr>
        <w:footnoteReference w:id="1"/>
      </w:r>
      <w:r>
        <w:t xml:space="preserve">: individual samples for </w:t>
      </w:r>
      <w:r w:rsidR="006034F4">
        <w:t xml:space="preserve">16S </w:t>
      </w:r>
      <w:r>
        <w:t>marker genome testing, individual samples for metagenomic</w:t>
      </w:r>
      <w:r w:rsidR="006034F4">
        <w:t xml:space="preserve"> (MG)</w:t>
      </w:r>
      <w:r>
        <w:t xml:space="preserve"> sampling, and composite</w:t>
      </w:r>
      <w:r w:rsidR="006034F4">
        <w:t xml:space="preserve"> (comp)</w:t>
      </w:r>
      <w:r>
        <w:t xml:space="preserve"> samples for</w:t>
      </w:r>
      <w:r w:rsidR="006034F4">
        <w:t xml:space="preserve"> MG</w:t>
      </w:r>
      <w:r w:rsidR="002F3AC9">
        <w:t xml:space="preserve"> testing.</w:t>
      </w:r>
    </w:p>
    <w:p w:rsidR="00D87AAF" w:rsidRDefault="00D87AAF" w:rsidP="005412DF">
      <w:r>
        <w:t>The data was collected before a standardized sample ID format was decided upon, thus much of the data was initially incomparable. To address this difficulty, I wrote two scripts in the R programming language to automate the process of correcting the sample IDs. The scrips reordered the ID</w:t>
      </w:r>
      <w:r w:rsidR="002F3AC9">
        <w:t>’</w:t>
      </w:r>
      <w:r>
        <w:t xml:space="preserve">s to comply with the current accepted standard: a four letter site code and three-digit plot number separated with an underscore, </w:t>
      </w:r>
      <w:r w:rsidR="002F3AC9">
        <w:t xml:space="preserve">an </w:t>
      </w:r>
      <w:r>
        <w:t>M or O to indicate horizon type (</w:t>
      </w:r>
      <w:r w:rsidRPr="00D87AAF">
        <w:rPr>
          <w:u w:val="single"/>
        </w:rPr>
        <w:t>M</w:t>
      </w:r>
      <w:r>
        <w:t xml:space="preserve">ineral, </w:t>
      </w:r>
      <w:r>
        <w:rPr>
          <w:u w:val="single"/>
        </w:rPr>
        <w:t>O</w:t>
      </w:r>
      <w:r>
        <w:t xml:space="preserve">rganic), </w:t>
      </w:r>
      <w:r w:rsidR="002F3AC9">
        <w:t xml:space="preserve">a </w:t>
      </w:r>
      <w:r>
        <w:t xml:space="preserve">two-digit X-coordinate within plot, </w:t>
      </w:r>
      <w:r w:rsidR="002F3AC9">
        <w:t xml:space="preserve">a </w:t>
      </w:r>
      <w:r>
        <w:t xml:space="preserve">two-digit Y-coordinate within plot, and </w:t>
      </w:r>
      <w:r w:rsidR="002F3AC9">
        <w:t xml:space="preserve">an </w:t>
      </w:r>
      <w:r>
        <w:t>eight-digit date with dashes between each piece of information</w:t>
      </w:r>
      <w:r w:rsidR="002F3AC9">
        <w:t xml:space="preserve"> </w:t>
      </w:r>
      <w:r>
        <w:t>(e.g. HARV_001</w:t>
      </w:r>
      <w:r w:rsidR="002F3AC9">
        <w:t>-M-01-01-20100101). The phrase “</w:t>
      </w:r>
      <w:proofErr w:type="spellStart"/>
      <w:r w:rsidR="002F3AC9">
        <w:t>DataMissing</w:t>
      </w:r>
      <w:proofErr w:type="spellEnd"/>
      <w:r w:rsidR="002F3AC9">
        <w:t>” was added to the end of an ID for ID’s without a date. ID’s that could not be corrected due to a substantial amount of missing information, were relabeled with an error message. This allowed all three types of data across all sites to be merged together into one file.</w:t>
      </w:r>
    </w:p>
    <w:p w:rsidR="006034F4" w:rsidRDefault="002F3AC9" w:rsidP="005412DF">
      <w:r>
        <w:t>Once the ID’s had been corrected, the second script filtered the results of the first script to find only the sample ID’s that matched based on site code, plot number, horizon, and date. This provided the sample results</w:t>
      </w:r>
      <w:r w:rsidR="006034F4">
        <w:t xml:space="preserve"> below</w:t>
      </w:r>
      <w:r>
        <w:t>.</w:t>
      </w:r>
    </w:p>
    <w:tbl>
      <w:tblPr>
        <w:tblStyle w:val="TableGrid"/>
        <w:tblW w:w="0" w:type="auto"/>
        <w:tblLook w:val="04A0" w:firstRow="1" w:lastRow="0" w:firstColumn="1" w:lastColumn="0" w:noHBand="0" w:noVBand="1"/>
      </w:tblPr>
      <w:tblGrid>
        <w:gridCol w:w="1646"/>
        <w:gridCol w:w="1941"/>
        <w:gridCol w:w="3126"/>
        <w:gridCol w:w="2501"/>
      </w:tblGrid>
      <w:tr w:rsidR="00516098" w:rsidRPr="00516098" w:rsidTr="002F3AC9">
        <w:trPr>
          <w:trHeight w:val="348"/>
        </w:trPr>
        <w:tc>
          <w:tcPr>
            <w:tcW w:w="1646" w:type="dxa"/>
            <w:noWrap/>
            <w:hideMark/>
          </w:tcPr>
          <w:p w:rsidR="00516098" w:rsidRPr="00516098" w:rsidRDefault="00516098" w:rsidP="005412DF">
            <w:pPr>
              <w:jc w:val="center"/>
              <w:rPr>
                <w:b/>
                <w:bCs/>
              </w:rPr>
            </w:pPr>
            <w:r w:rsidRPr="00516098">
              <w:rPr>
                <w:b/>
                <w:bCs/>
              </w:rPr>
              <w:t>Site</w:t>
            </w:r>
          </w:p>
        </w:tc>
        <w:tc>
          <w:tcPr>
            <w:tcW w:w="1941" w:type="dxa"/>
            <w:noWrap/>
            <w:hideMark/>
          </w:tcPr>
          <w:p w:rsidR="00516098" w:rsidRPr="00516098" w:rsidRDefault="00516098" w:rsidP="005412DF">
            <w:pPr>
              <w:jc w:val="center"/>
              <w:rPr>
                <w:b/>
                <w:bCs/>
              </w:rPr>
            </w:pPr>
            <w:r w:rsidRPr="00516098">
              <w:rPr>
                <w:b/>
                <w:bCs/>
              </w:rPr>
              <w:t>16S per Site</w:t>
            </w:r>
          </w:p>
        </w:tc>
        <w:tc>
          <w:tcPr>
            <w:tcW w:w="3126" w:type="dxa"/>
            <w:noWrap/>
            <w:hideMark/>
          </w:tcPr>
          <w:p w:rsidR="00516098" w:rsidRPr="00516098" w:rsidRDefault="00516098" w:rsidP="005412DF">
            <w:pPr>
              <w:jc w:val="center"/>
              <w:rPr>
                <w:b/>
                <w:bCs/>
              </w:rPr>
            </w:pPr>
            <w:r w:rsidRPr="00516098">
              <w:rPr>
                <w:b/>
                <w:bCs/>
              </w:rPr>
              <w:t>Comp per Site</w:t>
            </w:r>
          </w:p>
        </w:tc>
        <w:tc>
          <w:tcPr>
            <w:tcW w:w="2501" w:type="dxa"/>
            <w:noWrap/>
            <w:hideMark/>
          </w:tcPr>
          <w:p w:rsidR="00516098" w:rsidRPr="00516098" w:rsidRDefault="00516098" w:rsidP="005412DF">
            <w:pPr>
              <w:jc w:val="center"/>
              <w:rPr>
                <w:b/>
                <w:bCs/>
              </w:rPr>
            </w:pPr>
            <w:r w:rsidRPr="00516098">
              <w:rPr>
                <w:b/>
                <w:bCs/>
              </w:rPr>
              <w:t>Comp with MG</w:t>
            </w:r>
          </w:p>
        </w:tc>
      </w:tr>
      <w:tr w:rsidR="00516098" w:rsidRPr="00516098" w:rsidTr="002F3AC9">
        <w:trPr>
          <w:trHeight w:val="348"/>
        </w:trPr>
        <w:tc>
          <w:tcPr>
            <w:tcW w:w="1646" w:type="dxa"/>
            <w:noWrap/>
            <w:hideMark/>
          </w:tcPr>
          <w:p w:rsidR="00516098" w:rsidRPr="00516098" w:rsidRDefault="00516098">
            <w:r w:rsidRPr="00516098">
              <w:t>BART</w:t>
            </w:r>
          </w:p>
        </w:tc>
        <w:tc>
          <w:tcPr>
            <w:tcW w:w="1941" w:type="dxa"/>
            <w:noWrap/>
            <w:hideMark/>
          </w:tcPr>
          <w:p w:rsidR="00516098" w:rsidRPr="00516098" w:rsidRDefault="00516098" w:rsidP="005412DF">
            <w:pPr>
              <w:jc w:val="center"/>
            </w:pPr>
            <w:r w:rsidRPr="00516098">
              <w:t>3</w:t>
            </w:r>
          </w:p>
        </w:tc>
        <w:tc>
          <w:tcPr>
            <w:tcW w:w="3126" w:type="dxa"/>
            <w:noWrap/>
            <w:hideMark/>
          </w:tcPr>
          <w:p w:rsidR="00516098" w:rsidRPr="00516098" w:rsidRDefault="00516098" w:rsidP="005412DF">
            <w:pPr>
              <w:jc w:val="center"/>
            </w:pPr>
            <w:r w:rsidRPr="00516098">
              <w:t>0</w:t>
            </w:r>
          </w:p>
        </w:tc>
        <w:tc>
          <w:tcPr>
            <w:tcW w:w="2501" w:type="dxa"/>
            <w:noWrap/>
            <w:hideMark/>
          </w:tcPr>
          <w:p w:rsidR="00516098" w:rsidRPr="00516098" w:rsidRDefault="00516098" w:rsidP="005412DF">
            <w:pPr>
              <w:jc w:val="center"/>
            </w:pPr>
            <w:r w:rsidRPr="00516098">
              <w:t>0</w:t>
            </w:r>
          </w:p>
        </w:tc>
      </w:tr>
      <w:tr w:rsidR="00516098" w:rsidRPr="00516098" w:rsidTr="002F3AC9">
        <w:trPr>
          <w:trHeight w:val="348"/>
        </w:trPr>
        <w:tc>
          <w:tcPr>
            <w:tcW w:w="1646" w:type="dxa"/>
            <w:noWrap/>
            <w:hideMark/>
          </w:tcPr>
          <w:p w:rsidR="00516098" w:rsidRPr="00516098" w:rsidRDefault="00516098">
            <w:r w:rsidRPr="00516098">
              <w:t>SPER</w:t>
            </w:r>
          </w:p>
        </w:tc>
        <w:tc>
          <w:tcPr>
            <w:tcW w:w="1941" w:type="dxa"/>
            <w:noWrap/>
            <w:hideMark/>
          </w:tcPr>
          <w:p w:rsidR="00516098" w:rsidRPr="00516098" w:rsidRDefault="00516098" w:rsidP="005412DF">
            <w:pPr>
              <w:jc w:val="center"/>
            </w:pPr>
            <w:r w:rsidRPr="00516098">
              <w:t>49</w:t>
            </w:r>
          </w:p>
        </w:tc>
        <w:tc>
          <w:tcPr>
            <w:tcW w:w="3126" w:type="dxa"/>
            <w:noWrap/>
            <w:hideMark/>
          </w:tcPr>
          <w:p w:rsidR="00516098" w:rsidRPr="00516098" w:rsidRDefault="00516098" w:rsidP="005412DF">
            <w:pPr>
              <w:jc w:val="center"/>
            </w:pPr>
            <w:r w:rsidRPr="00516098">
              <w:t>17</w:t>
            </w:r>
          </w:p>
        </w:tc>
        <w:tc>
          <w:tcPr>
            <w:tcW w:w="2501" w:type="dxa"/>
            <w:noWrap/>
            <w:hideMark/>
          </w:tcPr>
          <w:p w:rsidR="00516098" w:rsidRPr="00516098" w:rsidRDefault="00516098" w:rsidP="005412DF">
            <w:pPr>
              <w:jc w:val="center"/>
            </w:pPr>
            <w:r w:rsidRPr="00516098">
              <w:t>11</w:t>
            </w:r>
          </w:p>
        </w:tc>
      </w:tr>
      <w:tr w:rsidR="00516098" w:rsidRPr="00516098" w:rsidTr="002F3AC9">
        <w:trPr>
          <w:trHeight w:val="348"/>
        </w:trPr>
        <w:tc>
          <w:tcPr>
            <w:tcW w:w="1646" w:type="dxa"/>
            <w:noWrap/>
            <w:hideMark/>
          </w:tcPr>
          <w:p w:rsidR="00516098" w:rsidRPr="00516098" w:rsidRDefault="00516098">
            <w:r w:rsidRPr="00516098">
              <w:t>DSNY</w:t>
            </w:r>
          </w:p>
        </w:tc>
        <w:tc>
          <w:tcPr>
            <w:tcW w:w="1941" w:type="dxa"/>
            <w:noWrap/>
            <w:hideMark/>
          </w:tcPr>
          <w:p w:rsidR="00516098" w:rsidRPr="00516098" w:rsidRDefault="00516098" w:rsidP="005412DF">
            <w:pPr>
              <w:jc w:val="center"/>
            </w:pPr>
            <w:r w:rsidRPr="00516098">
              <w:t>43</w:t>
            </w:r>
          </w:p>
        </w:tc>
        <w:tc>
          <w:tcPr>
            <w:tcW w:w="3126" w:type="dxa"/>
            <w:noWrap/>
            <w:hideMark/>
          </w:tcPr>
          <w:p w:rsidR="00516098" w:rsidRPr="00516098" w:rsidRDefault="00516098" w:rsidP="005412DF">
            <w:pPr>
              <w:jc w:val="center"/>
            </w:pPr>
            <w:r w:rsidRPr="00516098">
              <w:t>14</w:t>
            </w:r>
          </w:p>
        </w:tc>
        <w:tc>
          <w:tcPr>
            <w:tcW w:w="2501" w:type="dxa"/>
            <w:noWrap/>
            <w:hideMark/>
          </w:tcPr>
          <w:p w:rsidR="00516098" w:rsidRPr="00516098" w:rsidRDefault="00516098" w:rsidP="005412DF">
            <w:pPr>
              <w:jc w:val="center"/>
            </w:pPr>
            <w:r w:rsidRPr="00516098">
              <w:t>11</w:t>
            </w:r>
          </w:p>
        </w:tc>
      </w:tr>
      <w:tr w:rsidR="00516098" w:rsidRPr="00516098" w:rsidTr="002F3AC9">
        <w:trPr>
          <w:trHeight w:val="348"/>
        </w:trPr>
        <w:tc>
          <w:tcPr>
            <w:tcW w:w="1646" w:type="dxa"/>
            <w:noWrap/>
            <w:hideMark/>
          </w:tcPr>
          <w:p w:rsidR="00516098" w:rsidRPr="00516098" w:rsidRDefault="00516098">
            <w:r w:rsidRPr="00516098">
              <w:t>HARV</w:t>
            </w:r>
          </w:p>
        </w:tc>
        <w:tc>
          <w:tcPr>
            <w:tcW w:w="1941" w:type="dxa"/>
            <w:noWrap/>
            <w:hideMark/>
          </w:tcPr>
          <w:p w:rsidR="00516098" w:rsidRPr="00516098" w:rsidRDefault="00516098" w:rsidP="005412DF">
            <w:pPr>
              <w:jc w:val="center"/>
            </w:pPr>
            <w:r w:rsidRPr="00516098">
              <w:t>13</w:t>
            </w:r>
          </w:p>
        </w:tc>
        <w:tc>
          <w:tcPr>
            <w:tcW w:w="3126" w:type="dxa"/>
            <w:noWrap/>
            <w:hideMark/>
          </w:tcPr>
          <w:p w:rsidR="00516098" w:rsidRPr="00516098" w:rsidRDefault="00516098" w:rsidP="005412DF">
            <w:pPr>
              <w:jc w:val="center"/>
            </w:pPr>
            <w:r w:rsidRPr="00516098">
              <w:t>2</w:t>
            </w:r>
          </w:p>
        </w:tc>
        <w:tc>
          <w:tcPr>
            <w:tcW w:w="2501" w:type="dxa"/>
            <w:noWrap/>
            <w:hideMark/>
          </w:tcPr>
          <w:p w:rsidR="00516098" w:rsidRPr="00516098" w:rsidRDefault="00516098" w:rsidP="005412DF">
            <w:pPr>
              <w:jc w:val="center"/>
            </w:pPr>
            <w:r w:rsidRPr="00516098">
              <w:t>2</w:t>
            </w:r>
          </w:p>
        </w:tc>
      </w:tr>
      <w:tr w:rsidR="00516098" w:rsidRPr="00516098" w:rsidTr="002F3AC9">
        <w:trPr>
          <w:trHeight w:val="348"/>
        </w:trPr>
        <w:tc>
          <w:tcPr>
            <w:tcW w:w="1646" w:type="dxa"/>
            <w:noWrap/>
            <w:hideMark/>
          </w:tcPr>
          <w:p w:rsidR="00516098" w:rsidRPr="00516098" w:rsidRDefault="00516098">
            <w:r w:rsidRPr="00516098">
              <w:t>JERC</w:t>
            </w:r>
          </w:p>
        </w:tc>
        <w:tc>
          <w:tcPr>
            <w:tcW w:w="1941" w:type="dxa"/>
            <w:noWrap/>
            <w:hideMark/>
          </w:tcPr>
          <w:p w:rsidR="00516098" w:rsidRPr="00516098" w:rsidRDefault="00516098" w:rsidP="005412DF">
            <w:pPr>
              <w:jc w:val="center"/>
            </w:pPr>
            <w:r w:rsidRPr="00516098">
              <w:t>9</w:t>
            </w:r>
          </w:p>
        </w:tc>
        <w:tc>
          <w:tcPr>
            <w:tcW w:w="3126" w:type="dxa"/>
            <w:noWrap/>
            <w:hideMark/>
          </w:tcPr>
          <w:p w:rsidR="00516098" w:rsidRPr="00516098" w:rsidRDefault="00516098" w:rsidP="005412DF">
            <w:pPr>
              <w:jc w:val="center"/>
            </w:pPr>
            <w:r w:rsidRPr="00516098">
              <w:t>3</w:t>
            </w:r>
          </w:p>
        </w:tc>
        <w:tc>
          <w:tcPr>
            <w:tcW w:w="2501" w:type="dxa"/>
            <w:noWrap/>
            <w:hideMark/>
          </w:tcPr>
          <w:p w:rsidR="00516098" w:rsidRPr="00516098" w:rsidRDefault="00516098" w:rsidP="005412DF">
            <w:pPr>
              <w:jc w:val="center"/>
            </w:pPr>
            <w:r w:rsidRPr="00516098">
              <w:t>0</w:t>
            </w:r>
          </w:p>
        </w:tc>
      </w:tr>
      <w:tr w:rsidR="00516098" w:rsidRPr="00516098" w:rsidTr="002F3AC9">
        <w:trPr>
          <w:trHeight w:val="348"/>
        </w:trPr>
        <w:tc>
          <w:tcPr>
            <w:tcW w:w="1646" w:type="dxa"/>
            <w:noWrap/>
            <w:hideMark/>
          </w:tcPr>
          <w:p w:rsidR="00516098" w:rsidRPr="00516098" w:rsidRDefault="00516098">
            <w:r w:rsidRPr="00516098">
              <w:t>OSBS</w:t>
            </w:r>
          </w:p>
        </w:tc>
        <w:tc>
          <w:tcPr>
            <w:tcW w:w="1941" w:type="dxa"/>
            <w:noWrap/>
            <w:hideMark/>
          </w:tcPr>
          <w:p w:rsidR="00516098" w:rsidRPr="00516098" w:rsidRDefault="00516098" w:rsidP="005412DF">
            <w:pPr>
              <w:jc w:val="center"/>
            </w:pPr>
            <w:r w:rsidRPr="00516098">
              <w:t>39</w:t>
            </w:r>
          </w:p>
        </w:tc>
        <w:tc>
          <w:tcPr>
            <w:tcW w:w="3126" w:type="dxa"/>
            <w:noWrap/>
            <w:hideMark/>
          </w:tcPr>
          <w:p w:rsidR="00516098" w:rsidRPr="00516098" w:rsidRDefault="00516098" w:rsidP="005412DF">
            <w:pPr>
              <w:jc w:val="center"/>
            </w:pPr>
            <w:r w:rsidRPr="00516098">
              <w:t>13</w:t>
            </w:r>
          </w:p>
        </w:tc>
        <w:tc>
          <w:tcPr>
            <w:tcW w:w="2501" w:type="dxa"/>
            <w:noWrap/>
            <w:hideMark/>
          </w:tcPr>
          <w:p w:rsidR="00516098" w:rsidRPr="00516098" w:rsidRDefault="00516098" w:rsidP="005412DF">
            <w:pPr>
              <w:jc w:val="center"/>
            </w:pPr>
            <w:r w:rsidRPr="00516098">
              <w:t>7</w:t>
            </w:r>
          </w:p>
        </w:tc>
      </w:tr>
      <w:tr w:rsidR="00516098" w:rsidRPr="00516098" w:rsidTr="002F3AC9">
        <w:trPr>
          <w:trHeight w:val="348"/>
        </w:trPr>
        <w:tc>
          <w:tcPr>
            <w:tcW w:w="1646" w:type="dxa"/>
            <w:noWrap/>
            <w:hideMark/>
          </w:tcPr>
          <w:p w:rsidR="00516098" w:rsidRPr="00516098" w:rsidRDefault="00516098">
            <w:r w:rsidRPr="00516098">
              <w:t>SCBI</w:t>
            </w:r>
          </w:p>
        </w:tc>
        <w:tc>
          <w:tcPr>
            <w:tcW w:w="1941" w:type="dxa"/>
            <w:noWrap/>
            <w:hideMark/>
          </w:tcPr>
          <w:p w:rsidR="00516098" w:rsidRPr="00516098" w:rsidRDefault="00516098" w:rsidP="005412DF">
            <w:pPr>
              <w:jc w:val="center"/>
            </w:pPr>
            <w:r w:rsidRPr="00516098">
              <w:t>12</w:t>
            </w:r>
          </w:p>
        </w:tc>
        <w:tc>
          <w:tcPr>
            <w:tcW w:w="3126" w:type="dxa"/>
            <w:noWrap/>
            <w:hideMark/>
          </w:tcPr>
          <w:p w:rsidR="00516098" w:rsidRPr="00516098" w:rsidRDefault="00516098" w:rsidP="005412DF">
            <w:pPr>
              <w:jc w:val="center"/>
            </w:pPr>
            <w:r w:rsidRPr="00516098">
              <w:t>4</w:t>
            </w:r>
            <w:bookmarkStart w:id="0" w:name="_GoBack"/>
            <w:bookmarkEnd w:id="0"/>
          </w:p>
        </w:tc>
        <w:tc>
          <w:tcPr>
            <w:tcW w:w="2501" w:type="dxa"/>
            <w:noWrap/>
            <w:hideMark/>
          </w:tcPr>
          <w:p w:rsidR="00516098" w:rsidRPr="00516098" w:rsidRDefault="00516098" w:rsidP="005412DF">
            <w:pPr>
              <w:jc w:val="center"/>
            </w:pPr>
            <w:r w:rsidRPr="00516098">
              <w:t>0</w:t>
            </w:r>
          </w:p>
        </w:tc>
      </w:tr>
      <w:tr w:rsidR="00516098" w:rsidRPr="00516098" w:rsidTr="002F3AC9">
        <w:trPr>
          <w:trHeight w:val="348"/>
        </w:trPr>
        <w:tc>
          <w:tcPr>
            <w:tcW w:w="1646" w:type="dxa"/>
            <w:noWrap/>
            <w:hideMark/>
          </w:tcPr>
          <w:p w:rsidR="00516098" w:rsidRPr="00516098" w:rsidRDefault="00516098">
            <w:r w:rsidRPr="00516098">
              <w:t>STER</w:t>
            </w:r>
          </w:p>
        </w:tc>
        <w:tc>
          <w:tcPr>
            <w:tcW w:w="1941" w:type="dxa"/>
            <w:noWrap/>
            <w:hideMark/>
          </w:tcPr>
          <w:p w:rsidR="00516098" w:rsidRPr="00516098" w:rsidRDefault="00516098" w:rsidP="005412DF">
            <w:pPr>
              <w:jc w:val="center"/>
            </w:pPr>
            <w:r w:rsidRPr="00516098">
              <w:t>42</w:t>
            </w:r>
          </w:p>
        </w:tc>
        <w:tc>
          <w:tcPr>
            <w:tcW w:w="3126" w:type="dxa"/>
            <w:noWrap/>
            <w:hideMark/>
          </w:tcPr>
          <w:p w:rsidR="00516098" w:rsidRPr="00516098" w:rsidRDefault="00516098" w:rsidP="005412DF">
            <w:pPr>
              <w:jc w:val="center"/>
            </w:pPr>
            <w:r w:rsidRPr="00516098">
              <w:t>14</w:t>
            </w:r>
          </w:p>
        </w:tc>
        <w:tc>
          <w:tcPr>
            <w:tcW w:w="2501" w:type="dxa"/>
            <w:noWrap/>
            <w:hideMark/>
          </w:tcPr>
          <w:p w:rsidR="00516098" w:rsidRPr="00516098" w:rsidRDefault="00516098" w:rsidP="005412DF">
            <w:pPr>
              <w:jc w:val="center"/>
            </w:pPr>
            <w:r w:rsidRPr="00516098">
              <w:t>6</w:t>
            </w:r>
          </w:p>
        </w:tc>
      </w:tr>
      <w:tr w:rsidR="00516098" w:rsidRPr="00516098" w:rsidTr="002F3AC9">
        <w:trPr>
          <w:trHeight w:val="348"/>
        </w:trPr>
        <w:tc>
          <w:tcPr>
            <w:tcW w:w="1646" w:type="dxa"/>
            <w:noWrap/>
            <w:hideMark/>
          </w:tcPr>
          <w:p w:rsidR="00516098" w:rsidRPr="00516098" w:rsidRDefault="00516098">
            <w:r w:rsidRPr="00516098">
              <w:t>TALL</w:t>
            </w:r>
          </w:p>
        </w:tc>
        <w:tc>
          <w:tcPr>
            <w:tcW w:w="1941" w:type="dxa"/>
            <w:noWrap/>
            <w:hideMark/>
          </w:tcPr>
          <w:p w:rsidR="00516098" w:rsidRPr="00516098" w:rsidRDefault="00516098" w:rsidP="005412DF">
            <w:pPr>
              <w:jc w:val="center"/>
            </w:pPr>
            <w:r w:rsidRPr="00516098">
              <w:t>27</w:t>
            </w:r>
          </w:p>
        </w:tc>
        <w:tc>
          <w:tcPr>
            <w:tcW w:w="3126" w:type="dxa"/>
            <w:noWrap/>
            <w:hideMark/>
          </w:tcPr>
          <w:p w:rsidR="00516098" w:rsidRPr="00516098" w:rsidRDefault="00516098" w:rsidP="005412DF">
            <w:pPr>
              <w:jc w:val="center"/>
            </w:pPr>
            <w:r w:rsidRPr="00516098">
              <w:t>8</w:t>
            </w:r>
          </w:p>
        </w:tc>
        <w:tc>
          <w:tcPr>
            <w:tcW w:w="2501" w:type="dxa"/>
            <w:noWrap/>
            <w:hideMark/>
          </w:tcPr>
          <w:p w:rsidR="00516098" w:rsidRPr="00516098" w:rsidRDefault="00516098" w:rsidP="005412DF">
            <w:pPr>
              <w:jc w:val="center"/>
            </w:pPr>
            <w:r w:rsidRPr="00516098">
              <w:t>1</w:t>
            </w:r>
          </w:p>
        </w:tc>
      </w:tr>
      <w:tr w:rsidR="00516098" w:rsidRPr="00516098" w:rsidTr="002F3AC9">
        <w:trPr>
          <w:trHeight w:val="348"/>
        </w:trPr>
        <w:tc>
          <w:tcPr>
            <w:tcW w:w="1646" w:type="dxa"/>
            <w:noWrap/>
            <w:hideMark/>
          </w:tcPr>
          <w:p w:rsidR="00516098" w:rsidRPr="00516098" w:rsidRDefault="00516098">
            <w:r w:rsidRPr="00516098">
              <w:t>WOOD</w:t>
            </w:r>
          </w:p>
        </w:tc>
        <w:tc>
          <w:tcPr>
            <w:tcW w:w="1941" w:type="dxa"/>
            <w:noWrap/>
            <w:hideMark/>
          </w:tcPr>
          <w:p w:rsidR="00516098" w:rsidRPr="00516098" w:rsidRDefault="00516098" w:rsidP="005412DF">
            <w:pPr>
              <w:jc w:val="center"/>
            </w:pPr>
            <w:r w:rsidRPr="00516098">
              <w:t>27</w:t>
            </w:r>
          </w:p>
        </w:tc>
        <w:tc>
          <w:tcPr>
            <w:tcW w:w="3126" w:type="dxa"/>
            <w:noWrap/>
            <w:hideMark/>
          </w:tcPr>
          <w:p w:rsidR="00516098" w:rsidRPr="00516098" w:rsidRDefault="00516098" w:rsidP="005412DF">
            <w:pPr>
              <w:jc w:val="center"/>
            </w:pPr>
            <w:r w:rsidRPr="00516098">
              <w:t>9</w:t>
            </w:r>
          </w:p>
        </w:tc>
        <w:tc>
          <w:tcPr>
            <w:tcW w:w="2501" w:type="dxa"/>
            <w:noWrap/>
            <w:hideMark/>
          </w:tcPr>
          <w:p w:rsidR="00516098" w:rsidRPr="00516098" w:rsidRDefault="00516098" w:rsidP="005412DF">
            <w:pPr>
              <w:jc w:val="center"/>
            </w:pPr>
            <w:r w:rsidRPr="00516098">
              <w:t>0</w:t>
            </w:r>
          </w:p>
        </w:tc>
      </w:tr>
      <w:tr w:rsidR="00516098" w:rsidRPr="00516098" w:rsidTr="002F3AC9">
        <w:trPr>
          <w:trHeight w:val="348"/>
        </w:trPr>
        <w:tc>
          <w:tcPr>
            <w:tcW w:w="1646" w:type="dxa"/>
            <w:noWrap/>
            <w:hideMark/>
          </w:tcPr>
          <w:p w:rsidR="00516098" w:rsidRPr="00516098" w:rsidRDefault="00516098">
            <w:pPr>
              <w:rPr>
                <w:b/>
                <w:bCs/>
              </w:rPr>
            </w:pPr>
            <w:r w:rsidRPr="00516098">
              <w:rPr>
                <w:b/>
                <w:bCs/>
              </w:rPr>
              <w:t>Total</w:t>
            </w:r>
          </w:p>
        </w:tc>
        <w:tc>
          <w:tcPr>
            <w:tcW w:w="1941" w:type="dxa"/>
            <w:noWrap/>
            <w:hideMark/>
          </w:tcPr>
          <w:p w:rsidR="00516098" w:rsidRPr="00516098" w:rsidRDefault="00516098" w:rsidP="005412DF">
            <w:pPr>
              <w:jc w:val="center"/>
            </w:pPr>
            <w:r w:rsidRPr="00516098">
              <w:t>264</w:t>
            </w:r>
          </w:p>
        </w:tc>
        <w:tc>
          <w:tcPr>
            <w:tcW w:w="3126" w:type="dxa"/>
            <w:noWrap/>
            <w:hideMark/>
          </w:tcPr>
          <w:p w:rsidR="00516098" w:rsidRPr="00516098" w:rsidRDefault="00516098" w:rsidP="005412DF">
            <w:pPr>
              <w:jc w:val="center"/>
            </w:pPr>
            <w:r w:rsidRPr="00516098">
              <w:t>84</w:t>
            </w:r>
          </w:p>
        </w:tc>
        <w:tc>
          <w:tcPr>
            <w:tcW w:w="2501" w:type="dxa"/>
            <w:noWrap/>
            <w:hideMark/>
          </w:tcPr>
          <w:p w:rsidR="00516098" w:rsidRPr="00516098" w:rsidRDefault="00516098" w:rsidP="005412DF">
            <w:pPr>
              <w:jc w:val="center"/>
            </w:pPr>
            <w:r w:rsidRPr="00516098">
              <w:t>38</w:t>
            </w:r>
          </w:p>
        </w:tc>
      </w:tr>
    </w:tbl>
    <w:p w:rsidR="00D61162" w:rsidRDefault="00D61162" w:rsidP="006034F4"/>
    <w:sectPr w:rsidR="00D611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FFF" w:rsidRDefault="00514FFF" w:rsidP="002F3AC9">
      <w:pPr>
        <w:spacing w:after="0" w:line="240" w:lineRule="auto"/>
      </w:pPr>
      <w:r>
        <w:separator/>
      </w:r>
    </w:p>
  </w:endnote>
  <w:endnote w:type="continuationSeparator" w:id="0">
    <w:p w:rsidR="00514FFF" w:rsidRDefault="00514FFF" w:rsidP="002F3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FFF" w:rsidRDefault="00514FFF" w:rsidP="002F3AC9">
      <w:pPr>
        <w:spacing w:after="0" w:line="240" w:lineRule="auto"/>
      </w:pPr>
      <w:r>
        <w:separator/>
      </w:r>
    </w:p>
  </w:footnote>
  <w:footnote w:type="continuationSeparator" w:id="0">
    <w:p w:rsidR="00514FFF" w:rsidRDefault="00514FFF" w:rsidP="002F3AC9">
      <w:pPr>
        <w:spacing w:after="0" w:line="240" w:lineRule="auto"/>
      </w:pPr>
      <w:r>
        <w:continuationSeparator/>
      </w:r>
    </w:p>
  </w:footnote>
  <w:footnote w:id="1">
    <w:p w:rsidR="006034F4" w:rsidRPr="006034F4" w:rsidRDefault="006034F4" w:rsidP="006034F4">
      <w:pPr>
        <w:pStyle w:val="FootnoteText"/>
      </w:pPr>
      <w:r>
        <w:rPr>
          <w:rStyle w:val="FootnoteReference"/>
        </w:rPr>
        <w:footnoteRef/>
      </w:r>
      <w:r>
        <w:fldChar w:fldCharType="begin"/>
      </w:r>
      <w:r>
        <w:instrText xml:space="preserve"> BIBLIOGRAPHY  \l 1033 </w:instrText>
      </w:r>
      <w:r>
        <w:fldChar w:fldCharType="separate"/>
      </w:r>
      <w:r>
        <w:rPr>
          <w:noProof/>
        </w:rPr>
        <w:t xml:space="preserve">National Ecological Observatory Network. (2016). </w:t>
      </w:r>
      <w:r>
        <w:rPr>
          <w:i/>
          <w:iCs/>
          <w:noProof/>
        </w:rPr>
        <w:t>TOS Science Design for Terrestrial Microbial Diversity.</w:t>
      </w:r>
      <w:r>
        <w:rPr>
          <w:noProof/>
        </w:rPr>
        <w:t xml:space="preserve"> </w:t>
      </w:r>
    </w:p>
    <w:p w:rsidR="006034F4" w:rsidRDefault="006034F4" w:rsidP="006034F4">
      <w:pPr>
        <w:pStyle w:val="FootnoteText"/>
      </w:pP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66DC7"/>
    <w:multiLevelType w:val="hybridMultilevel"/>
    <w:tmpl w:val="1DBE42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344"/>
    <w:rsid w:val="00151C20"/>
    <w:rsid w:val="00287A7F"/>
    <w:rsid w:val="002A7344"/>
    <w:rsid w:val="002F3AC9"/>
    <w:rsid w:val="004D2A50"/>
    <w:rsid w:val="00514FFF"/>
    <w:rsid w:val="00516098"/>
    <w:rsid w:val="005358FB"/>
    <w:rsid w:val="005412DF"/>
    <w:rsid w:val="0058125A"/>
    <w:rsid w:val="006034F4"/>
    <w:rsid w:val="008A6DEF"/>
    <w:rsid w:val="00AF1FE4"/>
    <w:rsid w:val="00D61162"/>
    <w:rsid w:val="00D87AAF"/>
    <w:rsid w:val="00E6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B529E-17F7-406B-B39E-72B995B6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344"/>
    <w:pPr>
      <w:ind w:left="720"/>
      <w:contextualSpacing/>
    </w:pPr>
  </w:style>
  <w:style w:type="table" w:styleId="TableGrid">
    <w:name w:val="Table Grid"/>
    <w:basedOn w:val="TableNormal"/>
    <w:uiPriority w:val="39"/>
    <w:rsid w:val="00516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2F3AC9"/>
    <w:pPr>
      <w:spacing w:after="0" w:line="240" w:lineRule="auto"/>
    </w:pPr>
    <w:rPr>
      <w:sz w:val="20"/>
      <w:szCs w:val="20"/>
    </w:rPr>
  </w:style>
  <w:style w:type="character" w:customStyle="1" w:styleId="FootnoteTextChar">
    <w:name w:val="Footnote Text Char"/>
    <w:basedOn w:val="DefaultParagraphFont"/>
    <w:link w:val="FootnoteText"/>
    <w:uiPriority w:val="99"/>
    <w:rsid w:val="002F3AC9"/>
    <w:rPr>
      <w:sz w:val="20"/>
      <w:szCs w:val="20"/>
    </w:rPr>
  </w:style>
  <w:style w:type="character" w:styleId="FootnoteReference">
    <w:name w:val="footnote reference"/>
    <w:basedOn w:val="DefaultParagraphFont"/>
    <w:uiPriority w:val="99"/>
    <w:semiHidden/>
    <w:unhideWhenUsed/>
    <w:rsid w:val="002F3AC9"/>
    <w:rPr>
      <w:vertAlign w:val="superscript"/>
    </w:rPr>
  </w:style>
  <w:style w:type="paragraph" w:styleId="Bibliography">
    <w:name w:val="Bibliography"/>
    <w:basedOn w:val="Normal"/>
    <w:next w:val="Normal"/>
    <w:uiPriority w:val="37"/>
    <w:unhideWhenUsed/>
    <w:rsid w:val="00603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54643">
      <w:bodyDiv w:val="1"/>
      <w:marLeft w:val="0"/>
      <w:marRight w:val="0"/>
      <w:marTop w:val="0"/>
      <w:marBottom w:val="0"/>
      <w:divBdr>
        <w:top w:val="none" w:sz="0" w:space="0" w:color="auto"/>
        <w:left w:val="none" w:sz="0" w:space="0" w:color="auto"/>
        <w:bottom w:val="none" w:sz="0" w:space="0" w:color="auto"/>
        <w:right w:val="none" w:sz="0" w:space="0" w:color="auto"/>
      </w:divBdr>
    </w:div>
    <w:div w:id="914509959">
      <w:bodyDiv w:val="1"/>
      <w:marLeft w:val="0"/>
      <w:marRight w:val="0"/>
      <w:marTop w:val="0"/>
      <w:marBottom w:val="0"/>
      <w:divBdr>
        <w:top w:val="none" w:sz="0" w:space="0" w:color="auto"/>
        <w:left w:val="none" w:sz="0" w:space="0" w:color="auto"/>
        <w:bottom w:val="none" w:sz="0" w:space="0" w:color="auto"/>
        <w:right w:val="none" w:sz="0" w:space="0" w:color="auto"/>
      </w:divBdr>
    </w:div>
    <w:div w:id="928656542">
      <w:bodyDiv w:val="1"/>
      <w:marLeft w:val="0"/>
      <w:marRight w:val="0"/>
      <w:marTop w:val="0"/>
      <w:marBottom w:val="0"/>
      <w:divBdr>
        <w:top w:val="none" w:sz="0" w:space="0" w:color="auto"/>
        <w:left w:val="none" w:sz="0" w:space="0" w:color="auto"/>
        <w:bottom w:val="none" w:sz="0" w:space="0" w:color="auto"/>
        <w:right w:val="none" w:sz="0" w:space="0" w:color="auto"/>
      </w:divBdr>
    </w:div>
    <w:div w:id="958535593">
      <w:bodyDiv w:val="1"/>
      <w:marLeft w:val="0"/>
      <w:marRight w:val="0"/>
      <w:marTop w:val="0"/>
      <w:marBottom w:val="0"/>
      <w:divBdr>
        <w:top w:val="none" w:sz="0" w:space="0" w:color="auto"/>
        <w:left w:val="none" w:sz="0" w:space="0" w:color="auto"/>
        <w:bottom w:val="none" w:sz="0" w:space="0" w:color="auto"/>
        <w:right w:val="none" w:sz="0" w:space="0" w:color="auto"/>
      </w:divBdr>
    </w:div>
    <w:div w:id="1272932414">
      <w:bodyDiv w:val="1"/>
      <w:marLeft w:val="0"/>
      <w:marRight w:val="0"/>
      <w:marTop w:val="0"/>
      <w:marBottom w:val="0"/>
      <w:divBdr>
        <w:top w:val="none" w:sz="0" w:space="0" w:color="auto"/>
        <w:left w:val="none" w:sz="0" w:space="0" w:color="auto"/>
        <w:bottom w:val="none" w:sz="0" w:space="0" w:color="auto"/>
        <w:right w:val="none" w:sz="0" w:space="0" w:color="auto"/>
      </w:divBdr>
    </w:div>
    <w:div w:id="212160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Nat16</b:Tag>
    <b:SourceType>Report</b:SourceType>
    <b:Guid>{080BFBD6-1012-44EA-A1B5-CE45FB4F5FDF}</b:Guid>
    <b:Title>TOS Science Design for Terrestrial Microbial Diversity</b:Title>
    <b:Year>2016</b:Year>
    <b:Author>
      <b:Author>
        <b:Corporate>National Ecological Observatory Network</b:Corporate>
      </b:Author>
    </b:Author>
    <b:RefOrder>1</b:RefOrder>
  </b:Source>
</b:Sources>
</file>

<file path=customXml/itemProps1.xml><?xml version="1.0" encoding="utf-8"?>
<ds:datastoreItem xmlns:ds="http://schemas.openxmlformats.org/officeDocument/2006/customXml" ds:itemID="{1A7DA3A3-4066-4698-BF86-D1114260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NEON INC</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Janz</dc:creator>
  <cp:keywords/>
  <dc:description/>
  <cp:lastModifiedBy>Frances Janz</cp:lastModifiedBy>
  <cp:revision>1</cp:revision>
  <dcterms:created xsi:type="dcterms:W3CDTF">2016-06-02T19:14:00Z</dcterms:created>
  <dcterms:modified xsi:type="dcterms:W3CDTF">2016-06-02T22:14:00Z</dcterms:modified>
</cp:coreProperties>
</file>