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西安辰航卓越科技有限公司</w:t>
      </w:r>
    </w:p>
    <w:p>
      <w:pPr>
        <w:jc w:val="center"/>
      </w:pPr>
      <w:r>
        <w:rPr>
          <w:rFonts w:ascii="Times New Roman" w:hAnsi="Times New Roman" w:eastAsia="黑体"/>
          <w:b/>
          <w:sz w:val="52"/>
        </w:rPr>
        <w:t>绩效考核与绩效工资方案</w:t>
      </w:r>
    </w:p>
    <w:p/>
    <w:p>
      <w:pPr>
        <w:jc w:val="center"/>
      </w:pPr>
      <w:r>
        <w:rPr>
          <w:rFonts w:ascii="Times New Roman" w:hAnsi="Times New Roman" w:eastAsia="楷体"/>
          <w:b w:val="0"/>
          <w:sz w:val="32"/>
        </w:rPr>
        <w:t>（送审稿）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仿宋"/>
          <w:b w:val="0"/>
          <w:sz w:val="28"/>
        </w:rPr>
        <w:t>二〇二六年八月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第一章  总则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第一条  目的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为建立与公司发展战略相匹配的绩效薪酬体系，将员工收入与个人绩效、部门绩效、公司经营成果直接挂钩，充分调动全员积极性，实现"多劳多得、优绩优酬"，特制定本方案。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第二条  适用范围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本方案适用于公司全体正式员工（含高管层、部门负责人、员工层）。销售序列人员的佣金提成仍按《销售团队薪酬管理制度》执行，其绩效工资部分按本方案规定的销售通道衔接兑现。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试用期员工参与绩效考核，考核结果作为转正依据，试用期绩效工资按系数1.0发放。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第三条  基本原则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（一）战略导向：考核指标自上而下一层层分解，支撑公司年度经营目标；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（二）分层分类：高管层、部门负责人、员工层采用差异化固浮比与考核周期；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（三）强制与弹性结合：考核档次头部限高、尾部触发，季度校准会兜底纠偏；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（四）安全合规底线：保密、安全、质量、法律、道德实行一票否决；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（五）平稳过渡：存量切分配套六个月过渡期保护，依法履行劳动合同变更程序。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第二章  薪酬结构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第四条  工资总额结构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员工工资总额由固定工资和绩效工资两部分构成。固定工资按月发放，不考核；绩效工资与考核结果挂钩，按本方案规定的周期兑现。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第五条  固浮比标准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各层级、各序列固定工资与绩效工资比例如下：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层级/序列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固定工资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绩效工资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高管层（副总、财务总监、总经理助理）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60%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年薪制，详见第五章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部门负责人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70%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30%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产教服务中心、市场销售中心负责人可按60:40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技术/研发序列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80%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20%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项目里程碑奖另计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生产交付/检验检测序列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75%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25%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职能序列（人力/行政/战略）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85%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15%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财务序列可按80:20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销售序列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维持现行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维持现行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初级/高级销售65:35，销售负责人50:50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第六条  存量切分办法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（一）本方案采取存量切分方式：以员工现行月工资总额为基数，按第五条规定的比例拆分为固定工资与绩效工资，工资总额不因本方案实施而减少。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（二）绩效工资基数 = 现行月工资总额 × 绩效工资比例。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（三）本方案实施前，公司应与员工协商一致，签署《劳动合同变更协议》，明确新的工资结构。未经协商一致，不得单方变更。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第七条  过渡期保护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自新工资结构生效之日起六个月内，员工月度实发工资（含按考核结果结算的绩效工资）低于原月固定工资90%的，按原月固定工资的90%补足发放。过渡期届满后，按考核结果正常兑现，不再保底。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第八条  兼岗规则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高管及部门负责人兼岗的，不另设兼岗补贴，按主岗年薪/工资标准执行；其个人考核得分按主岗考核结果占70%、兼岗考核结果占30%合成。兼岗岗位由专职人员到岗接任后，按单一岗位考核。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第三章  绩效考核体系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第九条  考核指标三层框架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（一）公司级指标：影响高管层考核与公司整体绩效目标，包括营业收入、回款、年度战略里程碑（融资/资质/重大合同/适航取证等）、利润与成本控制，年初由董事长确定目标值；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（二）部门级指标：影响部门负责人考核与部门绩效池，每个部门设3~5项KPI，由部门职责直接推导，经分管高管审核、董事长批准；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（三）个人级指标：影响员工个人考核，由岗位KPI、季度关键任务、行为与价值观（含保密合规）三部分构成。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第十条  考核周期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（一）员工层、部门负责人：月度考核评分并反馈，季度汇总定档、结算兑现；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（二）高管层：季度考核（分管领域指标+董事长综合评价）决定季度绩效结算，年度考核（公司级指标）决定年度经营奖金；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（三）销售序列：佣金按回款进度随《销售团队薪酬管理制度》兑现，绩效工资部分并入季度结算。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第十一条  考核档次与绩效系数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个人季度考核结果分为五档，对应绩效系数如下：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档次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定义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绩效系数</w:t>
            </w:r>
          </w:p>
        </w:tc>
        <w:tc>
          <w:tcPr>
            <w:tcW w:type="dxa" w:w="311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分布要求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S（卓越）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显著超出目标，有突出成果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1.5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全公司≤10%，硬上限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A（优秀）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超出目标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1.2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S+A合计≤35%，硬上限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B（称职）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达成目标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1.0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默认档，不限比例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C（待改进）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部分未达成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0.6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须制定改进计划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D（不合格）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明显未达成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不强制末位，须启动改进程序</w:t>
            </w:r>
          </w:p>
        </w:tc>
      </w:tr>
    </w:tbl>
    <w:p/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档次分布实行"指导分布"：不设强制末位比例，但S档与A档实行全公司总量控制。部门人数8人及以上的参照指导分布执行；3~7人的部门S/A名额纳入全公司总量控制，部门内不强制比例；不足3人的部门并入上一级考核单元评定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第十二条  考核流程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（一）月度考核：每月结束后5个工作日内，由直接上级依据岗位KPI与关键任务完成情况评分，并向员工本人反馈；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（二）季度定档：季度末月考核后，汇总季度内各月评分形成季度考核初步结果，确定档次；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（三）季度校准会：每季度考核结束后，由人力资源部组织各部门负责人召开校准会，拉通审核全公司分布，对举证不足的S/A予以下调，对宽严明显失衡的部门予以校正；董事长行使最终审定权；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（四）结果确认：考核结果经员工本人签字确认后生效；员工拒签的，由人力资源部注明情况并报分管高管审定。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第十三条  一票否决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考核期内发生下列情形之一的，当事人当期考核直接定为D档，绩效工资为零；构成违纪的，同时按公司规章制度处理：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（一）发生保密事故或严重违反保密规定的；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（二）发生重大质量事故、安全事故负有责任的；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（三）违反法律法规或严重违反公司规章制度的；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（四）存在弄虚作假、严重失职等职业道德问题的。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第四章  绩效工资核算与发放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第十四条  部门绩效池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公司按部门考核结果核定各部门季度绩效工资总额（绩效池），部门内部按个人考核系数分配，做到"锅里有、碗里才有"。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部门绩效池 = 部门全体被考核人员绩效工资基数之和 × 部门考核系数 × 公司季度经营调节系数。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部门考核系数由部门季度考核结果确定：S档1.3、A档1.15、B档1.0、C档0.8、D档0.6。公司季度经营调节系数在0.8~1.2之间，由董事长根据季度经营情况确定并公示。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第十五条  部门内分配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个人季度应发绩效工资 = 个人绩效工资基数 × 3个月 × 个人季度绩效系数，按部门绩效池总额进行归一化校准：当部门内按系数计算的总和超出绩效池时，同比例下调；有结余时，可由部门负责人提出用于部门内即时激励，报人力资源部备案。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第十六条  预支与结算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（一）季度内前两个月，绩效工资按系数1.0预支，随当月工资发放；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（二）季度结束后，按定档结果核算季度应发绩效工资，减去已预支部分，差额在季度次月工资中多退少补；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（三）员工季度内入离职的，按实际在岗月份折算。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第十七条  销售序列衔接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销售序列人员的佣金、达标奖按《销售团队薪酬管理制度》随回款兑现；其工资结构中的绩效工资部分按本方案季度考核（以回款、合同额完成率为主要依据）随季度结算。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第十八条  即时激励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公司设立小额月度即时激励（如月度之星、项目里程碑奖），额度为每个部门每月500~2000元，由部门负责人提名、分管高管审批、人力资源部备案后随当月工资发放。即时激励不占用绩效池。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第五章  高管层年薪制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第十九条  年薪结构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高管层（副总经理、财务总监、总经理助理）实行年薪制：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年薪 = 固定年薪（60%）+ 绩效年薪（40%）。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固定年薪分12个月随工资发放，不考核。绩效年薪拆分为两部分：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（一）季度绩效部分：占绩效年薪的50%（即年薪的20%），每季度按系数1.0预支、分摊至季内三个月随工资发放，季度考核后按定档结果结算找平；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（二）年度经营奖金：占绩效年薪的50%（即年薪的20%），年度考核后一次性结算发放。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第二十条  高管考核指标与权重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（一）公司级指标（权重50%）：营业收入完成率（15%）、回款完成率（15%）、年度战略里程碑（10%）、利润/成本控制目标（10%）。单项指标完成率低于60%的该项计0分，60%~100%线性计分，超过120%的按1.2倍封顶；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（二）分管领域指标（权重30%）：每人3~4项，由董事长年初与本人一对一确认（详见附件示例）；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（三）董事长综合评价（权重20%）：战略执行、团队管理、跨部门协作、保密合规履职。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第二十一条  年度经营目标责任书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每年年初，董事长与各位高管签订《年度经营目标责任书》，明确公司级指标目标值、分管领域指标及计算口径，作为年度考核与年度经营奖金结算的依据。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第二十二条  高管一票否决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高管在考核期内发生保密事故、重大质量或安全事故、违法违规、重大职业道德问题的，当期绩效年薪全部归零，年度经营奖金归零，并启动问责程序。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第二十三条  长期激励接口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高管为公司股权/虚拟股权激励计划的优先覆盖对象。年度考核连续两年为A档及以上的高管，进入股权激励授予名单。股权激励具体方案另行规定。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第六章  考核结果应用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第二十四条  与薪酬联动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（一）季度考核结果直接决定绩效工资兑现；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（二）年度考核汇总结果作为年度调薪的依据：年度为S的优先调薪、A的正常调薪、C的原则上不调、D的不调并视情降薪。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第二十五条  与晋升联动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连续两个考核周期为S档的员工，可破格参与晋升评审；年度考核为A档及以上的，优先纳入关键岗位继任计划。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第二十六条  改进与淘汰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（一）单次考核为C档的，由直接上级辅导制定改进计划；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（二）单次考核为D档的，启动绩效改进计划（PIP），改进期一般为1~3个月；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（三）连续两个考核周期为D档，或年度内累计两次D档的，公司可依法调整岗位、降低薪酬或解除劳动合同。</w:t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第七章  配套机制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第二十七条  申诉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员工对考核结果有异议的，可在结果反馈后3个工作日内向人力资源部书面申诉；人力资源部应在5个工作日内组织复核并答复；仍有异议的，报分管高管直至董事长裁定。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第二十八条  法律文本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本方案实施配套以下法律文本，由人力资源部统一管理：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（一）《劳动合同变更协议》（工资结构变更）；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（二）《季度绩效考核确认书》；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（三）《年度经营目标责任书》（高管）；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（四）《绩效改进计划（PIP）通知书》。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第二十九条  试行与修订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（一）本方案经审议发布后，先行宣讲并签署《劳动合同变更协议》，自下一个季度首月起试运行两个季度；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（二）试运行期间，月度考核照常进行并反馈，但绩效工资按系数1.0保底发放，不打折；试运行期满经评估修订后正式运行；</w:t>
      </w:r>
    </w:p>
    <w:p>
      <w:pPr>
        <w:ind w:firstLine="480"/>
      </w:pPr>
      <w:r>
        <w:rPr>
          <w:rFonts w:ascii="Times New Roman" w:hAnsi="Times New Roman" w:eastAsia="仿宋"/>
          <w:b w:val="0"/>
          <w:sz w:val="24"/>
        </w:rPr>
        <w:t>（三）本方案由人力资源部负责解释，每年结合经营情况评估修订一次；修订涉及员工切身利益的，依法履行民主协商与公示程序。</w:t>
      </w:r>
    </w:p>
    <w:p>
      <w:r>
        <w:br w:type="page"/>
      </w:r>
    </w:p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附件一  各部门KPI指标库（初版示例）</w:t>
      </w:r>
    </w:p>
    <w:p>
      <w:r>
        <w:rPr>
          <w:rFonts w:ascii="Times New Roman" w:hAnsi="Times New Roman" w:eastAsia="仿宋"/>
          <w:b w:val="0"/>
          <w:sz w:val="24"/>
        </w:rPr>
        <w:t>各部门KPI每年初由部门负责人提出、分管高管审核、董事长批准后确定，每部门3~5项。以下为初版示例：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部门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KPI示例</w:t>
            </w:r>
          </w:p>
        </w:tc>
        <w:tc>
          <w:tcPr>
            <w:tcW w:type="dxa" w:w="19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建议权重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技术研发中心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研发项目里程碑达成率；技术文档齐套率；产品故障率；专利申报数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40/20/25/15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产品研发中心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新品定型/取证节点达成率；产品需求交付及时率；产品市场竞争力（中标率）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40/30/30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软件服务中心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软件版本交付及时率；重大缺陷数；客户响应及时率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40/30/30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生产交付中心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订单交付及时率；一次交检合格率；生产成本控制率；安全生产（事故为零）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30/30/25/15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检验检测中心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检测任务完成及时率；报告差错率；CMA/CNAS资质维护；客户满意度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35/30/20/15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市场销售中心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新签合同额；回款完成率；新客户开发数；市场信息及时率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40/30/20/10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产教服务中心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中心利润目标完成率；培训/展会项目收入；专利标准业务数；客户续约率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40/25/20/15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战略规划及发展部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战略规划落地节点；投融资项目推进；政策项目申报成功数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40/35/25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人力资源部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关键岗位招聘到岗率；绩效薪酬体系运行质量；培训计划完成率；员工流失率控制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30/30/20/20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综合行政部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行政保障满意度；资产完好率；保密审查通过（零事故）；法务纠纷控制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30/25/25/20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财务部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资金链安全（无断流）；预算执行偏差率；报表及时准确率；税务合规（零处罚）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30/25/25/20</w:t>
            </w:r>
          </w:p>
        </w:tc>
      </w:tr>
    </w:tbl>
    <w:p/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附件二  高管分管领域指标示例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高管岗位</w:t>
            </w:r>
          </w:p>
        </w:tc>
        <w:tc>
          <w:tcPr>
            <w:tcW w:type="dxa" w:w="65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分管领域指标示例（3~4项）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副总A（产品+市场）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新产品定型/取证节点达成率；新签合同额；重点客户中标率；产品市场占有率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副总B（运营+战略+人力）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生产交付及时率；质量事故率（重大为零）；关键岗位到岗率；组织能力建设节点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财务总监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资金链安全（无断流）；融资到位进度；预算执行偏差率；税务合规（零处罚）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总经理助理（行政+资产）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行政保障满意度；资产完好率；保密审查通过（零事故）；法务纠纷控制</w:t>
            </w:r>
          </w:p>
        </w:tc>
      </w:tr>
    </w:tbl>
    <w:p/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附件三  季度绩效考核表（模板）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被考核人 / 部门 / 岗位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考核周期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20  年第  季度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岗位KPI（权重 %）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指标1：____ 目标____ 实际____ 得分____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季度关键任务（权重 %）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任务1：____ 完成情况____ 得分____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行为与价值观（权重 %）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协作/合规/保密履职情况____ 得分____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一票否决事项核查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□无  □有（说明：____）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季度综合得分 / 拟定档次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校准会审定档次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□S  □A  □B  □C  □D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绩效系数 / 应发绩效工资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被考核人签字 / 日期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直接上级签字 / 日期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  <w:t>人力资源部备案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 w:eastAsia="仿宋"/>
                <w:b w:val="0"/>
                <w:sz w:val="21"/>
              </w:rPr>
            </w:r>
          </w:p>
        </w:tc>
      </w:tr>
    </w:tbl>
    <w:p/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32"/>
        </w:rPr>
        <w:t>附件四  绩效工资测算示例</w:t>
      </w:r>
    </w:p>
    <w:p>
      <w:r>
        <w:rPr>
          <w:rFonts w:ascii="Times New Roman" w:hAnsi="Times New Roman" w:eastAsia="仿宋"/>
          <w:b w:val="0"/>
          <w:sz w:val="24"/>
        </w:rPr>
        <w:t>示例：某技术研发工程师，现行月工资总额10000元，按80:20切分。</w:t>
      </w:r>
    </w:p>
    <w:p>
      <w:r>
        <w:rPr>
          <w:rFonts w:ascii="Times New Roman" w:hAnsi="Times New Roman" w:eastAsia="仿宋"/>
          <w:b w:val="0"/>
          <w:sz w:val="24"/>
        </w:rPr>
        <w:t>固定工资8000元，绩效工资基数2000元/月。</w:t>
      </w:r>
    </w:p>
    <w:p>
      <w:r>
        <w:rPr>
          <w:rFonts w:ascii="Times New Roman" w:hAnsi="Times New Roman" w:eastAsia="仿宋"/>
          <w:b w:val="0"/>
          <w:sz w:val="24"/>
        </w:rPr>
        <w:t>季度内前两个月各预支2000元；季度定档为A（系数1.2）：</w:t>
      </w:r>
    </w:p>
    <w:p>
      <w:r>
        <w:rPr>
          <w:rFonts w:ascii="Times New Roman" w:hAnsi="Times New Roman" w:eastAsia="仿宋"/>
          <w:b w:val="0"/>
          <w:sz w:val="24"/>
        </w:rPr>
        <w:t>季度应发绩效工资 = 2000 × 3 × 1.2 = 7200元；已预支4000元，季度次月补发3200元。</w:t>
      </w:r>
    </w:p>
    <w:p>
      <w:r>
        <w:rPr>
          <w:rFonts w:ascii="Times New Roman" w:hAnsi="Times New Roman" w:eastAsia="仿宋"/>
          <w:b w:val="0"/>
          <w:sz w:val="24"/>
        </w:rPr>
        <w:t>若定档为C（系数0.6）：季度应发 = 2000 × 3 × 0.6 = 3600元，已预支4000元，需在季末月工资中退回400元（过渡期内触发保底条款的，按第七条补足）。</w:t>
      </w:r>
    </w:p>
    <w:p>
      <w:r>
        <w:rPr>
          <w:rFonts w:ascii="Times New Roman" w:hAnsi="Times New Roman" w:eastAsia="仿宋"/>
          <w:b w:val="0"/>
          <w:sz w:val="24"/>
        </w:rPr>
        <w:t>若其所在部门季度考核为B（部门系数1.0），公司调节系数1.0，则部门绩效池 = 部门绩效工资基数之和 × 1.0 × 1.0，池内按个人系数归一化分配。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