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9180000" w:hRule="atLeast"/>
        </w:trPr>
        <w:tc>
          <w:tcPr>
            <w:tcW w:type="dxa" w:w="9638"/>
            <w:shd w:val="clear" w:fill="1A274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p>
            <w:pPr>
              <w:spacing w:after="1200"/>
            </w:pPr>
          </w:p>
          <w:p>
            <w:r>
              <w:rPr>
                <w:rFonts w:ascii="Calibri" w:hAnsi="Calibri"/>
                <w:b/>
                <w:color w:val="FFFFFF"/>
                <w:sz w:val="60"/>
              </w:rPr>
              <w:t>webshooks</w:t>
            </w:r>
            <w:r>
              <w:rPr>
                <w:rFonts w:ascii="Calibri" w:hAnsi="Calibri"/>
                <w:b/>
                <w:color w:val="F5821F"/>
                <w:sz w:val="60"/>
              </w:rPr>
              <w:t>.</w:t>
            </w:r>
          </w:p>
          <w:p>
            <w:pPr>
              <w:spacing w:after="1400"/>
            </w:pPr>
            <w:r>
              <w:rPr>
                <w:rFonts w:ascii="Calibri" w:hAnsi="Calibri"/>
                <w:i/>
                <w:color w:val="AAB4C8"/>
                <w:sz w:val="24"/>
              </w:rPr>
              <w:t>Desarrollo de Software · LATAM</w:t>
            </w:r>
          </w:p>
          <w:p>
            <w:pPr>
              <w:spacing w:after="160"/>
            </w:pPr>
            <w:r>
              <w:rPr>
                <w:rFonts w:ascii="Calibri" w:hAnsi="Calibri"/>
                <w:b/>
                <w:color w:val="F5B97F"/>
                <w:sz w:val="22"/>
              </w:rPr>
              <w:t>INFORME EVOLUTIVO   ·   CONFIDENCIAL</w:t>
            </w:r>
          </w:p>
          <w:p>
            <w:pPr>
              <w:spacing w:after="2800"/>
            </w:pPr>
            <w:r>
              <w:rPr>
                <w:rFonts w:ascii="Calibri" w:hAnsi="Calibri"/>
                <w:b/>
                <w:color w:val="FFFFFF"/>
                <w:sz w:val="48"/>
              </w:rPr>
              <w:t>Historia evolutiva del proyecto: de 7 empresas a una base de datos financiera</w:t>
            </w:r>
          </w:p>
          <w:p>
            <w:pPr>
              <w:spacing w:after="80"/>
            </w:pPr>
            <w:r>
              <w:rPr>
                <w:rFonts w:ascii="Calibri" w:hAnsi="Calibri"/>
                <w:color w:val="AAB4C8"/>
                <w:sz w:val="20"/>
              </w:rPr>
              <w:t xml:space="preserve">Proyecto  </w:t>
            </w:r>
            <w:r>
              <w:rPr>
                <w:rFonts w:ascii="Calibri" w:hAnsi="Calibri"/>
                <w:b/>
                <w:color w:val="FFFFFF"/>
                <w:sz w:val="20"/>
              </w:rPr>
              <w:t>Módulo de Análisis Financiero — Backoffice Catalaxia</w:t>
            </w:r>
          </w:p>
          <w:p>
            <w:pPr>
              <w:spacing w:after="80"/>
            </w:pPr>
            <w:r>
              <w:rPr>
                <w:rFonts w:ascii="Calibri" w:hAnsi="Calibri"/>
                <w:color w:val="AAB4C8"/>
                <w:sz w:val="20"/>
              </w:rPr>
              <w:t xml:space="preserve">Cliente   </w:t>
            </w:r>
            <w:r>
              <w:rPr>
                <w:rFonts w:ascii="Calibri" w:hAnsi="Calibri"/>
                <w:b/>
                <w:color w:val="FFFFFF"/>
                <w:sz w:val="20"/>
              </w:rPr>
              <w:t>Catalaxia S.A.</w:t>
            </w:r>
          </w:p>
          <w:p>
            <w:pPr>
              <w:spacing w:after="80"/>
            </w:pPr>
            <w:r>
              <w:rPr>
                <w:rFonts w:ascii="Calibri" w:hAnsi="Calibri"/>
                <w:color w:val="AAB4C8"/>
                <w:sz w:val="20"/>
              </w:rPr>
              <w:t xml:space="preserve">Fecha     </w:t>
            </w:r>
            <w:r>
              <w:rPr>
                <w:rFonts w:ascii="Calibri" w:hAnsi="Calibri"/>
                <w:b/>
                <w:color w:val="FFFFFF"/>
                <w:sz w:val="20"/>
              </w:rPr>
              <w:t>Junio 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5FF"/>
            <w:tcBorders>
              <w:top w:val="single" w:sz="10" w:color="3B82F6"/>
              <w:left w:val="single" w:sz="10" w:color="3B82F6"/>
              <w:bottom w:val="single" w:sz="10" w:color="3B82F6"/>
              <w:right w:val="single" w:sz="10" w:color="3B82F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A2744"/>
                <w:sz w:val="21"/>
              </w:rPr>
              <w:t>Para quién es esta guía:</w:t>
            </w:r>
            <w:r>
              <w:rPr>
                <w:rFonts w:ascii="Calibri" w:hAnsi="Calibri"/>
                <w:color w:val="1A2744"/>
                <w:sz w:val="21"/>
              </w:rPr>
              <w:t xml:space="preserve"> un developer full-stack que sabe programar pero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A2744"/>
                <w:sz w:val="21"/>
              </w:rPr>
              <w:t>no sabe nada de finanzas</w:t>
            </w:r>
            <w:r>
              <w:rPr>
                <w:rFonts w:ascii="Calibri" w:hAnsi="Calibri"/>
                <w:color w:val="1A2744"/>
                <w:sz w:val="21"/>
              </w:rPr>
              <w:t>, y que se suma al proyecto ahora. El objetivo no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es que aprendas SEC EDGAR de cero (para eso ya existe</w:t>
            </w:r>
          </w:p>
          <w:p>
            <w:pPr>
              <w:spacing w:after="40"/>
            </w:pPr>
            <w:r>
              <w:rPr>
                <w:rFonts w:ascii="Calibri" w:hAnsi="Calibri"/>
                <w:color w:val="3B82F6"/>
                <w:sz w:val="21"/>
                <w:u w:val="single"/>
              </w:rPr>
              <w:t>`GUIA_SEC_EDGAR_PARA_DEVS.md`</w:t>
            </w:r>
            <w:r>
              <w:rPr>
                <w:rFonts w:ascii="Calibri" w:hAnsi="Calibri"/>
                <w:color w:val="1A2744"/>
                <w:sz w:val="21"/>
              </w:rPr>
              <w:t xml:space="preserve"> — leela primero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si no sabés qué es un CIK, un ratio o un 10-K). **Esta guía cuenta otra cosa: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la historia de cómo se construyó el proyecto**, en qué orden, qué problemas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aparecieron, cómo se resolvieron, y por qué el alcance fue creciendo en cada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etapa hasta llegar a donde está hoy.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 xml:space="preserve">Está escrita para leerse </w:t>
            </w:r>
            <w:r>
              <w:rPr>
                <w:rFonts w:ascii="Calibri" w:hAnsi="Calibri"/>
                <w:b/>
                <w:color w:val="1A2744"/>
                <w:sz w:val="21"/>
              </w:rPr>
              <w:t>de arriba hacia abajo, en orden cronológico</w:t>
            </w:r>
            <w:r>
              <w:rPr>
                <w:rFonts w:ascii="Calibri" w:hAnsi="Calibri"/>
                <w:color w:val="1A2744"/>
                <w:sz w:val="21"/>
              </w:rPr>
              <w:t>.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Cada fase existe porque la fase anterior, aunque funcionó, no alcanzaba.</w:t>
            </w:r>
          </w:p>
        </w:tc>
      </w:tr>
    </w:tbl>
    <w:p>
      <w:pPr>
        <w:spacing w:after="80"/>
      </w:pP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0. El problema que arrancó todo</w:t>
      </w:r>
    </w:p>
    <w:p>
      <w:pPr>
        <w:spacing w:after="160"/>
      </w:pPr>
      <w:r>
        <w:rPr>
          <w:rFonts w:ascii="Calibri" w:hAnsi="Calibri"/>
          <w:sz w:val="21"/>
        </w:rPr>
        <w:t xml:space="preserve">Catalaxia (el cliente) necesita un </w:t>
      </w:r>
      <w:r>
        <w:rPr>
          <w:rFonts w:ascii="Calibri" w:hAnsi="Calibri"/>
          <w:b/>
          <w:color w:val="1A2744"/>
          <w:sz w:val="21"/>
        </w:rPr>
        <w:t>screener financiero</w:t>
      </w:r>
      <w:r>
        <w:rPr>
          <w:rFonts w:ascii="Calibri" w:hAnsi="Calibri"/>
          <w:sz w:val="21"/>
        </w:rPr>
        <w:t>: una tabla con</w:t>
      </w:r>
    </w:p>
    <w:p>
      <w:pPr>
        <w:spacing w:after="160"/>
      </w:pPr>
      <w:r>
        <w:rPr>
          <w:rFonts w:ascii="Calibri" w:hAnsi="Calibri"/>
          <w:sz w:val="21"/>
        </w:rPr>
        <w:t>cientos de empresas (CEDEARs — acciones de EE.UU. que cotizan en Argentina)</w:t>
      </w:r>
    </w:p>
    <w:p>
      <w:pPr>
        <w:spacing w:after="160"/>
      </w:pPr>
      <w:r>
        <w:rPr>
          <w:rFonts w:ascii="Calibri" w:hAnsi="Calibri"/>
          <w:sz w:val="21"/>
        </w:rPr>
        <w:t>donde se puedan comparar ratios como el PER, el margen neto o el ROE para</w:t>
      </w:r>
    </w:p>
    <w:p>
      <w:pPr>
        <w:spacing w:after="160"/>
      </w:pPr>
      <w:r>
        <w:rPr>
          <w:rFonts w:ascii="Calibri" w:hAnsi="Calibri"/>
          <w:sz w:val="21"/>
        </w:rPr>
        <w:t>decidir si una acción está cara o barata.</w:t>
      </w:r>
    </w:p>
    <w:p>
      <w:pPr>
        <w:spacing w:after="160"/>
      </w:pPr>
      <w:r>
        <w:rPr>
          <w:rFonts w:ascii="Calibri" w:hAnsi="Calibri"/>
          <w:sz w:val="21"/>
        </w:rPr>
        <w:t xml:space="preserve">Para llenar esa tabla hacían falta </w:t>
      </w:r>
      <w:r>
        <w:rPr>
          <w:rFonts w:ascii="Calibri" w:hAnsi="Calibri"/>
          <w:b/>
          <w:color w:val="1A2744"/>
          <w:sz w:val="21"/>
        </w:rPr>
        <w:t>datos financieros confiables</w:t>
      </w:r>
      <w:r>
        <w:rPr>
          <w:rFonts w:ascii="Calibri" w:hAnsi="Calibri"/>
          <w:sz w:val="21"/>
        </w:rPr>
        <w:t>. Había dos</w:t>
      </w:r>
    </w:p>
    <w:p>
      <w:pPr>
        <w:spacing w:after="160"/>
      </w:pPr>
      <w:r>
        <w:rPr>
          <w:rFonts w:ascii="Calibri" w:hAnsi="Calibri"/>
          <w:sz w:val="21"/>
        </w:rPr>
        <w:t>caminos: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 xml:space="preserve">❌ </w:t>
      </w:r>
      <w:r>
        <w:rPr>
          <w:rFonts w:ascii="Calibri" w:hAnsi="Calibri"/>
          <w:b/>
          <w:color w:val="1A2744"/>
          <w:sz w:val="21"/>
        </w:rPr>
        <w:t>Scraping a Investing.com</w:t>
      </w:r>
      <w:r>
        <w:rPr>
          <w:rFonts w:ascii="Calibri" w:hAnsi="Calibri"/>
          <w:sz w:val="21"/>
        </w:rPr>
        <w:t xml:space="preserve">: es lo que se probó primero y </w:t>
      </w:r>
      <w:r>
        <w:rPr>
          <w:rFonts w:ascii="Calibri" w:hAnsi="Calibri"/>
          <w:b/>
          <w:color w:val="1A2744"/>
          <w:sz w:val="21"/>
        </w:rPr>
        <w:t>falló</w:t>
      </w:r>
      <w:r>
        <w:rPr>
          <w:rFonts w:ascii="Calibri" w:hAnsi="Calibri"/>
          <w:sz w:val="21"/>
        </w:rPr>
        <w:t>. Quedó</w:t>
      </w:r>
    </w:p>
    <w:p>
      <w:pPr>
        <w:spacing w:after="160"/>
      </w:pPr>
      <w:r>
        <w:rPr>
          <w:rFonts w:ascii="Calibri" w:hAnsi="Calibri"/>
          <w:sz w:val="21"/>
        </w:rPr>
        <w:t xml:space="preserve">documentado en </w:t>
      </w:r>
      <w:r>
        <w:rPr>
          <w:rFonts w:ascii="Calibri" w:hAnsi="Calibri"/>
          <w:color w:val="3B82F6"/>
          <w:sz w:val="21"/>
          <w:u w:val="single"/>
        </w:rPr>
        <w:t>`failed_investing_scraping/README.md`</w:t>
      </w:r>
    </w:p>
    <w:p>
      <w:pPr>
        <w:spacing w:after="160"/>
      </w:pPr>
      <w:r>
        <w:rPr>
          <w:rFonts w:ascii="Calibri" w:hAnsi="Calibri"/>
          <w:sz w:val="21"/>
        </w:rPr>
        <w:t>junto con 9 scripts de prueba (</w:t>
      </w:r>
      <w:r>
        <w:rPr>
          <w:rFonts w:ascii="Calibri" w:hAnsi="Calibri"/>
          <w:color w:val="B34700"/>
          <w:sz w:val="21"/>
        </w:rPr>
        <w:t>demo_scraping_*.py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B34700"/>
          <w:sz w:val="21"/>
        </w:rPr>
        <w:t>demo_inspect_*.py</w:t>
      </w:r>
      <w:r>
        <w:rPr>
          <w:rFonts w:ascii="Calibri" w:hAnsi="Calibri"/>
          <w:sz w:val="21"/>
        </w:rPr>
        <w:t>,</w:t>
      </w:r>
    </w:p>
    <w:p>
      <w:pPr>
        <w:spacing w:after="160"/>
      </w:pPr>
      <w:r>
        <w:rPr>
          <w:rFonts w:ascii="Calibri" w:hAnsi="Calibri"/>
          <w:sz w:val="21"/>
        </w:rPr>
        <w:t>etc.). Es frágil, viola los Términos de Servicio de Investing, y el sitio</w:t>
      </w:r>
    </w:p>
    <w:p>
      <w:pPr>
        <w:spacing w:after="160"/>
      </w:pPr>
      <w:r>
        <w:rPr>
          <w:rFonts w:ascii="Calibri" w:hAnsi="Calibri"/>
          <w:sz w:val="21"/>
        </w:rPr>
        <w:t>detecta y bloquea bots.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 xml:space="preserve">✅ </w:t>
      </w:r>
      <w:r>
        <w:rPr>
          <w:rFonts w:ascii="Calibri" w:hAnsi="Calibri"/>
          <w:b/>
          <w:color w:val="1A2744"/>
          <w:sz w:val="21"/>
        </w:rPr>
        <w:t>SEC EDGAR</w:t>
      </w:r>
      <w:r>
        <w:rPr>
          <w:rFonts w:ascii="Calibri" w:hAnsi="Calibri"/>
          <w:sz w:val="21"/>
        </w:rPr>
        <w:t>: la base de datos oficial del gobierno de EE.UU. Gratis, sin</w:t>
      </w:r>
    </w:p>
    <w:p>
      <w:pPr>
        <w:spacing w:after="160"/>
      </w:pPr>
      <w:r>
        <w:rPr>
          <w:rFonts w:ascii="Calibri" w:hAnsi="Calibri"/>
          <w:sz w:val="21"/>
        </w:rPr>
        <w:t xml:space="preserve">scraping, legal. El problema: los datos vienen </w:t>
      </w:r>
      <w:r>
        <w:rPr>
          <w:rFonts w:ascii="Calibri" w:hAnsi="Calibri"/>
          <w:b/>
          <w:color w:val="1A2744"/>
          <w:sz w:val="21"/>
        </w:rPr>
        <w:t>crudos</w:t>
      </w:r>
      <w:r>
        <w:rPr>
          <w:rFonts w:ascii="Calibri" w:hAnsi="Calibri"/>
          <w:sz w:val="21"/>
        </w:rPr>
        <w:t xml:space="preserve"> (no hay un campo</w:t>
      </w:r>
    </w:p>
    <w:p>
      <w:pPr>
        <w:spacing w:after="160"/>
      </w:pPr>
      <w:r>
        <w:rPr>
          <w:rFonts w:ascii="Calibri" w:hAnsi="Calibri"/>
          <w:sz w:val="21"/>
        </w:rPr>
        <w:t>"PER" listo para usar, hay que calcularlo desde cero).</w:t>
      </w:r>
    </w:p>
    <w:p>
      <w:pPr>
        <w:spacing w:after="160"/>
      </w:pPr>
      <w:r>
        <w:rPr>
          <w:rFonts w:ascii="Calibri" w:hAnsi="Calibri"/>
          <w:sz w:val="21"/>
        </w:rPr>
        <w:t>La decisión fue ir con EDGAR. Pero surgió la pregunta obvia: **¿de verdad se</w:t>
      </w:r>
    </w:p>
    <w:p>
      <w:pPr>
        <w:spacing w:after="160"/>
      </w:pPr>
      <w:r>
        <w:rPr>
          <w:rFonts w:ascii="Calibri" w:hAnsi="Calibri"/>
          <w:sz w:val="21"/>
        </w:rPr>
        <w:t>puede reconstruir lo que muestra Investing.com calculando todo a mano desde</w:t>
      </w:r>
    </w:p>
    <w:p>
      <w:pPr>
        <w:spacing w:after="160"/>
      </w:pPr>
      <w:r>
        <w:rPr>
          <w:rFonts w:ascii="Calibri" w:hAnsi="Calibri"/>
          <w:sz w:val="21"/>
        </w:rPr>
        <w:t>datos crudos?** Nadie lo sabía todavía. De ahí nace la Fase 1.</w:t>
      </w: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Fase 1 — ¿Esto funciona? (5 empresas USA + 2 ADRs argentinos)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Objetivo de esta fase:</w:t>
      </w:r>
      <w:r>
        <w:rPr>
          <w:rFonts w:ascii="Calibri" w:hAnsi="Calibri"/>
          <w:sz w:val="21"/>
        </w:rPr>
        <w:t xml:space="preserve"> validar la hipótesis antes de construir nada grande.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Qué se hizo:</w:t>
      </w:r>
      <w:r>
        <w:rPr>
          <w:rFonts w:ascii="Calibri" w:hAnsi="Calibri"/>
          <w:sz w:val="21"/>
        </w:rPr>
        <w:t xml:space="preserve"> se tomaron 5 empresas estadounidenses muy conocidas (AAPL,</w:t>
      </w:r>
    </w:p>
    <w:p>
      <w:pPr>
        <w:spacing w:after="160"/>
      </w:pPr>
      <w:r>
        <w:rPr>
          <w:rFonts w:ascii="Calibri" w:hAnsi="Calibri"/>
          <w:sz w:val="21"/>
        </w:rPr>
        <w:t>MSFT, NVDA, TSLA, AMZN) más 2 ADRs argentinos, se calcularon a mano los ratios</w:t>
      </w:r>
    </w:p>
    <w:p>
      <w:pPr>
        <w:spacing w:after="160"/>
      </w:pPr>
      <w:r>
        <w:rPr>
          <w:rFonts w:ascii="Calibri" w:hAnsi="Calibri"/>
          <w:sz w:val="21"/>
        </w:rPr>
        <w:t>desde los datos crudos de EDGAR, y se compararon contra lo que mostraba</w:t>
      </w:r>
    </w:p>
    <w:p>
      <w:pPr>
        <w:spacing w:after="160"/>
      </w:pPr>
      <w:r>
        <w:rPr>
          <w:rFonts w:ascii="Calibri" w:hAnsi="Calibri"/>
          <w:sz w:val="21"/>
        </w:rPr>
        <w:t>Investing.com para esas mismas empresas.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Qué se encontró</w:t>
      </w:r>
      <w:r>
        <w:rPr>
          <w:rFonts w:ascii="Calibri" w:hAnsi="Calibri"/>
          <w:sz w:val="21"/>
        </w:rPr>
        <w:t xml:space="preserve"> (documentado en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`docs/calculos-financieros/documentacion/RESUMEN_FINAL_HALLAZGOS.md`</w:t>
      </w:r>
      <w:r>
        <w:rPr>
          <w:rFonts w:ascii="Calibri" w:hAnsi="Calibri"/>
          <w:sz w:val="21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4706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Revenue, Net Income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convergen casi exacto (&amp;lt;1% y &amp;lt;0,1% de diferencia)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Deuda/Equity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converge bien (&amp;lt;4%)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P/E ratio y EBITDA pre-calculados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divergen fuerte</w:t>
            </w:r>
            <w:r>
              <w:rPr>
                <w:rFonts w:ascii="Calibri" w:hAnsi="Calibri"/>
                <w:sz w:val="18"/>
              </w:rPr>
              <w:t xml:space="preserve"> — hasta 54,9% en NVDA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El aprendizaje clave de esta fase:</w:t>
      </w:r>
      <w:r>
        <w:rPr>
          <w:rFonts w:ascii="Calibri" w:hAnsi="Calibri"/>
          <w:sz w:val="21"/>
        </w:rPr>
        <w:t xml:space="preserve"> Investing.com usa </w:t>
      </w:r>
      <w:r>
        <w:rPr>
          <w:rFonts w:ascii="Calibri" w:hAnsi="Calibri"/>
          <w:b/>
          <w:color w:val="1A2744"/>
          <w:sz w:val="21"/>
        </w:rPr>
        <w:t>GAAP puro</w:t>
      </w:r>
      <w:r>
        <w:rPr>
          <w:rFonts w:ascii="Calibri" w:hAnsi="Calibri"/>
          <w:sz w:val="21"/>
        </w:rPr>
        <w:t xml:space="preserve"> (el</w:t>
      </w:r>
    </w:p>
    <w:p>
      <w:pPr>
        <w:spacing w:after="160"/>
      </w:pPr>
      <w:r>
        <w:rPr>
          <w:rFonts w:ascii="Calibri" w:hAnsi="Calibri"/>
          <w:sz w:val="21"/>
        </w:rPr>
        <w:t>estándar contable oficial) para las cosas importantes, no los números</w:t>
      </w:r>
    </w:p>
    <w:p>
      <w:pPr>
        <w:spacing w:after="160"/>
      </w:pPr>
      <w:r>
        <w:rPr>
          <w:rFonts w:ascii="Calibri" w:hAnsi="Calibri"/>
          <w:sz w:val="21"/>
        </w:rPr>
        <w:t>"ajustados" (non-GAAP) que algunas empresas prefieren mostrar en sus propios</w:t>
      </w:r>
    </w:p>
    <w:p>
      <w:pPr>
        <w:spacing w:after="160"/>
      </w:pPr>
      <w:r>
        <w:rPr>
          <w:rFonts w:ascii="Calibri" w:hAnsi="Calibri"/>
          <w:sz w:val="21"/>
        </w:rPr>
        <w:t>reportes para parecer más rentables. Esto se documentó en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`GUIA_RATIOS_EDGAR_vs_INVESTING.md`</w:t>
      </w:r>
      <w:r>
        <w:rPr>
          <w:rFonts w:ascii="Calibri" w:hAnsi="Calibri"/>
          <w:sz w:val="21"/>
        </w:rPr>
        <w:t>: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qué tomar directo de EDGAR, qué calcular a mano, y qué no usar nunca</w:t>
      </w:r>
    </w:p>
    <w:p>
      <w:pPr>
        <w:spacing w:after="160"/>
      </w:pPr>
      <w:r>
        <w:rPr>
          <w:rFonts w:ascii="Calibri" w:hAnsi="Calibri"/>
          <w:sz w:val="21"/>
        </w:rPr>
        <w:t xml:space="preserve">(ver </w:t>
      </w:r>
      <w:r>
        <w:rPr>
          <w:rFonts w:ascii="Calibri" w:hAnsi="Calibri"/>
          <w:color w:val="3B82F6"/>
          <w:sz w:val="21"/>
          <w:u w:val="single"/>
        </w:rPr>
        <w:t>`EJEMPLO_CALCULO_LOCAL.md`</w:t>
      </w:r>
    </w:p>
    <w:p>
      <w:pPr>
        <w:spacing w:after="160"/>
      </w:pPr>
      <w:r>
        <w:rPr>
          <w:rFonts w:ascii="Calibri" w:hAnsi="Calibri"/>
          <w:sz w:val="21"/>
        </w:rPr>
        <w:t>para el cálculo completo de AAPL paso a paso).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Conclusión de la Fase 1:</w:t>
      </w:r>
      <w:r>
        <w:rPr>
          <w:rFonts w:ascii="Calibri" w:hAnsi="Calibri"/>
          <w:sz w:val="21"/>
        </w:rPr>
        <w:t xml:space="preserve"> "esto funciona, EDGAR puede reemplazar a</w:t>
      </w:r>
    </w:p>
    <w:p>
      <w:pPr>
        <w:spacing w:after="160"/>
      </w:pPr>
      <w:r>
        <w:rPr>
          <w:rFonts w:ascii="Calibri" w:hAnsi="Calibri"/>
          <w:sz w:val="21"/>
        </w:rPr>
        <w:t>Investing.com" — pero probado sobre 7 empresas, todas grandes y conocidas. La</w:t>
      </w:r>
    </w:p>
    <w:p>
      <w:pPr>
        <w:spacing w:after="160"/>
      </w:pPr>
      <w:r>
        <w:rPr>
          <w:rFonts w:ascii="Calibri" w:hAnsi="Calibri"/>
          <w:sz w:val="21"/>
        </w:rPr>
        <w:t>pregunta que quedó abierta: **¿funciona igual con un universo más realista,</w:t>
      </w:r>
    </w:p>
    <w:p>
      <w:pPr>
        <w:spacing w:after="160"/>
      </w:pPr>
      <w:r>
        <w:rPr>
          <w:rFonts w:ascii="Calibri" w:hAnsi="Calibri"/>
          <w:sz w:val="21"/>
        </w:rPr>
        <w:t>mezclando empresas chicas, bancos, y compañías extranjeras?** De ahí nace la</w:t>
      </w:r>
    </w:p>
    <w:p>
      <w:pPr>
        <w:spacing w:after="160"/>
      </w:pPr>
      <w:r>
        <w:rPr>
          <w:rFonts w:ascii="Calibri" w:hAnsi="Calibri"/>
          <w:sz w:val="21"/>
        </w:rPr>
        <w:t>Fase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5FF"/>
            <w:tcBorders>
              <w:top w:val="single" w:sz="10" w:color="3B82F6"/>
              <w:left w:val="single" w:sz="10" w:color="3B82F6"/>
              <w:bottom w:val="single" w:sz="10" w:color="3B82F6"/>
              <w:right w:val="single" w:sz="10" w:color="3B82F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color w:val="1A2744"/>
                <w:sz w:val="21"/>
              </w:rPr>
              <w:t xml:space="preserve">🧠 </w:t>
            </w:r>
            <w:r>
              <w:rPr>
                <w:rFonts w:ascii="Calibri" w:hAnsi="Calibri"/>
                <w:b/>
                <w:color w:val="1A2744"/>
                <w:sz w:val="21"/>
              </w:rPr>
              <w:t>Nota de alcance:</w:t>
            </w:r>
            <w:r>
              <w:rPr>
                <w:rFonts w:ascii="Calibri" w:hAnsi="Calibri"/>
                <w:color w:val="1A2744"/>
                <w:sz w:val="21"/>
              </w:rPr>
              <w:t xml:space="preserve"> acá el plan original (</w:t>
            </w:r>
            <w:r>
              <w:rPr>
                <w:rFonts w:ascii="Calibri" w:hAnsi="Calibri"/>
                <w:color w:val="B34700"/>
                <w:sz w:val="21"/>
              </w:rPr>
              <w:t>PLAN_SCREENER_218_ACCIONES.md</w:t>
            </w:r>
            <w:r>
              <w:rPr>
                <w:rFonts w:ascii="Calibri" w:hAnsi="Calibri"/>
                <w:color w:val="1A2744"/>
                <w:sz w:val="21"/>
              </w:rPr>
              <w:t>)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apuntaba a 218 acciones (200 CEDEARs + 18 ADRs). Ese plan **nunca se llegó a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ejecutar como estaba escrito** — quedó superado por el camino real que siguió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el proyecto (Fases 2 y 3). Es interesante leerlo como referencia de "qué se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pensaba al principio", no como lo que pasó.</w:t>
            </w:r>
          </w:p>
        </w:tc>
      </w:tr>
    </w:tbl>
    <w:p>
      <w:pPr>
        <w:spacing w:after="80"/>
      </w:pP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Fase 2 — Validar a escala real: 99 tickers (Tickets.xlsx)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Objetivo de esta fase:</w:t>
      </w:r>
      <w:r>
        <w:rPr>
          <w:rFonts w:ascii="Calibri" w:hAnsi="Calibri"/>
          <w:sz w:val="21"/>
        </w:rPr>
        <w:t xml:space="preserve"> dejar de probar con 7 empresas "fáciles" y probar</w:t>
      </w:r>
    </w:p>
    <w:p>
      <w:pPr>
        <w:spacing w:after="160"/>
      </w:pPr>
      <w:r>
        <w:rPr>
          <w:rFonts w:ascii="Calibri" w:hAnsi="Calibri"/>
          <w:sz w:val="21"/>
        </w:rPr>
        <w:t>con una lista real de 99 tickers, mezclando blue chips de EE.UU. con ADRs</w:t>
      </w:r>
    </w:p>
    <w:p>
      <w:pPr>
        <w:spacing w:after="160"/>
      </w:pPr>
      <w:r>
        <w:rPr>
          <w:rFonts w:ascii="Calibri" w:hAnsi="Calibri"/>
          <w:sz w:val="21"/>
        </w:rPr>
        <w:t>extranjeros difíciles (India, Japón, Brasil, Rusia, Taiwán...).</w:t>
      </w:r>
    </w:p>
    <w:p>
      <w:pPr>
        <w:spacing w:after="160"/>
      </w:pPr>
      <w:r>
        <w:rPr>
          <w:rFonts w:ascii="Calibri" w:hAnsi="Calibri"/>
          <w:sz w:val="21"/>
        </w:rPr>
        <w:t xml:space="preserve">Esta es la fase donde aparecieron </w:t>
      </w:r>
      <w:r>
        <w:rPr>
          <w:rFonts w:ascii="Calibri" w:hAnsi="Calibri"/>
          <w:b/>
          <w:color w:val="1A2744"/>
          <w:sz w:val="21"/>
        </w:rPr>
        <w:t>todos los problemas reales</w:t>
      </w:r>
      <w:r>
        <w:rPr>
          <w:rFonts w:ascii="Calibri" w:hAnsi="Calibri"/>
          <w:sz w:val="21"/>
        </w:rPr>
        <w:t xml:space="preserve"> que una</w:t>
      </w:r>
    </w:p>
    <w:p>
      <w:pPr>
        <w:spacing w:after="160"/>
      </w:pPr>
      <w:r>
        <w:rPr>
          <w:rFonts w:ascii="Calibri" w:hAnsi="Calibri"/>
          <w:sz w:val="21"/>
        </w:rPr>
        <w:t>muestra de 7 empresas conocidas nunca iba a mostrar. El pipeline quedó en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`scripts/tickets/`</w:t>
      </w:r>
      <w:r>
        <w:rPr>
          <w:rFonts w:ascii="Calibri" w:hAnsi="Calibri"/>
          <w:sz w:val="21"/>
        </w:rPr>
        <w:t xml:space="preserve"> (</w:t>
      </w:r>
      <w:r>
        <w:rPr>
          <w:rFonts w:ascii="Calibri" w:hAnsi="Calibri"/>
          <w:color w:val="B34700"/>
          <w:sz w:val="21"/>
        </w:rPr>
        <w:t>01_mapear_cik.py</w:t>
      </w:r>
      <w:r>
        <w:rPr>
          <w:rFonts w:ascii="Calibri" w:hAnsi="Calibri"/>
          <w:sz w:val="21"/>
        </w:rPr>
        <w:t xml:space="preserve"> →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07_generar_estadisticas.py</w:t>
      </w:r>
      <w:r>
        <w:rPr>
          <w:rFonts w:ascii="Calibri" w:hAnsi="Calibri"/>
          <w:sz w:val="21"/>
        </w:rPr>
        <w:t>), cada script resuelve un paso: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Paso 1 — ¿Cuál es el CIK de cada ticker?</w:t>
      </w:r>
    </w:p>
    <w:p>
      <w:pPr>
        <w:spacing w:after="160"/>
      </w:pPr>
      <w:r>
        <w:rPr>
          <w:rFonts w:ascii="Calibri" w:hAnsi="Calibri"/>
          <w:sz w:val="21"/>
        </w:rPr>
        <w:t>Antes de pedirle nada a EDGAR hay que traducir el ticker (</w:t>
      </w:r>
      <w:r>
        <w:rPr>
          <w:rFonts w:ascii="Calibri" w:hAnsi="Calibri"/>
          <w:color w:val="B34700"/>
          <w:sz w:val="21"/>
        </w:rPr>
        <w:t>AAPL</w:t>
      </w:r>
      <w:r>
        <w:rPr>
          <w:rFonts w:ascii="Calibri" w:hAnsi="Calibri"/>
          <w:sz w:val="21"/>
        </w:rPr>
        <w:t>) a su CIK</w:t>
      </w:r>
    </w:p>
    <w:p>
      <w:pPr>
        <w:spacing w:after="160"/>
      </w:pPr>
      <w:r>
        <w:rPr>
          <w:rFonts w:ascii="Calibri" w:hAnsi="Calibri"/>
          <w:sz w:val="21"/>
        </w:rPr>
        <w:t>(</w:t>
      </w:r>
      <w:r>
        <w:rPr>
          <w:rFonts w:ascii="Calibri" w:hAnsi="Calibri"/>
          <w:color w:val="B34700"/>
          <w:sz w:val="21"/>
        </w:rPr>
        <w:t>0000320193</w:t>
      </w:r>
      <w:r>
        <w:rPr>
          <w:rFonts w:ascii="Calibri" w:hAnsi="Calibri"/>
          <w:sz w:val="21"/>
        </w:rPr>
        <w:t>, el ID que usa la SEC). Se construyó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`01_mapear_cik.py`</w:t>
      </w:r>
      <w:r>
        <w:rPr>
          <w:rFonts w:ascii="Calibri" w:hAnsi="Calibri"/>
          <w:sz w:val="21"/>
        </w:rPr>
        <w:t xml:space="preserve"> usando el archivo</w:t>
      </w:r>
    </w:p>
    <w:p>
      <w:pPr>
        <w:spacing w:after="160"/>
      </w:pPr>
      <w:r>
        <w:rPr>
          <w:rFonts w:ascii="Calibri" w:hAnsi="Calibri"/>
          <w:sz w:val="21"/>
        </w:rPr>
        <w:t xml:space="preserve">oficial </w:t>
      </w:r>
      <w:r>
        <w:rPr>
          <w:rFonts w:ascii="Calibri" w:hAnsi="Calibri"/>
          <w:color w:val="B34700"/>
          <w:sz w:val="21"/>
        </w:rPr>
        <w:t>company_tickers.json</w:t>
      </w:r>
      <w:r>
        <w:rPr>
          <w:rFonts w:ascii="Calibri" w:hAnsi="Calibri"/>
          <w:sz w:val="21"/>
        </w:rPr>
        <w:t xml:space="preserve"> de la SEC.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Problema encontrado:</w:t>
      </w:r>
      <w:r>
        <w:rPr>
          <w:rFonts w:ascii="Calibri" w:hAnsi="Calibri"/>
          <w:sz w:val="21"/>
        </w:rPr>
        <w:t xml:space="preserve"> dos tickers (</w:t>
      </w:r>
      <w:r>
        <w:rPr>
          <w:rFonts w:ascii="Calibri" w:hAnsi="Calibri"/>
          <w:color w:val="B34700"/>
          <w:sz w:val="21"/>
        </w:rPr>
        <w:t>GOLD</w:t>
      </w:r>
      <w:r>
        <w:rPr>
          <w:rFonts w:ascii="Calibri" w:hAnsi="Calibri"/>
          <w:sz w:val="21"/>
        </w:rPr>
        <w:t xml:space="preserve"> y </w:t>
      </w:r>
      <w:r>
        <w:rPr>
          <w:rFonts w:ascii="Calibri" w:hAnsi="Calibri"/>
          <w:color w:val="B34700"/>
          <w:sz w:val="21"/>
        </w:rPr>
        <w:t>CHA</w:t>
      </w:r>
      <w:r>
        <w:rPr>
          <w:rFonts w:ascii="Calibri" w:hAnsi="Calibri"/>
          <w:sz w:val="21"/>
        </w:rPr>
        <w:t>) **ya no representan lo</w:t>
      </w:r>
    </w:p>
    <w:p>
      <w:pPr>
        <w:spacing w:after="160"/>
      </w:pPr>
      <w:r>
        <w:rPr>
          <w:rFonts w:ascii="Calibri" w:hAnsi="Calibri"/>
          <w:sz w:val="21"/>
        </w:rPr>
        <w:t>que uno esperaría**. La SEC reasigna tickers cuando una empresa cambia de</w:t>
      </w:r>
    </w:p>
    <w:p>
      <w:pPr>
        <w:spacing w:after="160"/>
      </w:pPr>
      <w:r>
        <w:rPr>
          <w:rFonts w:ascii="Calibri" w:hAnsi="Calibri"/>
          <w:sz w:val="21"/>
        </w:rPr>
        <w:t xml:space="preserve">nombre o se deslista: </w:t>
      </w:r>
      <w:r>
        <w:rPr>
          <w:rFonts w:ascii="Calibri" w:hAnsi="Calibri"/>
          <w:color w:val="B34700"/>
          <w:sz w:val="21"/>
        </w:rPr>
        <w:t>GOLD</w:t>
      </w:r>
      <w:r>
        <w:rPr>
          <w:rFonts w:ascii="Calibri" w:hAnsi="Calibri"/>
          <w:sz w:val="21"/>
        </w:rPr>
        <w:t xml:space="preserve"> hoy es "Gold.com, Inc." (no Barrick, que pasó a</w:t>
      </w:r>
    </w:p>
    <w:p>
      <w:pPr>
        <w:spacing w:after="160"/>
      </w:pPr>
      <w:r>
        <w:rPr>
          <w:rFonts w:ascii="Calibri" w:hAnsi="Calibri"/>
          <w:sz w:val="21"/>
        </w:rPr>
        <w:t xml:space="preserve">cotizar como </w:t>
      </w:r>
      <w:r>
        <w:rPr>
          <w:rFonts w:ascii="Calibri" w:hAnsi="Calibri"/>
          <w:color w:val="B34700"/>
          <w:sz w:val="21"/>
        </w:rPr>
        <w:t>B</w:t>
      </w:r>
      <w:r>
        <w:rPr>
          <w:rFonts w:ascii="Calibri" w:hAnsi="Calibri"/>
          <w:sz w:val="21"/>
        </w:rPr>
        <w:t xml:space="preserve">), y </w:t>
      </w:r>
      <w:r>
        <w:rPr>
          <w:rFonts w:ascii="Calibri" w:hAnsi="Calibri"/>
          <w:color w:val="B34700"/>
          <w:sz w:val="21"/>
        </w:rPr>
        <w:t>CHA</w:t>
      </w:r>
      <w:r>
        <w:rPr>
          <w:rFonts w:ascii="Calibri" w:hAnsi="Calibri"/>
          <w:sz w:val="21"/>
        </w:rPr>
        <w:t xml:space="preserve"> hoy es una cadena china de té (no China Telecom,</w:t>
      </w:r>
    </w:p>
    <w:p>
      <w:pPr>
        <w:spacing w:after="160"/>
      </w:pPr>
      <w:r>
        <w:rPr>
          <w:rFonts w:ascii="Calibri" w:hAnsi="Calibri"/>
          <w:sz w:val="21"/>
        </w:rPr>
        <w:t>deslistada en 2021).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Cómo se resolvió:</w:t>
      </w:r>
      <w:r>
        <w:rPr>
          <w:rFonts w:ascii="Calibri" w:hAnsi="Calibri"/>
          <w:sz w:val="21"/>
        </w:rPr>
        <w:t xml:space="preserve"> en vez de adivinar o usar el dato "casi seguro</w:t>
      </w:r>
    </w:p>
    <w:p>
      <w:pPr>
        <w:spacing w:after="160"/>
      </w:pPr>
      <w:r>
        <w:rPr>
          <w:rFonts w:ascii="Calibri" w:hAnsi="Calibri"/>
          <w:sz w:val="21"/>
        </w:rPr>
        <w:t xml:space="preserve">correcto", se </w:t>
      </w:r>
      <w:r>
        <w:rPr>
          <w:rFonts w:ascii="Calibri" w:hAnsi="Calibri"/>
          <w:b/>
          <w:color w:val="1A2744"/>
          <w:sz w:val="21"/>
        </w:rPr>
        <w:t>excluyeron explícitamente</w:t>
      </w:r>
      <w:r>
        <w:rPr>
          <w:rFonts w:ascii="Calibri" w:hAnsi="Calibri"/>
          <w:sz w:val="21"/>
        </w:rPr>
        <w:t xml:space="preserve"> y se mandaron a una lista de</w:t>
      </w:r>
    </w:p>
    <w:p>
      <w:pPr>
        <w:spacing w:after="160"/>
      </w:pPr>
      <w:r>
        <w:rPr>
          <w:rFonts w:ascii="Calibri" w:hAnsi="Calibri"/>
          <w:sz w:val="21"/>
        </w:rPr>
        <w:t>revisión manual. Resultado: 99 → 77 tickers con CIK resuelto con confianza.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Paso 2 — Descargar financials (EDGAR) y precios (yfinance)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`02_descargar_datos.py`</w:t>
      </w:r>
      <w:r>
        <w:rPr>
          <w:rFonts w:ascii="Calibri" w:hAnsi="Calibri"/>
          <w:sz w:val="21"/>
        </w:rPr>
        <w:t xml:space="preserve"> reusa</w:t>
      </w:r>
    </w:p>
    <w:p>
      <w:pPr>
        <w:spacing w:after="160"/>
      </w:pPr>
      <w:r>
        <w:rPr>
          <w:rFonts w:ascii="Calibri" w:hAnsi="Calibri"/>
          <w:sz w:val="21"/>
        </w:rPr>
        <w:t xml:space="preserve">los fetchers de </w:t>
      </w:r>
      <w:r>
        <w:rPr>
          <w:rFonts w:ascii="Calibri" w:hAnsi="Calibri"/>
          <w:color w:val="B34700"/>
          <w:sz w:val="21"/>
        </w:rPr>
        <w:t>backend/fetchers/</w:t>
      </w:r>
      <w:r>
        <w:rPr>
          <w:rFonts w:ascii="Calibri" w:hAnsi="Calibri"/>
          <w:sz w:val="21"/>
        </w:rPr>
        <w:t xml:space="preserve"> para bajar, por cada CIK, todo el</w:t>
      </w:r>
    </w:p>
    <w:p>
      <w:pPr>
        <w:spacing w:after="160"/>
      </w:pPr>
      <w:r>
        <w:rPr>
          <w:rFonts w:ascii="Calibri" w:hAnsi="Calibri"/>
          <w:sz w:val="21"/>
        </w:rPr>
        <w:t>historial financiero, y por cada ticker, el precio actual.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Problema encontrado:</w:t>
      </w:r>
      <w:r>
        <w:rPr>
          <w:rFonts w:ascii="Calibri" w:hAnsi="Calibri"/>
          <w:sz w:val="21"/>
        </w:rPr>
        <w:t xml:space="preserve"> la librería </w:t>
      </w:r>
      <w:r>
        <w:rPr>
          <w:rFonts w:ascii="Calibri" w:hAnsi="Calibri"/>
          <w:color w:val="B34700"/>
          <w:sz w:val="21"/>
        </w:rPr>
        <w:t>yfinance</w:t>
      </w:r>
      <w:r>
        <w:rPr>
          <w:rFonts w:ascii="Calibri" w:hAnsi="Calibri"/>
          <w:sz w:val="21"/>
        </w:rPr>
        <w:t>, en la versión que estaba</w:t>
      </w:r>
    </w:p>
    <w:p>
      <w:pPr>
        <w:spacing w:after="160"/>
      </w:pPr>
      <w:r>
        <w:rPr>
          <w:rFonts w:ascii="Calibri" w:hAnsi="Calibri"/>
          <w:sz w:val="21"/>
        </w:rPr>
        <w:t xml:space="preserve">fijada en </w:t>
      </w:r>
      <w:r>
        <w:rPr>
          <w:rFonts w:ascii="Calibri" w:hAnsi="Calibri"/>
          <w:color w:val="B34700"/>
          <w:sz w:val="21"/>
        </w:rPr>
        <w:t>backend/requirements.txt</w:t>
      </w:r>
      <w:r>
        <w:rPr>
          <w:rFonts w:ascii="Calibri" w:hAnsi="Calibri"/>
          <w:sz w:val="21"/>
        </w:rPr>
        <w:t xml:space="preserve"> (</w:t>
      </w:r>
      <w:r>
        <w:rPr>
          <w:rFonts w:ascii="Calibri" w:hAnsi="Calibri"/>
          <w:color w:val="B34700"/>
          <w:sz w:val="21"/>
        </w:rPr>
        <w:t>0.2.50</w:t>
      </w:r>
      <w:r>
        <w:rPr>
          <w:rFonts w:ascii="Calibri" w:hAnsi="Calibri"/>
          <w:sz w:val="21"/>
        </w:rPr>
        <w:t xml:space="preserve">), </w:t>
      </w:r>
      <w:r>
        <w:rPr>
          <w:rFonts w:ascii="Calibri" w:hAnsi="Calibri"/>
          <w:b/>
          <w:color w:val="1A2744"/>
          <w:sz w:val="21"/>
        </w:rPr>
        <w:t>ya no funcionaba</w:t>
      </w:r>
      <w:r>
        <w:rPr>
          <w:rFonts w:ascii="Calibri" w:hAnsi="Calibri"/>
          <w:sz w:val="21"/>
        </w:rPr>
        <w:t xml:space="preserve"> — Yahoo</w:t>
      </w:r>
    </w:p>
    <w:p>
      <w:pPr>
        <w:spacing w:after="160"/>
      </w:pPr>
      <w:r>
        <w:rPr>
          <w:rFonts w:ascii="Calibri" w:hAnsi="Calibri"/>
          <w:sz w:val="21"/>
        </w:rPr>
        <w:t>Finance había cambiado su API y la librería vieja no sabía hablarle más.</w:t>
      </w:r>
    </w:p>
    <w:p>
      <w:pPr>
        <w:spacing w:after="160"/>
      </w:pPr>
      <w:r>
        <w:rPr>
          <w:rFonts w:ascii="Calibri" w:hAnsi="Calibri"/>
          <w:sz w:val="21"/>
        </w:rPr>
        <w:t>Fallaban los 77 tickers, el 100%.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Cómo se resolvió:</w:t>
      </w:r>
      <w:r>
        <w:rPr>
          <w:rFonts w:ascii="Calibri" w:hAnsi="Calibri"/>
          <w:sz w:val="21"/>
        </w:rPr>
        <w:t xml:space="preserve"> actualizar </w:t>
      </w:r>
      <w:r>
        <w:rPr>
          <w:rFonts w:ascii="Calibri" w:hAnsi="Calibri"/>
          <w:color w:val="B34700"/>
          <w:sz w:val="21"/>
        </w:rPr>
        <w:t>yfinance</w:t>
      </w:r>
      <w:r>
        <w:rPr>
          <w:rFonts w:ascii="Calibri" w:hAnsi="Calibri"/>
          <w:sz w:val="21"/>
        </w:rPr>
        <w:t xml:space="preserve"> a una versión nueva (</w:t>
      </w:r>
      <w:r>
        <w:rPr>
          <w:rFonts w:ascii="Calibri" w:hAnsi="Calibri"/>
          <w:color w:val="B34700"/>
          <w:sz w:val="21"/>
        </w:rPr>
        <w:t>1.4.1</w:t>
      </w:r>
      <w:r>
        <w:rPr>
          <w:rFonts w:ascii="Calibri" w:hAnsi="Calibri"/>
          <w:sz w:val="21"/>
        </w:rPr>
        <w:t>)</w:t>
      </w:r>
    </w:p>
    <w:p>
      <w:pPr>
        <w:spacing w:after="160"/>
      </w:pPr>
      <w:r>
        <w:rPr>
          <w:rFonts w:ascii="Calibri" w:hAnsi="Calibri"/>
          <w:sz w:val="21"/>
        </w:rPr>
        <w:t>resolvió todo de inmediato. Lección: una dependencia externa "que siempre</w:t>
      </w:r>
    </w:p>
    <w:p>
      <w:pPr>
        <w:spacing w:after="160"/>
      </w:pPr>
      <w:r>
        <w:rPr>
          <w:rFonts w:ascii="Calibri" w:hAnsi="Calibri"/>
          <w:sz w:val="21"/>
        </w:rPr>
        <w:t>funcionó" puede romperse sin avisar si el proveedor (Yahoo, en este caso)</w:t>
      </w:r>
    </w:p>
    <w:p>
      <w:pPr>
        <w:spacing w:after="160"/>
      </w:pPr>
      <w:r>
        <w:rPr>
          <w:rFonts w:ascii="Calibri" w:hAnsi="Calibri"/>
          <w:sz w:val="21"/>
        </w:rPr>
        <w:t>cambia algo del otro lado.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Resultado de este paso:</w:t>
      </w:r>
      <w:r>
        <w:rPr>
          <w:rFonts w:ascii="Calibri" w:hAnsi="Calibri"/>
          <w:sz w:val="21"/>
        </w:rPr>
        <w:t xml:space="preserve"> 77/77 precios OK. De los 77 financials, **65</w:t>
      </w:r>
    </w:p>
    <w:p>
      <w:pPr>
        <w:spacing w:after="160"/>
      </w:pPr>
      <w:r>
        <w:rPr>
          <w:rFonts w:ascii="Calibri" w:hAnsi="Calibri"/>
          <w:sz w:val="21"/>
        </w:rPr>
        <w:t>bajaron bien</w:t>
      </w:r>
      <w:r>
        <w:rPr>
          <w:rFonts w:ascii="Calibri" w:hAnsi="Calibri"/>
          <w:b/>
          <w:color w:val="1A2744"/>
          <w:sz w:val="21"/>
        </w:rPr>
        <w:t xml:space="preserve"> y </w:t>
      </w:r>
      <w:r>
        <w:rPr>
          <w:rFonts w:ascii="Calibri" w:hAnsi="Calibri"/>
          <w:sz w:val="21"/>
        </w:rPr>
        <w:t>12 fallaron** — todos emisores extranjeros sin datos</w:t>
      </w:r>
    </w:p>
    <w:p>
      <w:pPr>
        <w:spacing w:after="160"/>
      </w:pPr>
      <w:r>
        <w:rPr>
          <w:rFonts w:ascii="Calibri" w:hAnsi="Calibri"/>
          <w:sz w:val="21"/>
        </w:rPr>
        <w:t xml:space="preserve">completos en </w:t>
      </w:r>
      <w:r>
        <w:rPr>
          <w:rFonts w:ascii="Calibri" w:hAnsi="Calibri"/>
          <w:color w:val="B34700"/>
          <w:sz w:val="21"/>
        </w:rPr>
        <w:t>us-gaap</w:t>
      </w:r>
      <w:r>
        <w:rPr>
          <w:rFonts w:ascii="Calibri" w:hAnsi="Calibri"/>
          <w:sz w:val="21"/>
        </w:rPr>
        <w:t xml:space="preserve"> (ver el problema de IFRS más abajo).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Paso 3 — Calcular los ratios (acá aparecieron los bugs más interesantes)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`03_calcular_ratios.py`</w:t>
      </w:r>
      <w:r>
        <w:rPr>
          <w:rFonts w:ascii="Calibri" w:hAnsi="Calibri"/>
          <w:sz w:val="21"/>
        </w:rPr>
        <w:t xml:space="preserve"> toma</w:t>
      </w:r>
    </w:p>
    <w:p>
      <w:pPr>
        <w:spacing w:after="160"/>
      </w:pPr>
      <w:r>
        <w:rPr>
          <w:rFonts w:ascii="Calibri" w:hAnsi="Calibri"/>
          <w:sz w:val="21"/>
        </w:rPr>
        <w:t>los datos crudos y aplica las fórmulas de la Fase 1 (TTM, márgenes, ROE,</w:t>
      </w:r>
    </w:p>
    <w:p>
      <w:pPr>
        <w:spacing w:after="160"/>
      </w:pPr>
      <w:r>
        <w:rPr>
          <w:rFonts w:ascii="Calibri" w:hAnsi="Calibri"/>
          <w:sz w:val="21"/>
        </w:rPr>
        <w:t>etc.).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Bug #1 — CAT (Caterpillar) con un PER de 106.</w:t>
      </w:r>
      <w:r>
        <w:rPr>
          <w:rFonts w:ascii="Calibri" w:hAnsi="Calibri"/>
          <w:sz w:val="21"/>
        </w:rPr>
        <w:t xml:space="preserve"> Investigando por qué el</w:t>
      </w:r>
    </w:p>
    <w:p>
      <w:pPr>
        <w:spacing w:after="160"/>
      </w:pPr>
      <w:r>
        <w:rPr>
          <w:rFonts w:ascii="Calibri" w:hAnsi="Calibri"/>
          <w:sz w:val="21"/>
        </w:rPr>
        <w:t>margen neto y el PER de Caterpillar salían absurdos, se encontró que el tag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NetIncomeLoss</w:t>
      </w:r>
      <w:r>
        <w:rPr>
          <w:rFonts w:ascii="Calibri" w:hAnsi="Calibri"/>
          <w:sz w:val="21"/>
        </w:rPr>
        <w:t xml:space="preserve"> de esa empresa </w:t>
      </w:r>
      <w:r>
        <w:rPr>
          <w:rFonts w:ascii="Calibri" w:hAnsi="Calibri"/>
          <w:b/>
          <w:color w:val="1A2744"/>
          <w:sz w:val="21"/>
        </w:rPr>
        <w:t>deja de tener datos desde 2011</w:t>
      </w:r>
      <w:r>
        <w:rPr>
          <w:rFonts w:ascii="Calibri" w:hAnsi="Calibri"/>
          <w:sz w:val="21"/>
        </w:rPr>
        <w:t xml:space="preserve"> — Caterpillar</w:t>
      </w:r>
    </w:p>
    <w:p>
      <w:pPr>
        <w:spacing w:after="160"/>
      </w:pPr>
      <w:r>
        <w:rPr>
          <w:rFonts w:ascii="Calibri" w:hAnsi="Calibri"/>
          <w:sz w:val="21"/>
        </w:rPr>
        <w:t>consolida una subsidiaria financiera y, por eso, tagea su ganancia neta con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ProfitLoss</w:t>
      </w:r>
      <w:r>
        <w:rPr>
          <w:rFonts w:ascii="Calibri" w:hAnsi="Calibri"/>
          <w:sz w:val="21"/>
        </w:rPr>
        <w:t xml:space="preserve"> en vez de </w:t>
      </w:r>
      <w:r>
        <w:rPr>
          <w:rFonts w:ascii="Calibri" w:hAnsi="Calibri"/>
          <w:color w:val="B34700"/>
          <w:sz w:val="21"/>
        </w:rPr>
        <w:t>NetIncomeLoss</w:t>
      </w:r>
      <w:r>
        <w:rPr>
          <w:rFonts w:ascii="Calibri" w:hAnsi="Calibri"/>
          <w:sz w:val="21"/>
        </w:rPr>
        <w:t>. El cálculo estaba dividiendo un Net</w:t>
      </w:r>
    </w:p>
    <w:p>
      <w:pPr>
        <w:spacing w:after="160"/>
      </w:pPr>
      <w:r>
        <w:rPr>
          <w:rFonts w:ascii="Calibri" w:hAnsi="Calibri"/>
          <w:sz w:val="21"/>
        </w:rPr>
        <w:t>Income de hace 15 años contra acciones de hoy.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Cómo se resolvió:</w:t>
      </w:r>
      <w:r>
        <w:rPr>
          <w:rFonts w:ascii="Calibri" w:hAnsi="Calibri"/>
          <w:sz w:val="21"/>
        </w:rPr>
        <w:t xml:space="preserve"> agregar </w:t>
      </w:r>
      <w:r>
        <w:rPr>
          <w:rFonts w:ascii="Calibri" w:hAnsi="Calibri"/>
          <w:color w:val="B34700"/>
          <w:sz w:val="21"/>
        </w:rPr>
        <w:t>ProfitLoss</w:t>
      </w:r>
      <w:r>
        <w:rPr>
          <w:rFonts w:ascii="Calibri" w:hAnsi="Calibri"/>
          <w:sz w:val="21"/>
        </w:rPr>
        <w:t xml:space="preserve"> como alternativa (*fallback*) de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NetIncomeLoss</w:t>
      </w:r>
      <w:r>
        <w:rPr>
          <w:rFonts w:ascii="Calibri" w:hAnsi="Calibri"/>
          <w:sz w:val="21"/>
        </w:rPr>
        <w:t xml:space="preserve"> — un cambio de una línea, ya documentado en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`GUIA_SEC_EDGAR_PARA_DEVS.md`</w:t>
      </w:r>
    </w:p>
    <w:p>
      <w:pPr>
        <w:spacing w:after="160"/>
      </w:pPr>
      <w:r>
        <w:rPr>
          <w:rFonts w:ascii="Calibri" w:hAnsi="Calibri"/>
          <w:sz w:val="21"/>
        </w:rPr>
        <w:t xml:space="preserve">pero que </w:t>
      </w:r>
      <w:r>
        <w:rPr>
          <w:rFonts w:ascii="Calibri" w:hAnsi="Calibri"/>
          <w:b/>
          <w:color w:val="1A2744"/>
          <w:sz w:val="21"/>
        </w:rPr>
        <w:t>nadie había implementado todavía</w:t>
      </w:r>
      <w:r>
        <w:rPr>
          <w:rFonts w:ascii="Calibri" w:hAnsi="Calibri"/>
          <w:sz w:val="21"/>
        </w:rPr>
        <w:t>.</w:t>
      </w:r>
    </w:p>
    <w:p>
      <w:pPr>
        <w:spacing w:after="160"/>
      </w:pPr>
      <w:r>
        <w:rPr>
          <w:rFonts w:ascii="Calibri" w:hAnsi="Calibri"/>
          <w:sz w:val="21"/>
        </w:rPr>
        <w:t>**Bug #2 — los datos IFRS nunca se extraían (encontrado, pero NO arreglado en</w:t>
      </w:r>
    </w:p>
    <w:p>
      <w:pPr>
        <w:spacing w:after="160"/>
      </w:pPr>
      <w:r>
        <w:rPr>
          <w:rFonts w:ascii="Calibri" w:hAnsi="Calibri"/>
          <w:sz w:val="21"/>
        </w:rPr>
        <w:t>esta fase).** Las empresas extranjeras (India, Brasil, Europa) no usan la</w:t>
      </w:r>
    </w:p>
    <w:p>
      <w:pPr>
        <w:spacing w:after="160"/>
      </w:pPr>
      <w:r>
        <w:rPr>
          <w:rFonts w:ascii="Calibri" w:hAnsi="Calibri"/>
          <w:sz w:val="21"/>
        </w:rPr>
        <w:t xml:space="preserve">taxonomía </w:t>
      </w:r>
      <w:r>
        <w:rPr>
          <w:rFonts w:ascii="Calibri" w:hAnsi="Calibri"/>
          <w:color w:val="B34700"/>
          <w:sz w:val="21"/>
        </w:rPr>
        <w:t>us-gaap</w:t>
      </w:r>
      <w:r>
        <w:rPr>
          <w:rFonts w:ascii="Calibri" w:hAnsi="Calibri"/>
          <w:sz w:val="21"/>
        </w:rPr>
        <w:t xml:space="preserve">, usan </w:t>
      </w:r>
      <w:r>
        <w:rPr>
          <w:rFonts w:ascii="Calibri" w:hAnsi="Calibri"/>
          <w:color w:val="B34700"/>
          <w:sz w:val="21"/>
        </w:rPr>
        <w:t>ifrs-full</w:t>
      </w:r>
      <w:r>
        <w:rPr>
          <w:rFonts w:ascii="Calibri" w:hAnsi="Calibri"/>
          <w:sz w:val="21"/>
        </w:rPr>
        <w:t xml:space="preserve">, que tiene </w:t>
      </w:r>
      <w:r>
        <w:rPr>
          <w:rFonts w:ascii="Calibri" w:hAnsi="Calibri"/>
          <w:b/>
          <w:color w:val="1A2744"/>
          <w:sz w:val="21"/>
        </w:rPr>
        <w:t>otros nombres de tag</w:t>
      </w:r>
    </w:p>
    <w:p>
      <w:pPr>
        <w:spacing w:after="160"/>
      </w:pPr>
      <w:r>
        <w:rPr>
          <w:rFonts w:ascii="Calibri" w:hAnsi="Calibri"/>
          <w:sz w:val="21"/>
        </w:rPr>
        <w:t>(</w:t>
      </w:r>
      <w:r>
        <w:rPr>
          <w:rFonts w:ascii="Calibri" w:hAnsi="Calibri"/>
          <w:color w:val="B34700"/>
          <w:sz w:val="21"/>
        </w:rPr>
        <w:t>ProfitLoss</w:t>
      </w:r>
      <w:r>
        <w:rPr>
          <w:rFonts w:ascii="Calibri" w:hAnsi="Calibri"/>
          <w:sz w:val="21"/>
        </w:rPr>
        <w:t xml:space="preserve"> en vez de </w:t>
      </w:r>
      <w:r>
        <w:rPr>
          <w:rFonts w:ascii="Calibri" w:hAnsi="Calibri"/>
          <w:color w:val="B34700"/>
          <w:sz w:val="21"/>
        </w:rPr>
        <w:t>NetIncomeLoss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B34700"/>
          <w:sz w:val="21"/>
        </w:rPr>
        <w:t>Revenue</w:t>
      </w:r>
      <w:r>
        <w:rPr>
          <w:rFonts w:ascii="Calibri" w:hAnsi="Calibri"/>
          <w:sz w:val="21"/>
        </w:rPr>
        <w:t xml:space="preserve"> en vez de </w:t>
      </w:r>
      <w:r>
        <w:rPr>
          <w:rFonts w:ascii="Calibri" w:hAnsi="Calibri"/>
          <w:color w:val="B34700"/>
          <w:sz w:val="21"/>
        </w:rPr>
        <w:t>Revenues</w:t>
      </w:r>
      <w:r>
        <w:rPr>
          <w:rFonts w:ascii="Calibri" w:hAnsi="Calibri"/>
          <w:sz w:val="21"/>
        </w:rPr>
        <w:t>, etc.).</w:t>
      </w:r>
    </w:p>
    <w:p>
      <w:pPr>
        <w:spacing w:after="160"/>
      </w:pPr>
      <w:r>
        <w:rPr>
          <w:rFonts w:ascii="Calibri" w:hAnsi="Calibri"/>
          <w:sz w:val="21"/>
        </w:rPr>
        <w:t xml:space="preserve">El código que hace el fallback a </w:t>
      </w:r>
      <w:r>
        <w:rPr>
          <w:rFonts w:ascii="Calibri" w:hAnsi="Calibri"/>
          <w:color w:val="B34700"/>
          <w:sz w:val="21"/>
        </w:rPr>
        <w:t>ifrs-full</w:t>
      </w:r>
      <w:r>
        <w:rPr>
          <w:rFonts w:ascii="Calibri" w:hAnsi="Calibri"/>
          <w:sz w:val="21"/>
        </w:rPr>
        <w:t xml:space="preserve"> seguía buscando los nombres de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us-gaap</w:t>
      </w:r>
      <w:r>
        <w:rPr>
          <w:rFonts w:ascii="Calibri" w:hAnsi="Calibri"/>
          <w:sz w:val="21"/>
        </w:rPr>
        <w:t xml:space="preserve"> — entonces nunca encontraba nada, y esas 11 empresas quedaban</w:t>
      </w:r>
    </w:p>
    <w:p>
      <w:pPr>
        <w:spacing w:after="160"/>
      </w:pPr>
      <w:r>
        <w:rPr>
          <w:rFonts w:ascii="Calibri" w:hAnsi="Calibri"/>
          <w:sz w:val="21"/>
        </w:rPr>
        <w:t>marcadas como "sin datos" cuando en realidad **sí tenían datos, solo que con</w:t>
      </w:r>
    </w:p>
    <w:p>
      <w:pPr>
        <w:spacing w:after="160"/>
      </w:pPr>
      <w:r>
        <w:rPr>
          <w:rFonts w:ascii="Calibri" w:hAnsi="Calibri"/>
          <w:sz w:val="21"/>
        </w:rPr>
        <w:t>otro nombre**. Se verificó con ING (un banco holandés con 482 tags ifrs-full</w:t>
      </w:r>
    </w:p>
    <w:p>
      <w:pPr>
        <w:spacing w:after="160"/>
      </w:pPr>
      <w:r>
        <w:rPr>
          <w:rFonts w:ascii="Calibri" w:hAnsi="Calibri"/>
          <w:sz w:val="21"/>
        </w:rPr>
        <w:t>disponibles) que el dato realmente estaba ahí.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Por qué no se arregló en el momento:</w:t>
      </w:r>
      <w:r>
        <w:rPr>
          <w:rFonts w:ascii="Calibri" w:hAnsi="Calibri"/>
          <w:sz w:val="21"/>
        </w:rPr>
        <w:t xml:space="preserve"> arreglarlo bien requería mapear ~10</w:t>
      </w:r>
    </w:p>
    <w:p>
      <w:pPr>
        <w:spacing w:after="160"/>
      </w:pPr>
      <w:r>
        <w:rPr>
          <w:rFonts w:ascii="Calibri" w:hAnsi="Calibri"/>
          <w:sz w:val="21"/>
        </w:rPr>
        <w:t>tags IFRS y decidir qué hacer con monedas no-USD (EUR, GBP, etc.) — una</w:t>
      </w:r>
    </w:p>
    <w:p>
      <w:pPr>
        <w:spacing w:after="160"/>
      </w:pPr>
      <w:r>
        <w:rPr>
          <w:rFonts w:ascii="Calibri" w:hAnsi="Calibri"/>
          <w:sz w:val="21"/>
        </w:rPr>
        <w:t>decisión de diseño más grande de lo que daba el tiempo de esa sesión. Se</w:t>
      </w:r>
    </w:p>
    <w:p>
      <w:pPr>
        <w:spacing w:after="160"/>
      </w:pPr>
      <w:r>
        <w:rPr>
          <w:rFonts w:ascii="Calibri" w:hAnsi="Calibri"/>
          <w:sz w:val="21"/>
        </w:rPr>
        <w:t>documentó como pendiente en vez de improvisar una solución a medias. **Esto</w:t>
      </w:r>
    </w:p>
    <w:p>
      <w:pPr>
        <w:spacing w:after="160"/>
      </w:pPr>
      <w:r>
        <w:rPr>
          <w:rFonts w:ascii="Calibri" w:hAnsi="Calibri"/>
          <w:sz w:val="21"/>
        </w:rPr>
        <w:t>es importante: quedó anotado como deuda técnica consciente, no como un</w:t>
      </w:r>
    </w:p>
    <w:p>
      <w:pPr>
        <w:spacing w:after="160"/>
      </w:pPr>
      <w:r>
        <w:rPr>
          <w:rFonts w:ascii="Calibri" w:hAnsi="Calibri"/>
          <w:sz w:val="21"/>
        </w:rPr>
        <w:t>descuido.**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Resultado de este paso:</w:t>
      </w:r>
      <w:r>
        <w:rPr>
          <w:rFonts w:ascii="Calibri" w:hAnsi="Calibri"/>
          <w:sz w:val="21"/>
        </w:rPr>
        <w:t xml:space="preserve"> de 65 empresas con financials, 48 quedaron con</w:t>
      </w:r>
    </w:p>
    <w:p>
      <w:pPr>
        <w:spacing w:after="160"/>
      </w:pPr>
      <w:r>
        <w:rPr>
          <w:rFonts w:ascii="Calibri" w:hAnsi="Calibri"/>
          <w:sz w:val="21"/>
        </w:rPr>
        <w:t>ratios completos. El resto, NULL explícito en lo que faltaba — nunca un número</w:t>
      </w:r>
    </w:p>
    <w:p>
      <w:pPr>
        <w:spacing w:after="160"/>
      </w:pPr>
      <w:r>
        <w:rPr>
          <w:rFonts w:ascii="Calibri" w:hAnsi="Calibri"/>
          <w:sz w:val="21"/>
        </w:rPr>
        <w:t>inventado.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Paso 4 y 5 — Reporte y comparación contra Investing.com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`04_generar_reporte.py`</w:t>
      </w:r>
      <w:r>
        <w:rPr>
          <w:rFonts w:ascii="Calibri" w:hAnsi="Calibri"/>
          <w:sz w:val="21"/>
        </w:rPr>
        <w:t xml:space="preserve"> armó</w:t>
      </w:r>
    </w:p>
    <w:p>
      <w:pPr>
        <w:spacing w:after="160"/>
      </w:pPr>
      <w:r>
        <w:rPr>
          <w:rFonts w:ascii="Calibri" w:hAnsi="Calibri"/>
          <w:sz w:val="21"/>
        </w:rPr>
        <w:t xml:space="preserve">el primer Excel. </w:t>
      </w:r>
      <w:r>
        <w:rPr>
          <w:rFonts w:ascii="Calibri" w:hAnsi="Calibri"/>
          <w:color w:val="3B82F6"/>
          <w:sz w:val="21"/>
          <w:u w:val="single"/>
        </w:rPr>
        <w:t>`05_comparar_investing.py`</w:t>
      </w:r>
    </w:p>
    <w:p>
      <w:pPr>
        <w:spacing w:after="160"/>
      </w:pPr>
      <w:r>
        <w:rPr>
          <w:rFonts w:ascii="Calibri" w:hAnsi="Calibri"/>
          <w:sz w:val="21"/>
        </w:rPr>
        <w:t>cruzó esos resultados contra una planilla cargada a mano desde Investing.com</w:t>
      </w:r>
    </w:p>
    <w:p>
      <w:pPr>
        <w:spacing w:after="160"/>
      </w:pPr>
      <w:r>
        <w:rPr>
          <w:rFonts w:ascii="Calibri" w:hAnsi="Calibri"/>
          <w:sz w:val="21"/>
        </w:rPr>
        <w:t>(</w:t>
      </w:r>
      <w:r>
        <w:rPr>
          <w:rFonts w:ascii="Calibri" w:hAnsi="Calibri"/>
          <w:color w:val="B34700"/>
          <w:sz w:val="21"/>
        </w:rPr>
        <w:t>informe_seguimiento_detallado.xlsx</w:t>
      </w:r>
      <w:r>
        <w:rPr>
          <w:rFonts w:ascii="Calibri" w:hAnsi="Calibri"/>
          <w:sz w:val="21"/>
        </w:rPr>
        <w:t>).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Problema encontrado (de infraestructura, no de datos):</w:t>
      </w:r>
      <w:r>
        <w:rPr>
          <w:rFonts w:ascii="Calibri" w:hAnsi="Calibri"/>
          <w:sz w:val="21"/>
        </w:rPr>
        <w:t xml:space="preserve"> el archivo CSV que</w:t>
      </w:r>
    </w:p>
    <w:p>
      <w:pPr>
        <w:spacing w:after="160"/>
      </w:pPr>
      <w:r>
        <w:rPr>
          <w:rFonts w:ascii="Calibri" w:hAnsi="Calibri"/>
          <w:sz w:val="21"/>
        </w:rPr>
        <w:t>se estaba editando se corrompió cuando Excel lo volvió a guardar — cambió el</w:t>
      </w:r>
    </w:p>
    <w:p>
      <w:pPr>
        <w:spacing w:after="160"/>
      </w:pPr>
      <w:r>
        <w:rPr>
          <w:rFonts w:ascii="Calibri" w:hAnsi="Calibri"/>
          <w:sz w:val="21"/>
        </w:rPr>
        <w:t xml:space="preserve">separador de columnas de </w:t>
      </w:r>
      <w:r>
        <w:rPr>
          <w:rFonts w:ascii="Calibri" w:hAnsi="Calibri"/>
          <w:color w:val="B34700"/>
          <w:sz w:val="21"/>
        </w:rPr>
        <w:t>,</w:t>
      </w:r>
      <w:r>
        <w:rPr>
          <w:rFonts w:ascii="Calibri" w:hAnsi="Calibri"/>
          <w:sz w:val="21"/>
        </w:rPr>
        <w:t xml:space="preserve"> a </w:t>
      </w:r>
      <w:r>
        <w:rPr>
          <w:rFonts w:ascii="Calibri" w:hAnsi="Calibri"/>
          <w:color w:val="B34700"/>
          <w:sz w:val="21"/>
        </w:rPr>
        <w:t>;</w:t>
      </w:r>
      <w:r>
        <w:rPr>
          <w:rFonts w:ascii="Calibri" w:hAnsi="Calibri"/>
          <w:sz w:val="21"/>
        </w:rPr>
        <w:t xml:space="preserve"> (por la configuración regional en</w:t>
      </w:r>
    </w:p>
    <w:p>
      <w:pPr>
        <w:spacing w:after="160"/>
      </w:pPr>
      <w:r>
        <w:rPr>
          <w:rFonts w:ascii="Calibri" w:hAnsi="Calibri"/>
          <w:sz w:val="21"/>
        </w:rPr>
        <w:t>español) y agregó cientos de filas vacías. El primer intento de</w:t>
      </w:r>
    </w:p>
    <w:p>
      <w:pPr>
        <w:spacing w:after="160"/>
      </w:pPr>
      <w:r>
        <w:rPr>
          <w:rFonts w:ascii="Calibri" w:hAnsi="Calibri"/>
          <w:sz w:val="21"/>
        </w:rPr>
        <w:t xml:space="preserve">sobreescribirlo </w:t>
      </w:r>
      <w:r>
        <w:rPr>
          <w:rFonts w:ascii="Calibri" w:hAnsi="Calibri"/>
          <w:b/>
          <w:color w:val="1A2744"/>
          <w:sz w:val="21"/>
        </w:rPr>
        <w:t>empeoró el daño</w:t>
      </w:r>
      <w:r>
        <w:rPr>
          <w:rFonts w:ascii="Calibri" w:hAnsi="Calibri"/>
          <w:sz w:val="21"/>
        </w:rPr>
        <w:t>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Cómo se resolvió:</w:t>
      </w:r>
      <w:r>
        <w:rPr>
          <w:rFonts w:ascii="Calibri" w:hAnsi="Calibri"/>
          <w:sz w:val="21"/>
        </w:rPr>
        <w:t xml:space="preserve"> restaurar desde un backup hecho *antes* de tocar nada</w:t>
      </w:r>
    </w:p>
    <w:p>
      <w:pPr>
        <w:spacing w:after="160"/>
      </w:pPr>
      <w:r>
        <w:rPr>
          <w:rFonts w:ascii="Calibri" w:hAnsi="Calibri"/>
          <w:sz w:val="21"/>
        </w:rPr>
        <w:t xml:space="preserve">(por eso conviene </w:t>
      </w:r>
      <w:r>
        <w:rPr>
          <w:rFonts w:ascii="Calibri" w:hAnsi="Calibri"/>
          <w:b/>
          <w:color w:val="1A2744"/>
          <w:sz w:val="21"/>
        </w:rPr>
        <w:t>siempre</w:t>
      </w:r>
      <w:r>
        <w:rPr>
          <w:rFonts w:ascii="Calibri" w:hAnsi="Calibri"/>
          <w:sz w:val="21"/>
        </w:rPr>
        <w:t xml:space="preserve"> hacer una copia antes de escribir sobre un</w:t>
      </w:r>
    </w:p>
    <w:p>
      <w:pPr>
        <w:spacing w:after="160"/>
      </w:pPr>
      <w:r>
        <w:rPr>
          <w:rFonts w:ascii="Calibri" w:hAnsi="Calibri"/>
          <w:sz w:val="21"/>
        </w:rPr>
        <w:t>archivo real), y blindar el script para que: detecte el separador</w:t>
      </w:r>
    </w:p>
    <w:p>
      <w:pPr>
        <w:spacing w:after="160"/>
      </w:pPr>
      <w:r>
        <w:rPr>
          <w:rFonts w:ascii="Calibri" w:hAnsi="Calibri"/>
          <w:sz w:val="21"/>
        </w:rPr>
        <w:t>automáticamente, valide que el archivo tiene la forma esperada *antes* de</w:t>
      </w:r>
    </w:p>
    <w:p>
      <w:pPr>
        <w:spacing w:after="160"/>
      </w:pPr>
      <w:r>
        <w:rPr>
          <w:rFonts w:ascii="Calibri" w:hAnsi="Calibri"/>
          <w:sz w:val="21"/>
        </w:rPr>
        <w:t>escribir, y escriba primero a un archivo temporal que se valida antes de</w:t>
      </w:r>
    </w:p>
    <w:p>
      <w:pPr>
        <w:spacing w:after="160"/>
      </w:pPr>
      <w:r>
        <w:rPr>
          <w:rFonts w:ascii="Calibri" w:hAnsi="Calibri"/>
          <w:sz w:val="21"/>
        </w:rPr>
        <w:t>reemplazar el real.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Problema encontrado (conceptual):</w:t>
      </w:r>
      <w:r>
        <w:rPr>
          <w:rFonts w:ascii="Calibri" w:hAnsi="Calibri"/>
          <w:sz w:val="21"/>
        </w:rPr>
        <w:t xml:space="preserve"> comparar el ROE de Investing.com contra</w:t>
      </w:r>
    </w:p>
    <w:p>
      <w:pPr>
        <w:spacing w:after="160"/>
      </w:pPr>
      <w:r>
        <w:rPr>
          <w:rFonts w:ascii="Calibri" w:hAnsi="Calibri"/>
          <w:sz w:val="21"/>
        </w:rPr>
        <w:t>nuestro cálculo daba resultados sin sentido. La razón: Investing.com muestra</w:t>
      </w:r>
    </w:p>
    <w:p>
      <w:pPr>
        <w:spacing w:after="160"/>
      </w:pPr>
      <w:r>
        <w:rPr>
          <w:rFonts w:ascii="Calibri" w:hAnsi="Calibri"/>
          <w:sz w:val="21"/>
        </w:rPr>
        <w:t>el ROE como una foto puntual (Net Income TTM / Equity), pero el pipeline solo</w:t>
      </w:r>
    </w:p>
    <w:p>
      <w:pPr>
        <w:spacing w:after="160"/>
      </w:pPr>
      <w:r>
        <w:rPr>
          <w:rFonts w:ascii="Calibri" w:hAnsi="Calibri"/>
          <w:sz w:val="21"/>
        </w:rPr>
        <w:t xml:space="preserve">tenía calculado el </w:t>
      </w:r>
      <w:r>
        <w:rPr>
          <w:rFonts w:ascii="Calibri" w:hAnsi="Calibri"/>
          <w:b/>
          <w:color w:val="1A2744"/>
          <w:sz w:val="21"/>
        </w:rPr>
        <w:t>CAGR del ROE a 5 años</w:t>
      </w:r>
      <w:r>
        <w:rPr>
          <w:rFonts w:ascii="Calibri" w:hAnsi="Calibri"/>
          <w:sz w:val="21"/>
        </w:rPr>
        <w:t xml:space="preserve"> (una tasa de crecimiento, no un</w:t>
      </w:r>
    </w:p>
    <w:p>
      <w:pPr>
        <w:spacing w:after="160"/>
      </w:pPr>
      <w:r>
        <w:rPr>
          <w:rFonts w:ascii="Calibri" w:hAnsi="Calibri"/>
          <w:sz w:val="21"/>
        </w:rPr>
        <w:t>nivel). Son dos magnitudes distintas — compararlas es como comparar</w:t>
      </w:r>
    </w:p>
    <w:p>
      <w:pPr>
        <w:spacing w:after="160"/>
      </w:pPr>
      <w:r>
        <w:rPr>
          <w:rFonts w:ascii="Calibri" w:hAnsi="Calibri"/>
          <w:sz w:val="21"/>
        </w:rPr>
        <w:t>"temperatura de hoy" contra "cuánto subió la temperatura en 5 años".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Cómo se resolvió:</w:t>
      </w:r>
      <w:r>
        <w:rPr>
          <w:rFonts w:ascii="Calibri" w:hAnsi="Calibri"/>
          <w:sz w:val="21"/>
        </w:rPr>
        <w:t xml:space="preserve"> agregar el cálculo de ROE TTM simple, sin tocar el CAGR</w:t>
      </w:r>
    </w:p>
    <w:p>
      <w:pPr>
        <w:spacing w:after="160"/>
      </w:pPr>
      <w:r>
        <w:rPr>
          <w:rFonts w:ascii="Calibri" w:hAnsi="Calibri"/>
          <w:sz w:val="21"/>
        </w:rPr>
        <w:t>existente (que sirve para otra cosa).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Paso 6 y 7 — Mostrar la cuenta completa y encontrar outliers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`06_generar_calculos_edgar.py`</w:t>
      </w:r>
    </w:p>
    <w:p>
      <w:pPr>
        <w:spacing w:after="160"/>
      </w:pPr>
      <w:r>
        <w:rPr>
          <w:rFonts w:ascii="Calibri" w:hAnsi="Calibri"/>
          <w:sz w:val="21"/>
        </w:rPr>
        <w:t xml:space="preserve">agregó una solapa que desglosa </w:t>
      </w:r>
      <w:r>
        <w:rPr>
          <w:rFonts w:ascii="Calibri" w:hAnsi="Calibri"/>
          <w:b/>
          <w:color w:val="1A2744"/>
          <w:sz w:val="21"/>
        </w:rPr>
        <w:t>cada ratio en su fórmula completa</w:t>
      </w:r>
      <w:r>
        <w:rPr>
          <w:rFonts w:ascii="Calibri" w:hAnsi="Calibri"/>
          <w:sz w:val="21"/>
        </w:rPr>
        <w:t xml:space="preserve"> con</w:t>
      </w:r>
    </w:p>
    <w:p>
      <w:pPr>
        <w:spacing w:after="160"/>
      </w:pPr>
      <w:r>
        <w:rPr>
          <w:rFonts w:ascii="Calibri" w:hAnsi="Calibri"/>
          <w:sz w:val="21"/>
        </w:rPr>
        <w:t>celdas de Excel encadenadas (PER = Precio / EPS_TTM, donde EPS_TTM = Net</w:t>
      </w:r>
    </w:p>
    <w:p>
      <w:pPr>
        <w:spacing w:after="160"/>
      </w:pPr>
      <w:r>
        <w:rPr>
          <w:rFonts w:ascii="Calibri" w:hAnsi="Calibri"/>
          <w:sz w:val="21"/>
        </w:rPr>
        <w:t>Income TTM / Acciones, etc.) — para que cualquiera pueda auditar de dónde</w:t>
      </w:r>
    </w:p>
    <w:p>
      <w:pPr>
        <w:spacing w:after="160"/>
      </w:pPr>
      <w:r>
        <w:rPr>
          <w:rFonts w:ascii="Calibri" w:hAnsi="Calibri"/>
          <w:sz w:val="21"/>
        </w:rPr>
        <w:t>sale cada número sin abrir el JSON crudo.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`07_generar_estadisticas.py`</w:t>
      </w:r>
    </w:p>
    <w:p>
      <w:pPr>
        <w:spacing w:after="160"/>
      </w:pPr>
      <w:r>
        <w:rPr>
          <w:rFonts w:ascii="Calibri" w:hAnsi="Calibri"/>
          <w:sz w:val="21"/>
        </w:rPr>
        <w:t>calculó estadística (media, desvío, P50/P90/P95/P99) de la divergencia entre</w:t>
      </w:r>
    </w:p>
    <w:p>
      <w:pPr>
        <w:spacing w:after="160"/>
      </w:pPr>
      <w:r>
        <w:rPr>
          <w:rFonts w:ascii="Calibri" w:hAnsi="Calibri"/>
          <w:sz w:val="21"/>
        </w:rPr>
        <w:t xml:space="preserve">EDGAR e Investing, y para los </w:t>
      </w:r>
      <w:r>
        <w:rPr>
          <w:rFonts w:ascii="Calibri" w:hAnsi="Calibri"/>
          <w:b/>
          <w:color w:val="1A2744"/>
          <w:sz w:val="21"/>
        </w:rPr>
        <w:t>outliers</w:t>
      </w:r>
      <w:r>
        <w:rPr>
          <w:rFonts w:ascii="Calibri" w:hAnsi="Calibri"/>
          <w:sz w:val="21"/>
        </w:rPr>
        <w:t xml:space="preserve"> (los peores casos) hizo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ingeniería inversa</w:t>
      </w:r>
      <w:r>
        <w:rPr>
          <w:rFonts w:ascii="Calibri" w:hAnsi="Calibri"/>
          <w:sz w:val="21"/>
        </w:rPr>
        <w:t>: "si el número de Investing fuera correcto, ¿qué</w:t>
      </w:r>
    </w:p>
    <w:p>
      <w:pPr>
        <w:spacing w:after="160"/>
      </w:pPr>
      <w:r>
        <w:rPr>
          <w:rFonts w:ascii="Calibri" w:hAnsi="Calibri"/>
          <w:sz w:val="21"/>
        </w:rPr>
        <w:t>Net Income/Equity/Dividendos implicaría? ¿Y qué tan lejos está eso de lo que</w:t>
      </w:r>
    </w:p>
    <w:p>
      <w:pPr>
        <w:spacing w:after="160"/>
      </w:pPr>
      <w:r>
        <w:rPr>
          <w:rFonts w:ascii="Calibri" w:hAnsi="Calibri"/>
          <w:sz w:val="21"/>
        </w:rPr>
        <w:t xml:space="preserve">realmente dice EDGAR?". Así se encontró, por ejemplo, que </w:t>
      </w:r>
      <w:r>
        <w:rPr>
          <w:rFonts w:ascii="Calibri" w:hAnsi="Calibri"/>
          <w:b/>
          <w:color w:val="1A2744"/>
          <w:sz w:val="21"/>
        </w:rPr>
        <w:t>NMR (Nomura)</w:t>
      </w:r>
    </w:p>
    <w:p>
      <w:pPr>
        <w:spacing w:after="160"/>
      </w:pPr>
      <w:r>
        <w:rPr>
          <w:rFonts w:ascii="Calibri" w:hAnsi="Calibri"/>
          <w:sz w:val="21"/>
        </w:rPr>
        <w:t>tiene un error de escala **en el propio filing que la empresa le mandó a la</w:t>
      </w:r>
    </w:p>
    <w:p>
      <w:pPr>
        <w:spacing w:after="160"/>
      </w:pPr>
      <w:r>
        <w:rPr>
          <w:rFonts w:ascii="Calibri" w:hAnsi="Calibri"/>
          <w:sz w:val="21"/>
        </w:rPr>
        <w:t>SEC** (las acciones en circulación están tageadas con un millón de veces el</w:t>
      </w:r>
    </w:p>
    <w:p>
      <w:pPr>
        <w:spacing w:after="160"/>
      </w:pPr>
      <w:r>
        <w:rPr>
          <w:rFonts w:ascii="Calibri" w:hAnsi="Calibri"/>
          <w:sz w:val="21"/>
        </w:rPr>
        <w:t>valor real) — no es un bug nuestro, es un dato sucio en el origen.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El documento que junta todo esto</w:t>
      </w:r>
      <w:r>
        <w:rPr>
          <w:rFonts w:ascii="Calibri" w:hAnsi="Calibri"/>
          <w:sz w:val="21"/>
        </w:rPr>
        <w:t xml:space="preserve"> es</w:t>
      </w:r>
    </w:p>
    <w:p>
      <w:pPr>
        <w:spacing w:after="160"/>
      </w:pPr>
      <w:r>
        <w:rPr>
          <w:rFonts w:ascii="Calibri" w:hAnsi="Calibri"/>
          <w:color w:val="3B82F6"/>
          <w:sz w:val="21"/>
          <w:u w:val="single"/>
        </w:rPr>
        <w:t>`DIAGNOSTICO_INVESTING_vs_EDGAR.md`</w:t>
      </w:r>
      <w:r>
        <w:rPr>
          <w:rFonts w:ascii="Calibri" w:hAnsi="Calibri"/>
          <w:sz w:val="21"/>
        </w:rPr>
        <w:t>:</w:t>
      </w:r>
    </w:p>
    <w:p>
      <w:pPr>
        <w:spacing w:after="160"/>
      </w:pPr>
      <w:r>
        <w:rPr>
          <w:rFonts w:ascii="Calibri" w:hAnsi="Calibri"/>
          <w:sz w:val="21"/>
        </w:rPr>
        <w:t xml:space="preserve">tiene las </w:t>
      </w:r>
      <w:r>
        <w:rPr>
          <w:rFonts w:ascii="Calibri" w:hAnsi="Calibri"/>
          <w:b/>
          <w:color w:val="1A2744"/>
          <w:sz w:val="21"/>
        </w:rPr>
        <w:t>10 causas raíz</w:t>
      </w:r>
      <w:r>
        <w:rPr>
          <w:rFonts w:ascii="Calibri" w:hAnsi="Calibri"/>
          <w:sz w:val="21"/>
        </w:rPr>
        <w:t xml:space="preserve"> encontradas en esta fase y el efecto medido de</w:t>
      </w:r>
    </w:p>
    <w:p>
      <w:pPr>
        <w:spacing w:after="160"/>
      </w:pPr>
      <w:r>
        <w:rPr>
          <w:rFonts w:ascii="Calibri" w:hAnsi="Calibri"/>
          <w:sz w:val="21"/>
        </w:rPr>
        <w:t xml:space="preserve">cada fix — las divergencias mayores al 10% bajaron de </w:t>
      </w:r>
      <w:r>
        <w:rPr>
          <w:rFonts w:ascii="Calibri" w:hAnsi="Calibri"/>
          <w:b/>
          <w:color w:val="1A2744"/>
          <w:sz w:val="21"/>
        </w:rPr>
        <w:t>107 a 39</w:t>
      </w:r>
      <w:r>
        <w:rPr>
          <w:rFonts w:ascii="Calibri" w:hAnsi="Calibri"/>
          <w:sz w:val="21"/>
        </w:rPr>
        <w:t xml:space="preserve"> (-64%) a</w:t>
      </w:r>
    </w:p>
    <w:p>
      <w:pPr>
        <w:spacing w:after="160"/>
      </w:pPr>
      <w:r>
        <w:rPr>
          <w:rFonts w:ascii="Calibri" w:hAnsi="Calibri"/>
          <w:sz w:val="21"/>
        </w:rPr>
        <w:t>medida que se iban resolviendo.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Conclusión de la Fase 2</w:t>
      </w:r>
    </w:p>
    <w:p>
      <w:pPr>
        <w:spacing w:after="160"/>
      </w:pPr>
      <w:r>
        <w:rPr>
          <w:rFonts w:ascii="Calibri" w:hAnsi="Calibri"/>
          <w:sz w:val="21"/>
        </w:rPr>
        <w:t xml:space="preserve">El método funciona </w:t>
      </w:r>
      <w:r>
        <w:rPr>
          <w:rFonts w:ascii="Calibri" w:hAnsi="Calibri"/>
          <w:b/>
          <w:color w:val="1A2744"/>
          <w:sz w:val="21"/>
        </w:rPr>
        <w:t>muy bien</w:t>
      </w:r>
      <w:r>
        <w:rPr>
          <w:rFonts w:ascii="Calibri" w:hAnsi="Calibri"/>
          <w:sz w:val="21"/>
        </w:rPr>
        <w:t xml:space="preserve"> para empresas de EE.UU. (mediana de</w:t>
      </w:r>
    </w:p>
    <w:p>
      <w:pPr>
        <w:spacing w:after="160"/>
      </w:pPr>
      <w:r>
        <w:rPr>
          <w:rFonts w:ascii="Calibri" w:hAnsi="Calibri"/>
          <w:sz w:val="21"/>
        </w:rPr>
        <w:t xml:space="preserve">divergencia: PER 1,3%, EPS y Margen casi exactos) y </w:t>
      </w:r>
      <w:r>
        <w:rPr>
          <w:rFonts w:ascii="Calibri" w:hAnsi="Calibri"/>
          <w:b/>
          <w:color w:val="1A2744"/>
          <w:sz w:val="21"/>
        </w:rPr>
        <w:t>bastante mal</w:t>
      </w:r>
      <w:r>
        <w:rPr>
          <w:rFonts w:ascii="Calibri" w:hAnsi="Calibri"/>
          <w:sz w:val="21"/>
        </w:rPr>
        <w:t xml:space="preserve"> para</w:t>
      </w:r>
    </w:p>
    <w:p>
      <w:pPr>
        <w:spacing w:after="160"/>
      </w:pPr>
      <w:r>
        <w:rPr>
          <w:rFonts w:ascii="Calibri" w:hAnsi="Calibri"/>
          <w:sz w:val="21"/>
        </w:rPr>
        <w:t>empresas extranjeras — pero ya se sabe exactamente por qué (el bug de IFRS</w:t>
      </w:r>
    </w:p>
    <w:p>
      <w:pPr>
        <w:spacing w:after="160"/>
      </w:pPr>
      <w:r>
        <w:rPr>
          <w:rFonts w:ascii="Calibri" w:hAnsi="Calibri"/>
          <w:sz w:val="21"/>
        </w:rPr>
        <w:t>pendiente) y exactamente qué haría falta para arreglarlo.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Cómo cambió el alcance:</w:t>
      </w:r>
      <w:r>
        <w:rPr>
          <w:rFonts w:ascii="Calibri" w:hAnsi="Calibri"/>
          <w:sz w:val="21"/>
        </w:rPr>
        <w:t xml:space="preserve"> se empezó queriendo "completar los ratios de</w:t>
      </w:r>
    </w:p>
    <w:p>
      <w:pPr>
        <w:spacing w:after="160"/>
      </w:pPr>
      <w:r>
        <w:rPr>
          <w:rFonts w:ascii="Calibri" w:hAnsi="Calibri"/>
          <w:sz w:val="21"/>
        </w:rPr>
        <w:t>Tickets.xlsx" y se terminó con un pipeline reproducible, 10 bugs documentados,</w:t>
      </w:r>
    </w:p>
    <w:p>
      <w:pPr>
        <w:spacing w:after="160"/>
      </w:pPr>
      <w:r>
        <w:rPr>
          <w:rFonts w:ascii="Calibri" w:hAnsi="Calibri"/>
          <w:sz w:val="21"/>
        </w:rPr>
        <w:t>y una lista clara de qué falta — mucho más valioso que los 99 números en sí.</w:t>
      </w: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Fase 3 — De 99 a 8.021: la escala real (trabajo en sesión paralela)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5FF"/>
            <w:tcBorders>
              <w:top w:val="single" w:sz="10" w:color="3B82F6"/>
              <w:left w:val="single" w:sz="10" w:color="3B82F6"/>
              <w:bottom w:val="single" w:sz="10" w:color="3B82F6"/>
              <w:right w:val="single" w:sz="10" w:color="3B82F6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A2744"/>
                <w:sz w:val="21"/>
              </w:rPr>
              <w:t>Importante para el lector nuevo:</w:t>
            </w:r>
            <w:r>
              <w:rPr>
                <w:rFonts w:ascii="Calibri" w:hAnsi="Calibri"/>
                <w:color w:val="1A2744"/>
                <w:sz w:val="21"/>
              </w:rPr>
              <w:t xml:space="preserve"> esta fase **no la hicimos en la misma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sesión** que la Fase 2 — la hizo otra sesión de trabajo (vía la interfaz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web), en paralelo. Lo que sabemos de esta fase viene de</w:t>
            </w:r>
          </w:p>
          <w:p>
            <w:pPr>
              <w:spacing w:after="40"/>
            </w:pPr>
            <w:r>
              <w:rPr>
                <w:rFonts w:ascii="Calibri" w:hAnsi="Calibri"/>
                <w:color w:val="3B82F6"/>
                <w:sz w:val="21"/>
                <w:u w:val="single"/>
              </w:rPr>
              <w:t>`BITACORA_Y_DECISIONES.md`</w:t>
            </w:r>
            <w:r>
              <w:rPr>
                <w:rFonts w:ascii="Calibri" w:hAnsi="Calibri"/>
                <w:color w:val="1A2744"/>
                <w:sz w:val="21"/>
              </w:rPr>
              <w:t xml:space="preserve"> y</w:t>
            </w:r>
          </w:p>
          <w:p>
            <w:pPr>
              <w:spacing w:after="40"/>
            </w:pPr>
            <w:r>
              <w:rPr>
                <w:rFonts w:ascii="Calibri" w:hAnsi="Calibri"/>
                <w:color w:val="3B82F6"/>
                <w:sz w:val="21"/>
                <w:u w:val="single"/>
              </w:rPr>
              <w:t>`ESPEC_TAGS_RATIOS.md`</w:t>
            </w:r>
            <w:r>
              <w:rPr>
                <w:rFonts w:ascii="Calibri" w:hAnsi="Calibri"/>
                <w:color w:val="1A2744"/>
                <w:sz w:val="21"/>
              </w:rPr>
              <w:t>, más evidencia real de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 xml:space="preserve">ejecución en </w:t>
            </w:r>
            <w:r>
              <w:rPr>
                <w:rFonts w:ascii="Calibri" w:hAnsi="Calibri"/>
                <w:color w:val="B34700"/>
                <w:sz w:val="21"/>
              </w:rPr>
              <w:t>data/log_bloque1.txt</w:t>
            </w:r>
            <w:r>
              <w:rPr>
                <w:rFonts w:ascii="Calibri" w:hAnsi="Calibri"/>
                <w:color w:val="1A2744"/>
                <w:sz w:val="21"/>
              </w:rPr>
              <w:t xml:space="preserve">, </w:t>
            </w:r>
            <w:r>
              <w:rPr>
                <w:rFonts w:ascii="Calibri" w:hAnsi="Calibri"/>
                <w:color w:val="B34700"/>
                <w:sz w:val="21"/>
              </w:rPr>
              <w:t>data/log_bloque2.txt</w:t>
            </w:r>
            <w:r>
              <w:rPr>
                <w:rFonts w:ascii="Calibri" w:hAnsi="Calibri"/>
                <w:color w:val="1A2744"/>
                <w:sz w:val="21"/>
              </w:rPr>
              <w:t xml:space="preserve"> y</w:t>
            </w:r>
          </w:p>
          <w:p>
            <w:pPr>
              <w:spacing w:after="40"/>
            </w:pPr>
            <w:r>
              <w:rPr>
                <w:rFonts w:ascii="Calibri" w:hAnsi="Calibri"/>
                <w:color w:val="B34700"/>
                <w:sz w:val="21"/>
              </w:rPr>
              <w:t>data/log_precios.txt</w:t>
            </w:r>
            <w:r>
              <w:rPr>
                <w:rFonts w:ascii="Calibri" w:hAnsi="Calibri"/>
                <w:color w:val="1A2744"/>
                <w:sz w:val="21"/>
              </w:rPr>
              <w:t xml:space="preserve"> (esos logs muestran contadores reales de progreso,</w:t>
            </w:r>
          </w:p>
          <w:p>
            <w:pPr>
              <w:spacing w:after="40"/>
            </w:pPr>
            <w:r>
              <w:rPr>
                <w:rFonts w:ascii="Calibri" w:hAnsi="Calibri"/>
                <w:color w:val="1A2744"/>
                <w:sz w:val="21"/>
              </w:rPr>
              <w:t>no son una afirmación sin respaldo).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La pregunta que motivó esta fase:</w:t>
      </w:r>
      <w:r>
        <w:rPr>
          <w:rFonts w:ascii="Calibri" w:hAnsi="Calibri"/>
          <w:sz w:val="21"/>
        </w:rPr>
        <w:t xml:space="preserve"> la Fase 2 probó que el método funciona</w:t>
      </w:r>
    </w:p>
    <w:p>
      <w:pPr>
        <w:spacing w:after="160"/>
      </w:pPr>
      <w:r>
        <w:rPr>
          <w:rFonts w:ascii="Calibri" w:hAnsi="Calibri"/>
          <w:sz w:val="21"/>
        </w:rPr>
        <w:t>sobre 99 tickers elegidos a mano. Pero, **¿cuántas empresas hay en total</w:t>
      </w:r>
    </w:p>
    <w:p>
      <w:pPr>
        <w:spacing w:after="160"/>
      </w:pPr>
      <w:r>
        <w:rPr>
          <w:rFonts w:ascii="Calibri" w:hAnsi="Calibri"/>
          <w:sz w:val="21"/>
        </w:rPr>
        <w:t>disponibles en EDGAR, y hasta dónde se puede escalar esto?**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Lo que se midió:</w:t>
      </w:r>
      <w:r>
        <w:rPr>
          <w:rFonts w:ascii="Calibri" w:hAnsi="Calibri"/>
          <w:sz w:val="21"/>
        </w:rPr>
        <w:t xml:space="preserve"> SEC EDGAR tiene </w:t>
      </w:r>
      <w:r>
        <w:rPr>
          <w:rFonts w:ascii="Calibri" w:hAnsi="Calibri"/>
          <w:b/>
          <w:color w:val="1A2744"/>
          <w:sz w:val="21"/>
        </w:rPr>
        <w:t>8.021 empresas con ticker</w:t>
      </w:r>
      <w:r>
        <w:rPr>
          <w:rFonts w:ascii="Calibri" w:hAnsi="Calibri"/>
          <w:sz w:val="21"/>
        </w:rPr>
        <w:t>. De esas,</w:t>
      </w:r>
    </w:p>
    <w:p>
      <w:pPr>
        <w:spacing w:after="160"/>
      </w:pPr>
      <w:r>
        <w:rPr>
          <w:rFonts w:ascii="Calibri" w:hAnsi="Calibri"/>
          <w:sz w:val="21"/>
        </w:rPr>
        <w:t xml:space="preserve">~82% reportan en </w:t>
      </w:r>
      <w:r>
        <w:rPr>
          <w:rFonts w:ascii="Calibri" w:hAnsi="Calibri"/>
          <w:color w:val="B34700"/>
          <w:sz w:val="21"/>
        </w:rPr>
        <w:t>us-gaap</w:t>
      </w:r>
      <w:r>
        <w:rPr>
          <w:rFonts w:ascii="Calibri" w:hAnsi="Calibri"/>
          <w:sz w:val="21"/>
        </w:rPr>
        <w:t xml:space="preserve">, ~4% en </w:t>
      </w:r>
      <w:r>
        <w:rPr>
          <w:rFonts w:ascii="Calibri" w:hAnsi="Calibri"/>
          <w:color w:val="B34700"/>
          <w:sz w:val="21"/>
        </w:rPr>
        <w:t>ifrs-full</w:t>
      </w:r>
      <w:r>
        <w:rPr>
          <w:rFonts w:ascii="Calibri" w:hAnsi="Calibri"/>
          <w:sz w:val="21"/>
        </w:rPr>
        <w:t>, el resto son fondos/ETFs sin</w:t>
      </w:r>
    </w:p>
    <w:p>
      <w:pPr>
        <w:spacing w:after="160"/>
      </w:pPr>
      <w:r>
        <w:rPr>
          <w:rFonts w:ascii="Calibri" w:hAnsi="Calibri"/>
          <w:sz w:val="21"/>
        </w:rPr>
        <w:t xml:space="preserve">estados financieros tradicionales. El </w:t>
      </w:r>
      <w:r>
        <w:rPr>
          <w:rFonts w:ascii="Calibri" w:hAnsi="Calibri"/>
          <w:b/>
          <w:color w:val="1A2744"/>
          <w:sz w:val="21"/>
        </w:rPr>
        <w:t>S&amp;P 500 está 100% cubierto</w:t>
      </w:r>
      <w:r>
        <w:rPr>
          <w:rFonts w:ascii="Calibri" w:hAnsi="Calibri"/>
          <w:sz w:val="21"/>
        </w:rPr>
        <w:t xml:space="preserve"> — es el</w:t>
      </w:r>
    </w:p>
    <w:p>
      <w:pPr>
        <w:spacing w:after="160"/>
      </w:pPr>
      <w:r>
        <w:rPr>
          <w:rFonts w:ascii="Calibri" w:hAnsi="Calibri"/>
          <w:sz w:val="21"/>
        </w:rPr>
        <w:t>universo ideal para arrancar (empresas grandes, ~19 años de historia, máxima</w:t>
      </w:r>
    </w:p>
    <w:p>
      <w:pPr>
        <w:spacing w:after="160"/>
      </w:pPr>
      <w:r>
        <w:rPr>
          <w:rFonts w:ascii="Calibri" w:hAnsi="Calibri"/>
          <w:sz w:val="21"/>
        </w:rPr>
        <w:t>confiabilidad).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El fix de IFRS que había quedado pendiente — acá se resolvió</w:t>
      </w:r>
    </w:p>
    <w:p>
      <w:pPr>
        <w:spacing w:after="160"/>
      </w:pPr>
      <w:r>
        <w:rPr>
          <w:rFonts w:ascii="Calibri" w:hAnsi="Calibri"/>
          <w:sz w:val="21"/>
        </w:rPr>
        <w:t>Esta fase retomó exactamente el bug que la Fase 2 dejó documentado y sin</w:t>
      </w:r>
    </w:p>
    <w:p>
      <w:pPr>
        <w:spacing w:after="160"/>
      </w:pPr>
      <w:r>
        <w:rPr>
          <w:rFonts w:ascii="Calibri" w:hAnsi="Calibri"/>
          <w:sz w:val="21"/>
        </w:rPr>
        <w:t xml:space="preserve">arreglar: se construyó un </w:t>
      </w:r>
      <w:r>
        <w:rPr>
          <w:rFonts w:ascii="Calibri" w:hAnsi="Calibri"/>
          <w:b/>
          <w:color w:val="1A2744"/>
          <w:sz w:val="21"/>
        </w:rPr>
        <w:t>mapeo canónico GAAP↔IFRS</w:t>
      </w:r>
      <w:r>
        <w:rPr>
          <w:rFonts w:ascii="Calibri" w:hAnsi="Calibri"/>
          <w:sz w:val="21"/>
        </w:rPr>
        <w:t xml:space="preserve"> (</w:t>
      </w:r>
      <w:r>
        <w:rPr>
          <w:rFonts w:ascii="Calibri" w:hAnsi="Calibri"/>
          <w:color w:val="B34700"/>
          <w:sz w:val="21"/>
        </w:rPr>
        <w:t>NetIncome</w:t>
      </w:r>
      <w:r>
        <w:rPr>
          <w:rFonts w:ascii="Calibri" w:hAnsi="Calibri"/>
          <w:sz w:val="21"/>
        </w:rPr>
        <w:t xml:space="preserve"> viene de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NetIncomeLoss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b/>
          <w:color w:val="1A2744"/>
          <w:sz w:val="21"/>
        </w:rPr>
        <w:t>o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B34700"/>
          <w:sz w:val="21"/>
        </w:rPr>
        <w:t>ProfitLoss</w:t>
      </w:r>
      <w:r>
        <w:rPr>
          <w:rFonts w:ascii="Calibri" w:hAnsi="Calibri"/>
          <w:sz w:val="21"/>
        </w:rPr>
        <w:t xml:space="preserve">, según la taxonomía; </w:t>
      </w:r>
      <w:r>
        <w:rPr>
          <w:rFonts w:ascii="Calibri" w:hAnsi="Calibri"/>
          <w:color w:val="B34700"/>
          <w:sz w:val="21"/>
        </w:rPr>
        <w:t>Revenue</w:t>
      </w:r>
      <w:r>
        <w:rPr>
          <w:rFonts w:ascii="Calibri" w:hAnsi="Calibri"/>
          <w:sz w:val="21"/>
        </w:rPr>
        <w:t xml:space="preserve"> viene de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Revenues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b/>
          <w:color w:val="1A2744"/>
          <w:sz w:val="21"/>
        </w:rPr>
        <w:t>o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B34700"/>
          <w:sz w:val="21"/>
        </w:rPr>
        <w:t>Revenue</w:t>
      </w:r>
      <w:r>
        <w:rPr>
          <w:rFonts w:ascii="Calibri" w:hAnsi="Calibri"/>
          <w:sz w:val="21"/>
        </w:rPr>
        <w:t>, etc.), con los nombres de tag IFRS descubiertos</w:t>
      </w: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empíricamente</w:t>
      </w:r>
      <w:r>
        <w:rPr>
          <w:rFonts w:ascii="Calibri" w:hAnsi="Calibri"/>
          <w:sz w:val="21"/>
        </w:rPr>
        <w:t xml:space="preserve"> probando contra ADRs reales (GGAL, ABEV, VIV, PAM, UGP, NU,</w:t>
      </w:r>
    </w:p>
    <w:p>
      <w:pPr>
        <w:spacing w:after="160"/>
      </w:pPr>
      <w:r>
        <w:rPr>
          <w:rFonts w:ascii="Calibri" w:hAnsi="Calibri"/>
          <w:sz w:val="21"/>
        </w:rPr>
        <w:t>GGB, LOMA). Esto es lo que finalmente desbloqueó a casi toda la plaza</w:t>
      </w:r>
    </w:p>
    <w:p>
      <w:pPr>
        <w:spacing w:after="160"/>
      </w:pPr>
      <w:r>
        <w:rPr>
          <w:rFonts w:ascii="Calibri" w:hAnsi="Calibri"/>
          <w:sz w:val="21"/>
        </w:rPr>
        <w:t>argentina y brasilera — sin este fix, quedaban afuera del dataset.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Arquitectura nueva: 5 bloques en vez de un script único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Catálogo</w:t>
      </w:r>
      <w:r>
        <w:rPr>
          <w:rFonts w:ascii="Calibri" w:hAnsi="Calibri"/>
          <w:sz w:val="21"/>
        </w:rPr>
        <w:t xml:space="preserve"> — las 8.021 empresas con sector/país/tamaño.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Facts</w:t>
      </w:r>
      <w:r>
        <w:rPr>
          <w:rFonts w:ascii="Calibri" w:hAnsi="Calibri"/>
          <w:sz w:val="21"/>
        </w:rPr>
        <w:t xml:space="preserve"> — todos los tags XBRL por empresa, GAAP+IFRS unificados.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Ratios fundamentales</w:t>
      </w:r>
      <w:r>
        <w:rPr>
          <w:rFonts w:ascii="Calibri" w:hAnsi="Calibri"/>
          <w:sz w:val="21"/>
        </w:rPr>
        <w:t xml:space="preserve"> — ~28 ratios (márgenes, ROE, deuda, FCF, CAGR).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Valuación</w:t>
      </w:r>
      <w:r>
        <w:rPr>
          <w:rFonts w:ascii="Calibri" w:hAnsi="Calibri"/>
          <w:sz w:val="21"/>
        </w:rPr>
        <w:t xml:space="preserve"> — PER, P/Book, EV/EBITDA, usando **market cap en USD + tipo</w:t>
      </w:r>
    </w:p>
    <w:p>
      <w:pPr>
        <w:spacing w:after="160"/>
      </w:pPr>
      <w:r>
        <w:rPr>
          <w:rFonts w:ascii="Calibri" w:hAnsi="Calibri"/>
          <w:sz w:val="21"/>
        </w:rPr>
        <w:t>de cambio** para las empresas que reportan en moneda local (evita el lío</w:t>
      </w:r>
    </w:p>
    <w:p>
      <w:pPr>
        <w:spacing w:after="160"/>
      </w:pPr>
      <w:r>
        <w:rPr>
          <w:rFonts w:ascii="Calibri" w:hAnsi="Calibri"/>
          <w:sz w:val="21"/>
        </w:rPr>
        <w:t>de mezclar un precio en dólares con un dato financiero en pesos/reales).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Flags de calidad</w:t>
      </w:r>
      <w:r>
        <w:rPr>
          <w:rFonts w:ascii="Calibri" w:hAnsi="Calibri"/>
          <w:sz w:val="21"/>
        </w:rPr>
        <w:t xml:space="preserve"> — el cinturón de seguridad: en vez de borrar un dato</w:t>
      </w:r>
    </w:p>
    <w:p>
      <w:pPr>
        <w:spacing w:after="160"/>
      </w:pPr>
      <w:r>
        <w:rPr>
          <w:rFonts w:ascii="Calibri" w:hAnsi="Calibri"/>
          <w:sz w:val="21"/>
        </w:rPr>
        <w:t>raro, se marca (</w:t>
      </w:r>
      <w:r>
        <w:rPr>
          <w:rFonts w:ascii="Calibri" w:hAnsi="Calibri"/>
          <w:color w:val="B34700"/>
          <w:sz w:val="21"/>
        </w:rPr>
        <w:t>ni_fy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B34700"/>
          <w:sz w:val="21"/>
        </w:rPr>
        <w:t>roe_ns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B34700"/>
          <w:sz w:val="21"/>
        </w:rPr>
        <w:t>fx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B34700"/>
          <w:sz w:val="21"/>
        </w:rPr>
        <w:t>mktcap_rev</w:t>
      </w:r>
      <w:r>
        <w:rPr>
          <w:rFonts w:ascii="Calibri" w:hAnsi="Calibri"/>
          <w:sz w:val="21"/>
        </w:rPr>
        <w:t>) y se deja a criterio</w:t>
      </w:r>
    </w:p>
    <w:p>
      <w:pPr>
        <w:spacing w:after="160"/>
      </w:pPr>
      <w:r>
        <w:rPr>
          <w:rFonts w:ascii="Calibri" w:hAnsi="Calibri"/>
          <w:sz w:val="21"/>
        </w:rPr>
        <w:t>humano.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Resultado medido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553 empresas</w:t>
      </w:r>
      <w:r>
        <w:rPr>
          <w:rFonts w:ascii="Calibri" w:hAnsi="Calibri"/>
          <w:sz w:val="21"/>
        </w:rPr>
        <w:t xml:space="preserve"> con ratios calculados (S&amp;P 500 completo + ADRs</w:t>
      </w:r>
    </w:p>
    <w:p>
      <w:pPr>
        <w:spacing w:after="160"/>
      </w:pPr>
      <w:r>
        <w:rPr>
          <w:rFonts w:ascii="Calibri" w:hAnsi="Calibri"/>
          <w:sz w:val="21"/>
        </w:rPr>
        <w:t>Argentina/Brasil/LatAm), de las 8.021 totales.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429 de esas 553 (78%) quedan limpias</w:t>
      </w:r>
      <w:r>
        <w:rPr>
          <w:rFonts w:ascii="Calibri" w:hAnsi="Calibri"/>
          <w:sz w:val="21"/>
        </w:rPr>
        <w:t xml:space="preserve"> (sin ningún flag) — listas para</w:t>
      </w:r>
    </w:p>
    <w:p>
      <w:pPr>
        <w:spacing w:after="160"/>
      </w:pPr>
      <w:r>
        <w:rPr>
          <w:rFonts w:ascii="Calibri" w:hAnsi="Calibri"/>
          <w:sz w:val="21"/>
        </w:rPr>
        <w:t>screening serio sin revisión adicional.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Validado de nuevo contra Investing.com sobre este dataset más grande: **PER</w:t>
      </w:r>
    </w:p>
    <w:p>
      <w:pPr>
        <w:spacing w:after="160"/>
      </w:pPr>
      <w:r>
        <w:rPr>
          <w:rFonts w:ascii="Calibri" w:hAnsi="Calibri"/>
          <w:sz w:val="21"/>
        </w:rPr>
        <w:t>mediana 1,3%, ROE mediana 0,4%** — coincide con lo que ya se había medido en</w:t>
      </w:r>
    </w:p>
    <w:p>
      <w:pPr>
        <w:spacing w:after="160"/>
      </w:pPr>
      <w:r>
        <w:rPr>
          <w:rFonts w:ascii="Calibri" w:hAnsi="Calibri"/>
          <w:sz w:val="21"/>
        </w:rPr>
        <w:t>la Fase 2, ahora confirmado a mayor escala.</w:t>
      </w:r>
    </w:p>
    <w:p>
      <w:pPr>
        <w:spacing w:before="280" w:after="80"/>
        <w:ind w:left="170"/>
        <w:pBdr>
          <w:left w:val="single" w:sz="24" w:space="4" w:color="F5821F"/>
        </w:pBdr>
      </w:pPr>
      <w:r>
        <w:rPr>
          <w:rFonts w:ascii="Calibri" w:hAnsi="Calibri"/>
          <w:b/>
          <w:color w:val="1A2744"/>
          <w:sz w:val="25"/>
        </w:rPr>
        <w:t>Lo que todavía falta (pendiente, documentado, no resuelto)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Validar la valuación del universo nuevo contra Investing (recién se midió</w:t>
      </w:r>
    </w:p>
    <w:p>
      <w:pPr>
        <w:spacing w:after="160"/>
      </w:pPr>
      <w:r>
        <w:rPr>
          <w:rFonts w:ascii="Calibri" w:hAnsi="Calibri"/>
          <w:sz w:val="21"/>
        </w:rPr>
        <w:t>sobre los ratios fundamentales).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La "cola larga" de EE.UU. (~7.458 empresas más chicas que todavía no se</w:t>
      </w:r>
    </w:p>
    <w:p>
      <w:pPr>
        <w:spacing w:after="160"/>
      </w:pPr>
      <w:r>
        <w:rPr>
          <w:rFonts w:ascii="Calibri" w:hAnsi="Calibri"/>
          <w:sz w:val="21"/>
        </w:rPr>
        <w:t>bajaron).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Historia completa (hoy se guardan 6 años, se puede ampliar reprocesando el</w:t>
      </w:r>
    </w:p>
    <w:p>
      <w:pPr>
        <w:spacing w:after="160"/>
      </w:pPr>
      <w:r>
        <w:rPr>
          <w:rFonts w:ascii="Calibri" w:hAnsi="Calibri"/>
          <w:sz w:val="21"/>
        </w:rPr>
        <w:t>raw cache ya descargado, sin volver a pedirle nada a la SEC).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Cobertura de intereses y ROIC (faltan 2 conceptos en el mapeo).</w:t>
      </w: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El alcance, de punta a punta: cómo fue cambiando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353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Fase 1</w:t>
            </w:r>
          </w:p>
        </w:tc>
        <w:tc>
          <w:tcPr>
            <w:tcW w:type="dxa" w:w="2353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Fase 2</w:t>
            </w:r>
          </w:p>
        </w:tc>
        <w:tc>
          <w:tcPr>
            <w:tcW w:type="dxa" w:w="2353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Fase 3</w:t>
            </w:r>
          </w:p>
        </w:tc>
      </w:tr>
      <w:tr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Empresas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7 (elegidas a mano, conocidas)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99 → 77 con CIK → 65 con datos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8.021 catalogadas → 553 con ratios</w:t>
            </w:r>
          </w:p>
        </w:tc>
      </w:tr>
      <w:tr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Pregunta que respondía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¿EDGAR puede reemplazar a Investing?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¿Funciona con un universo real y difícil?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¿Hasta dónde se puede escalar?</w:t>
            </w:r>
          </w:p>
        </w:tc>
      </w:tr>
      <w:tr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Taxonomía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us-gaap (no se tocó IFRS)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us-gaap + IFRS </w:t>
            </w:r>
            <w:r>
              <w:rPr>
                <w:rFonts w:ascii="Calibri" w:hAnsi="Calibri"/>
                <w:b/>
                <w:color w:val="1A2744"/>
                <w:sz w:val="18"/>
              </w:rPr>
              <w:t>detectado roto, sin arreglar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us-gaap + IFRS </w:t>
            </w:r>
            <w:r>
              <w:rPr>
                <w:rFonts w:ascii="Calibri" w:hAnsi="Calibri"/>
                <w:b/>
                <w:color w:val="1A2744"/>
                <w:sz w:val="18"/>
              </w:rPr>
              <w:t>arreglado</w:t>
            </w:r>
          </w:p>
        </w:tc>
      </w:tr>
      <w:tr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Resultado de confiabilidad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~99% en lo importante (5 USA)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PER 1,3%, pero solo en empresas USA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PER 1,3% confirmado a escala, 78% del dataset "limpio"</w:t>
            </w:r>
          </w:p>
        </w:tc>
      </w:tr>
      <w:tr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1A2744"/>
                <w:sz w:val="18"/>
              </w:rPr>
              <w:t>Qué falta al cerrar la fase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Probar a escala real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Arreglar IFRS, escalar más allá de 99</w:t>
            </w:r>
          </w:p>
        </w:tc>
        <w:tc>
          <w:tcPr>
            <w:tcW w:type="dxa" w:w="2353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Cola larga USA, historia completa, valuación de ADRs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El patrón que se repite en las 3 fases:</w:t>
      </w:r>
      <w:r>
        <w:rPr>
          <w:rFonts w:ascii="Calibri" w:hAnsi="Calibri"/>
          <w:sz w:val="21"/>
        </w:rPr>
        <w:t xml:space="preserve"> cada fase termina probando que el</w:t>
      </w:r>
    </w:p>
    <w:p>
      <w:pPr>
        <w:spacing w:after="160"/>
      </w:pPr>
      <w:r>
        <w:rPr>
          <w:rFonts w:ascii="Calibri" w:hAnsi="Calibri"/>
          <w:sz w:val="21"/>
        </w:rPr>
        <w:t>método anterior funcionaba, pero revela un límite nuevo que la fase siguiente</w:t>
      </w:r>
    </w:p>
    <w:p>
      <w:pPr>
        <w:spacing w:after="160"/>
      </w:pPr>
      <w:r>
        <w:rPr>
          <w:rFonts w:ascii="Calibri" w:hAnsi="Calibri"/>
          <w:sz w:val="21"/>
        </w:rPr>
        <w:t>ataca. Ninguna fase fue "la solución final" — cada una dejó la cancha más</w:t>
      </w:r>
    </w:p>
    <w:p>
      <w:pPr>
        <w:spacing w:after="160"/>
      </w:pPr>
      <w:r>
        <w:rPr>
          <w:rFonts w:ascii="Calibri" w:hAnsi="Calibri"/>
          <w:sz w:val="21"/>
        </w:rPr>
        <w:t>chica para la próxima.</w:t>
      </w: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Lecciones que se repiten en las 3 fases (las que importa recordar)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Nunca estimar un dato que falta.</w:t>
      </w:r>
      <w:r>
        <w:rPr>
          <w:rFonts w:ascii="Calibri" w:hAnsi="Calibri"/>
          <w:sz w:val="21"/>
        </w:rPr>
        <w:t xml:space="preserve"> Si un componente no está, el ratio</w:t>
      </w:r>
    </w:p>
    <w:p>
      <w:pPr>
        <w:spacing w:after="160"/>
      </w:pPr>
      <w:r>
        <w:rPr>
          <w:rFonts w:ascii="Calibri" w:hAnsi="Calibri"/>
          <w:sz w:val="21"/>
        </w:rPr>
        <w:t xml:space="preserve">queda </w:t>
      </w:r>
      <w:r>
        <w:rPr>
          <w:rFonts w:ascii="Calibri" w:hAnsi="Calibri"/>
          <w:color w:val="B34700"/>
          <w:sz w:val="21"/>
        </w:rPr>
        <w:t>NULL</w:t>
      </w:r>
      <w:r>
        <w:rPr>
          <w:rFonts w:ascii="Calibri" w:hAnsi="Calibri"/>
          <w:sz w:val="21"/>
        </w:rPr>
        <w:t xml:space="preserve">. Un </w:t>
      </w:r>
      <w:r>
        <w:rPr>
          <w:rFonts w:ascii="Calibri" w:hAnsi="Calibri"/>
          <w:color w:val="B34700"/>
          <w:sz w:val="21"/>
        </w:rPr>
        <w:t>NULL</w:t>
      </w:r>
      <w:r>
        <w:rPr>
          <w:rFonts w:ascii="Calibri" w:hAnsi="Calibri"/>
          <w:sz w:val="21"/>
        </w:rPr>
        <w:t xml:space="preserve"> honesto es mejor que un número inventado que</w:t>
      </w:r>
    </w:p>
    <w:p>
      <w:pPr>
        <w:spacing w:after="160"/>
      </w:pPr>
      <w:r>
        <w:rPr>
          <w:rFonts w:ascii="Calibri" w:hAnsi="Calibri"/>
          <w:sz w:val="21"/>
        </w:rPr>
        <w:t>alguien podría confundir con un dato real.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"Oficial" no significa "sin errores".</w:t>
      </w:r>
      <w:r>
        <w:rPr>
          <w:rFonts w:ascii="Calibri" w:hAnsi="Calibri"/>
          <w:sz w:val="21"/>
        </w:rPr>
        <w:t xml:space="preserve"> El caso de Nomura (un error de</w:t>
      </w:r>
    </w:p>
    <w:p>
      <w:pPr>
        <w:spacing w:after="160"/>
      </w:pPr>
      <w:r>
        <w:rPr>
          <w:rFonts w:ascii="Calibri" w:hAnsi="Calibri"/>
          <w:sz w:val="21"/>
        </w:rPr>
        <w:t>escala de un millón de veces, en el propio filing que la empresa mandó a la</w:t>
      </w:r>
    </w:p>
    <w:p>
      <w:pPr>
        <w:spacing w:after="160"/>
      </w:pPr>
      <w:r>
        <w:rPr>
          <w:rFonts w:ascii="Calibri" w:hAnsi="Calibri"/>
          <w:sz w:val="21"/>
        </w:rPr>
        <w:t>SEC) demuestra que hay que validar incluso la fuente "de la verdad".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Comparar A contra B exige que A y B midan lo mismo.</w:t>
      </w:r>
      <w:r>
        <w:rPr>
          <w:rFonts w:ascii="Calibri" w:hAnsi="Calibri"/>
          <w:sz w:val="21"/>
        </w:rPr>
        <w:t xml:space="preserve"> El ROE TTM vs. CAGR</w:t>
      </w:r>
    </w:p>
    <w:p>
      <w:pPr>
        <w:spacing w:after="160"/>
      </w:pPr>
      <w:r>
        <w:rPr>
          <w:rFonts w:ascii="Calibri" w:hAnsi="Calibri"/>
          <w:sz w:val="21"/>
        </w:rPr>
        <w:t>y el EPS anual vs. TTM son los dos ejemplos reales de este proyecto: se ven</w:t>
      </w:r>
    </w:p>
    <w:p>
      <w:pPr>
        <w:spacing w:after="160"/>
      </w:pPr>
      <w:r>
        <w:rPr>
          <w:rFonts w:ascii="Calibri" w:hAnsi="Calibri"/>
          <w:sz w:val="21"/>
        </w:rPr>
        <w:t>parecidos, son cosas distintas, y confundirlos rompe cualquier conclusión.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**Un bug que no se puede arreglar bien en el momento, se documenta como</w:t>
      </w:r>
    </w:p>
    <w:p>
      <w:pPr>
        <w:spacing w:after="160"/>
      </w:pPr>
      <w:r>
        <w:rPr>
          <w:rFonts w:ascii="Calibri" w:hAnsi="Calibri"/>
          <w:sz w:val="21"/>
        </w:rPr>
        <w:t>pendiente — no se improvisa una solución a medias.** El fix de IFRS es el</w:t>
      </w:r>
    </w:p>
    <w:p>
      <w:pPr>
        <w:spacing w:after="160"/>
      </w:pPr>
      <w:r>
        <w:rPr>
          <w:rFonts w:ascii="Calibri" w:hAnsi="Calibri"/>
          <w:sz w:val="21"/>
        </w:rPr>
        <w:t>ejemplo perfecto: se encontró en la Fase 2, se dejó anotado, y se resolvió</w:t>
      </w:r>
    </w:p>
    <w:p>
      <w:pPr>
        <w:spacing w:after="160"/>
      </w:pPr>
      <w:r>
        <w:rPr>
          <w:rFonts w:ascii="Calibri" w:hAnsi="Calibri"/>
          <w:sz w:val="21"/>
        </w:rPr>
        <w:t>recién en la Fase 3 cuando hubo tiempo de hacerlo bien.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Las dependencias externas se rompen sin avisar.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B34700"/>
          <w:sz w:val="21"/>
        </w:rPr>
        <w:t>yfinance</w:t>
      </w:r>
      <w:r>
        <w:rPr>
          <w:rFonts w:ascii="Calibri" w:hAnsi="Calibri"/>
          <w:sz w:val="21"/>
        </w:rPr>
        <w:t xml:space="preserve"> dejó de</w:t>
      </w:r>
    </w:p>
    <w:p>
      <w:pPr>
        <w:spacing w:after="160"/>
      </w:pPr>
      <w:r>
        <w:rPr>
          <w:rFonts w:ascii="Calibri" w:hAnsi="Calibri"/>
          <w:sz w:val="21"/>
        </w:rPr>
        <w:t>funcionar de un día para el otro porque Yahoo cambió algo de su lado. Fijar</w:t>
      </w:r>
    </w:p>
    <w:p>
      <w:pPr>
        <w:spacing w:after="160"/>
      </w:pPr>
      <w:r>
        <w:rPr>
          <w:rFonts w:ascii="Calibri" w:hAnsi="Calibri"/>
          <w:sz w:val="21"/>
        </w:rPr>
        <w:t>una versión no es "configurar una vez y olvidarse".</w:t>
      </w:r>
    </w:p>
    <w:p>
      <w:pPr>
        <w:pStyle w:val="ListBullet"/>
        <w:spacing w:after="60"/>
      </w:pPr>
      <w:r>
        <w:rPr>
          <w:rFonts w:ascii="Calibri" w:hAnsi="Calibri"/>
          <w:b/>
          <w:color w:val="1A2744"/>
          <w:sz w:val="21"/>
        </w:rPr>
        <w:t>Hacer backup antes de escribir sobre un archivo real, siempre.</w:t>
      </w:r>
      <w:r>
        <w:rPr>
          <w:rFonts w:ascii="Calibri" w:hAnsi="Calibri"/>
          <w:sz w:val="21"/>
        </w:rPr>
        <w:t xml:space="preserve"> El</w:t>
      </w:r>
    </w:p>
    <w:p>
      <w:pPr>
        <w:spacing w:after="160"/>
      </w:pPr>
      <w:r>
        <w:rPr>
          <w:rFonts w:ascii="Calibri" w:hAnsi="Calibri"/>
          <w:sz w:val="21"/>
        </w:rPr>
        <w:t>incidente del CSV corrompido se resolvió en segundos porque existía una</w:t>
      </w:r>
    </w:p>
    <w:p>
      <w:pPr>
        <w:spacing w:after="160"/>
      </w:pPr>
      <w:r>
        <w:rPr>
          <w:rFonts w:ascii="Calibri" w:hAnsi="Calibri"/>
          <w:sz w:val="21"/>
        </w:rPr>
        <w:t>copia de antes.</w:t>
      </w:r>
    </w:p>
    <w:p>
      <w:pPr>
        <w:spacing w:before="440" w:after="120"/>
        <w:pBdr>
          <w:bottom w:val="single" w:sz="24" w:space="4" w:color="3B82F6"/>
        </w:pBdr>
      </w:pPr>
      <w:r>
        <w:rPr>
          <w:rFonts w:ascii="Calibri" w:hAnsi="Calibri"/>
          <w:b/>
          <w:color w:val="1A2744"/>
          <w:sz w:val="32"/>
        </w:rPr>
        <w:t>Mapa rápido: dónde leer más de cada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4706"/>
            <w:shd w:val="clear" w:fill="1A2744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Documentos clave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color w:val="B34700"/>
                <w:sz w:val="18"/>
              </w:rPr>
              <w:t>docs/calculos-financieros/documentacion/RESUMEN_FINAL_HALLAZGOS.md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B34700"/>
                <w:sz w:val="18"/>
              </w:rPr>
              <w:t>GUIA_RATIOS_EDGAR_vs_INVESTING.md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B34700"/>
                <w:sz w:val="18"/>
              </w:rPr>
              <w:t>EJEMPLO_CALCULO_LOCAL.md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color w:val="B34700"/>
                <w:sz w:val="18"/>
              </w:rPr>
              <w:t>scripts/tickets/*.py</w:t>
            </w:r>
            <w:r>
              <w:rPr>
                <w:rFonts w:ascii="Calibri" w:hAnsi="Calibri"/>
                <w:sz w:val="18"/>
              </w:rPr>
              <w:t xml:space="preserve"> (el código), </w:t>
            </w:r>
            <w:r>
              <w:rPr>
                <w:rFonts w:ascii="Calibri" w:hAnsi="Calibri"/>
                <w:color w:val="B34700"/>
                <w:sz w:val="18"/>
              </w:rPr>
              <w:t>docs/screener/DIAGNOSTICO_INVESTING_vs_EDGAR.md</w:t>
            </w:r>
            <w:r>
              <w:rPr>
                <w:rFonts w:ascii="Calibri" w:hAnsi="Calibri"/>
                <w:sz w:val="18"/>
              </w:rPr>
              <w:t xml:space="preserve"> (los 10 bugs), </w:t>
            </w:r>
            <w:r>
              <w:rPr>
                <w:rFonts w:ascii="Calibri" w:hAnsi="Calibri"/>
                <w:color w:val="B34700"/>
                <w:sz w:val="18"/>
              </w:rPr>
              <w:t>informe_seguimiento_detallado.xlsx</w:t>
            </w:r>
            <w:r>
              <w:rPr>
                <w:rFonts w:ascii="Calibri" w:hAnsi="Calibri"/>
                <w:sz w:val="18"/>
              </w:rPr>
              <w:t xml:space="preserve"> (los datos en vivo)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</w:tcPr>
          <w:p>
            <w:r/>
            <w:r>
              <w:rPr>
                <w:rFonts w:ascii="Calibri" w:hAnsi="Calibri"/>
                <w:color w:val="B34700"/>
                <w:sz w:val="18"/>
              </w:rPr>
              <w:t>docs/screener/BITACORA_Y_DECISIONES.md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B34700"/>
                <w:sz w:val="18"/>
              </w:rPr>
              <w:t>docs/screener/ESPEC_TAGS_RATIOS.md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color w:val="B34700"/>
                <w:sz w:val="18"/>
              </w:rPr>
              <w:t>data/log_bloque1.txt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color w:val="B34700"/>
                <w:sz w:val="18"/>
              </w:rPr>
              <w:t>log_bloque2.txt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color w:val="B34700"/>
                <w:sz w:val="18"/>
              </w:rPr>
              <w:t>log_precios.txt</w:t>
            </w:r>
          </w:p>
        </w:tc>
      </w:tr>
      <w:tr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sz w:val="18"/>
              </w:rPr>
              <w:t>Fundamentos de finanzas y de la API</w:t>
            </w:r>
          </w:p>
        </w:tc>
        <w:tc>
          <w:tcPr>
            <w:tcW w:type="dxa" w:w="4706"/>
            <w:tcBorders>
              <w:top w:val="single" w:sz="4" w:color="DDE4F0"/>
              <w:left w:val="single" w:sz="4" w:color="DDE4F0"/>
              <w:bottom w:val="single" w:sz="4" w:color="DDE4F0"/>
              <w:right w:val="single" w:sz="4" w:color="DDE4F0"/>
            </w:tcBorders>
            <w:shd w:val="clear" w:fill="F5F8FD"/>
          </w:tcPr>
          <w:p>
            <w:r/>
            <w:r>
              <w:rPr>
                <w:rFonts w:ascii="Calibri" w:hAnsi="Calibri"/>
                <w:color w:val="B34700"/>
                <w:sz w:val="18"/>
              </w:rPr>
              <w:t>docs/screener/GUIA_SEC_EDGAR_PARA_DEVS.md</w:t>
            </w:r>
            <w:r>
              <w:rPr>
                <w:rFonts w:ascii="Calibri" w:hAnsi="Calibri"/>
                <w:sz w:val="18"/>
              </w:rPr>
              <w:t xml:space="preserve"> ⭐ leer esto primero si las palabras "EPS" o "XBRL" no significan nada para vos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hAnsi="Calibri"/>
          <w:b/>
          <w:color w:val="1A2744"/>
          <w:sz w:val="21"/>
        </w:rPr>
        <w:t>Próximo paso sugerido para un junior nuevo:</w:t>
      </w:r>
      <w:r>
        <w:rPr>
          <w:rFonts w:ascii="Calibri" w:hAnsi="Calibri"/>
          <w:sz w:val="21"/>
        </w:rPr>
        <w:t xml:space="preserve"> leé</w:t>
      </w:r>
    </w:p>
    <w:p>
      <w:pPr>
        <w:spacing w:after="160"/>
      </w:pPr>
      <w:r>
        <w:rPr>
          <w:rFonts w:ascii="Calibri" w:hAnsi="Calibri"/>
          <w:color w:val="B34700"/>
          <w:sz w:val="21"/>
        </w:rPr>
        <w:t>GUIA_SEC_EDGAR_PARA_DEVS.md</w:t>
      </w:r>
      <w:r>
        <w:rPr>
          <w:rFonts w:ascii="Calibri" w:hAnsi="Calibri"/>
          <w:sz w:val="21"/>
        </w:rPr>
        <w:t xml:space="preserve"> completo primero (son ~30 minutos y te da el</w:t>
      </w:r>
    </w:p>
    <w:p>
      <w:pPr>
        <w:spacing w:after="160"/>
      </w:pPr>
      <w:r>
        <w:rPr>
          <w:rFonts w:ascii="Calibri" w:hAnsi="Calibri"/>
          <w:sz w:val="21"/>
        </w:rPr>
        <w:t>vocabulario que esta guía asume que ya tenés). Después volvé a esta guía y</w:t>
      </w:r>
    </w:p>
    <w:p>
      <w:pPr>
        <w:spacing w:after="160"/>
      </w:pPr>
      <w:r>
        <w:rPr>
          <w:rFonts w:ascii="Calibri" w:hAnsi="Calibri"/>
          <w:sz w:val="21"/>
        </w:rPr>
        <w:t>seguila de nuevo de punta a punta — la segunda lectura se entiende mucho más</w:t>
      </w:r>
    </w:p>
    <w:p>
      <w:pPr>
        <w:spacing w:after="160"/>
      </w:pPr>
      <w:r>
        <w:rPr>
          <w:rFonts w:ascii="Calibri" w:hAnsi="Calibri"/>
          <w:sz w:val="21"/>
        </w:rPr>
        <w:t>rápido.</w:t>
      </w:r>
    </w:p>
    <w:p>
      <w:pPr>
        <w:spacing w:before="400"/>
        <w:jc w:val="center"/>
        <w:pBdr>
          <w:top w:val="single" w:sz="18" w:space="4" w:color="1A2744"/>
        </w:pBdr>
      </w:pPr>
      <w:r>
        <w:rPr>
          <w:rFonts w:ascii="Calibri" w:hAnsi="Calibri"/>
          <w:color w:val="6B7589"/>
          <w:sz w:val="18"/>
        </w:rPr>
        <w:t>webshooks.com  ·  Informe Evolutivo  ·  Confidencial  ·  Junio 2026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35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