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3e67f91f70b5246c73cad9aa766a0ec1ea5f1a"/>
    <w:p>
      <w:pPr>
        <w:pStyle w:val="Heading1"/>
      </w:pPr>
      <w:r>
        <w:t xml:space="preserve">Diagramas usados en el Manual Operativo Catalaxia</w:t>
      </w:r>
    </w:p>
    <w:p>
      <w:pPr>
        <w:pStyle w:val="FirstParagraph"/>
      </w:pPr>
      <w:r>
        <w:t xml:space="preserve">Inventario de las</w:t>
      </w:r>
      <w:r>
        <w:t xml:space="preserve"> </w:t>
      </w:r>
      <w:r>
        <w:rPr>
          <w:b/>
          <w:bCs/>
        </w:rPr>
        <w:t xml:space="preserve">40 figuras</w:t>
      </w:r>
      <w:r>
        <w:t xml:space="preserve"> </w:t>
      </w:r>
      <w:r>
        <w:t xml:space="preserve">del manual, con su archivo de origen y dónde se usan.</w:t>
      </w:r>
    </w:p>
    <w:bookmarkStart w:id="18" w:name="diagramas-del-proyecto-docsdiagramas"/>
    <w:p>
      <w:pPr>
        <w:pStyle w:val="Heading2"/>
      </w:pPr>
      <w:r>
        <w:t xml:space="preserve">Diagramas del proyecto (</w:t>
      </w:r>
      <w:r>
        <w:rPr>
          <w:rStyle w:val="VerbatimChar"/>
        </w:rPr>
        <w:t xml:space="preserve">docs/diagramas/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Figura</w:t>
            </w:r>
          </w:p>
        </w:tc>
        <w:tc>
          <w:tcPr/>
          <w:p>
            <w:pPr>
              <w:pStyle w:val="Compact"/>
            </w:pPr>
            <w:r>
              <w:t xml:space="preserve">Archivo original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Arquitectura_diagramas.png (= Arquitectura de Datos.png)</w:t>
            </w:r>
          </w:p>
        </w:tc>
        <w:tc>
          <w:tcPr/>
          <w:p>
            <w:pPr>
              <w:pStyle w:val="Compact"/>
            </w:pPr>
            <w:r>
              <w:t xml:space="preserve">Parte I §1 · Qué es Catalaxia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estilos_pipeline, arquitecura_flujos.png</w:t>
            </w:r>
          </w:p>
        </w:tc>
        <w:tc>
          <w:tcPr/>
          <w:p>
            <w:pPr>
              <w:pStyle w:val="Compact"/>
            </w:pPr>
            <w:r>
              <w:t xml:space="preserve">Parte I §2 · la partición del alcance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pipeline_diagrama1.png</w:t>
            </w:r>
          </w:p>
        </w:tc>
        <w:tc>
          <w:tcPr/>
          <w:p>
            <w:pPr>
              <w:pStyle w:val="Compact"/>
            </w:pPr>
            <w:r>
              <w:t xml:space="preserve">Parte I §3 · el 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diagramas.png</w:t>
            </w:r>
          </w:p>
        </w:tc>
        <w:tc>
          <w:tcPr/>
          <w:p>
            <w:pPr>
              <w:pStyle w:val="Compact"/>
            </w:pPr>
            <w:r>
              <w:t xml:space="preserve">Parte I §6 · mapa del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Tapa e indice.png</w:t>
            </w:r>
          </w:p>
        </w:tc>
        <w:tc>
          <w:tcPr/>
          <w:p>
            <w:pPr>
              <w:pStyle w:val="Compact"/>
            </w:pPr>
            <w:r>
              <w:t xml:space="preserve">Anexo B · estética de tapa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Diagramas + Arquitectura.png</w:t>
            </w:r>
          </w:p>
        </w:tc>
        <w:tc>
          <w:tcPr/>
          <w:p>
            <w:pPr>
              <w:pStyle w:val="Compact"/>
            </w:pPr>
            <w:r>
              <w:t xml:space="preserve">Anexo B · diagramas y arquitectura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Plataforma.png</w:t>
            </w:r>
          </w:p>
        </w:tc>
        <w:tc>
          <w:tcPr/>
          <w:p>
            <w:pPr>
              <w:pStyle w:val="Compact"/>
            </w:pPr>
            <w:r>
              <w:t xml:space="preserve">Anexo B · la plataforma como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Procedimientos operativos.png</w:t>
            </w:r>
          </w:p>
        </w:tc>
        <w:tc>
          <w:tcPr/>
          <w:p>
            <w:pPr>
              <w:pStyle w:val="Compact"/>
            </w:pPr>
            <w:r>
              <w:t xml:space="preserve">Anexo B · procedimientos operativos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procedimientos.png</w:t>
            </w:r>
          </w:p>
        </w:tc>
        <w:tc>
          <w:tcPr/>
          <w:p>
            <w:pPr>
              <w:pStyle w:val="Compact"/>
            </w:pPr>
            <w:r>
              <w:t xml:space="preserve">Anexo B · procedimientos (referencia)</w:t>
            </w:r>
          </w:p>
        </w:tc>
      </w:tr>
    </w:tbl>
    <w:bookmarkEnd w:id="18"/>
    <w:bookmarkStart w:id="19" w:name="plantillas-generadas-con-mermaid-anexo-c"/>
    <w:p>
      <w:pPr>
        <w:pStyle w:val="Heading2"/>
      </w:pPr>
      <w:r>
        <w:t xml:space="preserve">Plantillas generadas con Mermaid (Anexo 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Figura</w:t>
            </w:r>
          </w:p>
        </w:tc>
        <w:tc>
          <w:tcPr/>
          <w:p>
            <w:pPr>
              <w:pStyle w:val="Compact"/>
            </w:pPr>
            <w:r>
              <w:t xml:space="preserve">Archivo fuente (</w:t>
            </w:r>
            <w:r>
              <w:rPr>
                <w:rStyle w:val="VerbatimChar"/>
              </w:rPr>
              <w:t xml:space="preserve">.mmd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plantilla_pipeline.mmd</w:t>
            </w:r>
          </w:p>
        </w:tc>
        <w:tc>
          <w:tcPr/>
          <w:p>
            <w:pPr>
              <w:pStyle w:val="Compact"/>
            </w:pPr>
            <w:r>
              <w:t xml:space="preserve">Pipeline 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plantilla_proceso.mmd</w:t>
            </w:r>
          </w:p>
        </w:tc>
        <w:tc>
          <w:tcPr/>
          <w:p>
            <w:pPr>
              <w:pStyle w:val="Compact"/>
            </w:pPr>
            <w:r>
              <w:t xml:space="preserve">Proceso con decisiones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plantilla_flujo.mmd</w:t>
            </w:r>
          </w:p>
        </w:tc>
        <w:tc>
          <w:tcPr/>
          <w:p>
            <w:pPr>
              <w:pStyle w:val="Compact"/>
            </w:pPr>
            <w:r>
              <w:t xml:space="preserve">Flujo secuencial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plantilla_estados.mmd</w:t>
            </w:r>
          </w:p>
        </w:tc>
        <w:tc>
          <w:tcPr/>
          <w:p>
            <w:pPr>
              <w:pStyle w:val="Compact"/>
            </w:pPr>
            <w:r>
              <w:t xml:space="preserve">Diagrama de estados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plantilla_arquitectura.mmd</w:t>
            </w:r>
          </w:p>
        </w:tc>
        <w:tc>
          <w:tcPr/>
          <w:p>
            <w:pPr>
              <w:pStyle w:val="Compact"/>
            </w:pPr>
            <w:r>
              <w:t xml:space="preserve">Arquitectura por capas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plantilla_bloques.mmd</w:t>
            </w:r>
          </w:p>
        </w:tc>
        <w:tc>
          <w:tcPr/>
          <w:p>
            <w:pPr>
              <w:pStyle w:val="Compact"/>
            </w:pPr>
            <w:r>
              <w:t xml:space="preserve">Diagrama de bloques</w:t>
            </w:r>
          </w:p>
        </w:tc>
      </w:tr>
    </w:tbl>
    <w:bookmarkEnd w:id="19"/>
    <w:bookmarkStart w:id="20" w:name="X84c069d863c82e964439959a83e5a4cfa2413c4"/>
    <w:p>
      <w:pPr>
        <w:pStyle w:val="Heading2"/>
      </w:pPr>
      <w:r>
        <w:t xml:space="preserve">Capturas de pantalla (Anexo D · Biblioteca oficial)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Figura</w:t>
            </w:r>
          </w:p>
        </w:tc>
        <w:tc>
          <w:tcPr/>
          <w:p>
            <w:pPr>
              <w:pStyle w:val="Compact"/>
            </w:pPr>
            <w:r>
              <w:t xml:space="preserve">Archivo original</w:t>
            </w:r>
          </w:p>
        </w:tc>
        <w:tc>
          <w:tcPr/>
          <w:p>
            <w:pPr>
              <w:pStyle w:val="Compact"/>
            </w:pPr>
            <w:r>
              <w:t xml:space="preserve">Figura</w:t>
            </w:r>
          </w:p>
        </w:tc>
        <w:tc>
          <w:tcPr/>
          <w:p>
            <w:pPr>
              <w:pStyle w:val="Compact"/>
            </w:pPr>
            <w:r>
              <w:t xml:space="preserve">Archivo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Diagrama de proceso.png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Biblioteca de diagramas.png (índice serie A)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DIagramas varios.png (índice serie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Captura …000530 (cálculo de ratio)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Captura …000740 (onboarding)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Captura …000542 (cadena de bloques)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Captura …000747 (actualización periódica)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Captura …000550 (diagrama de estados)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Captura …000759 (procesos de negocio)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Captura …000600 (contratos de cálculo)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Captura …000805 (cadena de bloques)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Captura …000619 (ratios)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Captura …000818 (estados de entidad)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Captura …000639 (modelo financiero)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Captura …000829 (contratos ROE)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Captura …000650 (capas CPaaS)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Captura …000846 (ratios)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Captura …000700 (arquitectura sistemas)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Captura …000908 (modelo financiero)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Captura …000707 (arquitectura E2E)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Captura …000919 (capas CPaaS)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Captura …000720 (arquitectura de datos)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Captura …000925 (arquitectura sistemas)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Captura …000935 (arquitectura E2E)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Captura …000949 (arquitectura de datos)</w:t>
            </w:r>
          </w:p>
        </w:tc>
      </w:tr>
    </w:tbl>
    <w:p>
      <w:pPr>
        <w:pStyle w:val="BlockText"/>
      </w:pPr>
      <w:r>
        <w:t xml:space="preserve">Los archivos de captura completos son</w:t>
      </w:r>
      <w:r>
        <w:t xml:space="preserve"> </w:t>
      </w:r>
      <w:r>
        <w:rPr>
          <w:rStyle w:val="VerbatimChar"/>
        </w:rPr>
        <w:t xml:space="preserve">Captura de pantalla 2026-09-05 HHMMSS.png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docs/diagramas/</w:t>
      </w:r>
      <w:r>
        <w:t xml:space="preserve">.</w:t>
      </w:r>
      <w:r>
        <w:t xml:space="preserve"> </w:t>
      </w:r>
      <w:r>
        <w:t xml:space="preserve">Copias de trabajo con nombre descriptivo en</w:t>
      </w:r>
      <w:r>
        <w:t xml:space="preserve"> </w:t>
      </w:r>
      <w:r>
        <w:rPr>
          <w:rStyle w:val="VerbatimChar"/>
        </w:rPr>
        <w:t xml:space="preserve">docs/manual/images/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Total:</w:t>
      </w:r>
      <w:r>
        <w:t xml:space="preserve"> </w:t>
      </w:r>
      <w:r>
        <w:t xml:space="preserve">40 figuras · 25 imágenes únicas de</w:t>
      </w:r>
      <w:r>
        <w:t xml:space="preserve"> </w:t>
      </w:r>
      <w:r>
        <w:rPr>
          <w:rStyle w:val="VerbatimChar"/>
        </w:rPr>
        <w:t xml:space="preserve">docs/diagramas/</w:t>
      </w:r>
      <w:r>
        <w:t xml:space="preserve"> </w:t>
      </w:r>
      <w:r>
        <w:t xml:space="preserve">+ 6 plantillas Mermaid generadas.</w:t>
      </w:r>
    </w:p>
    <w:bookmarkEnd w:id="20"/>
    <w:bookmarkEnd w:id="21"/>
    <w:sectPr>
      <w:footerReference r:id="rId9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4" w:space="6" w:color="D6E2F2"/>
      </w:pBdr>
    </w:pPr>
    <w:r/>
    <w:r>
      <w:rPr>
        <w:rFonts w:ascii="Calibri" w:hAnsi="Calibri"/>
        <w:color w:val="6B7589"/>
        <w:sz w:val="17"/>
      </w:rPr>
      <w:t>webshooks.com</w:t>
      <w:tab/>
    </w:r>
    <w:fldSimple w:instr="PAGE">
      <w:r>
        <w:rPr>
          <w:sz w:val="17"/>
          <w:color w:val="6B7589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color w:val="3A4458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="Calibri" w:cstheme="majorBidi" w:eastAsiaTheme="majorEastAsia" w:hAnsi="Calibri" w:hAnsiTheme="majorHAnsi"/>
      <w:b/>
      <w:color w:val="1A2744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Calibri" w:cstheme="majorBidi" w:eastAsiaTheme="majorEastAsia" w:hAnsi="Calibri"/>
      <w:b w:val="0"/>
      <w:color w:val="3B82F6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80"/>
      <w:outlineLvl w:val="0"/>
    </w:pPr>
    <w:rPr>
      <w:rFonts w:ascii="Calibri" w:asciiTheme="majorHAnsi" w:cs="Calibri" w:cstheme="majorBidi" w:eastAsiaTheme="majorEastAsia" w:hAnsi="Calibri" w:hAnsiTheme="majorHAnsi"/>
      <w:b/>
      <w:color w:val="1A2744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="Calibri" w:asciiTheme="majorHAnsi" w:cs="Calibri" w:cstheme="majorBidi" w:eastAsiaTheme="majorEastAsia" w:hAnsi="Calibri" w:hAnsiTheme="majorHAnsi"/>
      <w:b/>
      <w:color w:val="3B82F6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Calibri" w:cs="Calibri" w:cstheme="majorBidi" w:eastAsiaTheme="majorEastAsia" w:hAnsi="Calibri"/>
      <w:b/>
      <w:color w:val="1A2744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Calibri" w:cs="Calibri" w:cstheme="majorBidi" w:eastAsiaTheme="majorEastAsia" w:hAnsi="Calibri"/>
      <w:b/>
      <w:i/>
      <w:iCs/>
      <w:color w:val="6B7589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hAnsi="Calibri"/>
      <w:color w:val="3A4458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WSWordmark" w:type="paragraph">
    <w:name w:val="WSWordmark"/>
    <w:pPr>
      <w:spacing w:after="160" w:before="800" w:line="240" w:lineRule="auto"/>
    </w:pPr>
    <w:rPr>
      <w:rFonts w:ascii="Calibri" w:cs="Calibri" w:hAnsi="Calibri"/>
      <w:b/>
      <w:color w:val="1A2744"/>
      <w:sz w:val="44"/>
    </w:rPr>
  </w:style>
  <w:style w:customStyle="1" w:styleId="WSCoverTitle" w:type="paragraph">
    <w:name w:val="WSCoverTitle"/>
    <w:pPr>
      <w:spacing w:after="120" w:before="520" w:line="240" w:lineRule="auto"/>
    </w:pPr>
    <w:rPr>
      <w:rFonts w:ascii="Calibri" w:cs="Calibri" w:hAnsi="Calibri"/>
      <w:b/>
      <w:color w:val="1A2744"/>
      <w:sz w:val="68"/>
    </w:rPr>
  </w:style>
  <w:style w:customStyle="1" w:styleId="WSCoverSub" w:type="paragraph">
    <w:name w:val="WSCoverSub"/>
    <w:pPr>
      <w:spacing w:after="520" w:before="0" w:line="240" w:lineRule="auto"/>
    </w:pPr>
    <w:rPr>
      <w:rFonts w:ascii="Calibri" w:cs="Calibri" w:hAnsi="Calibri"/>
      <w:b w:val="0"/>
      <w:color w:val="3B82F6"/>
      <w:sz w:val="28"/>
    </w:rPr>
  </w:style>
  <w:style w:customStyle="1" w:styleId="WSCoverMeta" w:type="paragraph">
    <w:name w:val="WSCoverMeta"/>
    <w:pPr>
      <w:spacing w:after="80" w:before="0" w:line="240" w:lineRule="auto"/>
    </w:pPr>
    <w:rPr>
      <w:rFonts w:ascii="Calibri" w:cs="Calibri" w:hAnsi="Calibri"/>
      <w:b w:val="0"/>
      <w:color w:val="6B7589"/>
      <w:sz w:val="22"/>
    </w:rPr>
  </w:style>
  <w:style w:customStyle="1" w:styleId="WSLabel" w:type="paragraph">
    <w:name w:val="WSLabel"/>
    <w:pPr>
      <w:spacing w:after="120" w:before="120" w:line="240" w:lineRule="auto"/>
    </w:pPr>
    <w:rPr>
      <w:rFonts w:ascii="Calibri" w:cs="Calibri" w:hAnsi="Calibri"/>
      <w:b/>
      <w:color w:val="1A2744"/>
      <w:sz w:val="24"/>
    </w:rPr>
  </w:style>
  <w:style w:customStyle="1" w:styleId="WSBlue" w:type="character">
    <w:name w:val="WSBlue"/>
    <w:rPr>
      <w:rFonts w:ascii="Calibri" w:hAnsi="Calibri"/>
      <w:b/>
      <w:color w:val="3B82F6"/>
    </w:rPr>
  </w:style>
  <w:style w:customStyle="1" w:styleId="WSNavy" w:type="character">
    <w:name w:val="WSNavy"/>
    <w:rPr>
      <w:rFonts w:ascii="Calibri" w:hAnsi="Calibri"/>
      <w:b/>
      <w:color w:val="1A2744"/>
    </w:rPr>
  </w:style>
  <w:style w:customStyle="1" w:styleId="WSOrange" w:type="character">
    <w:name w:val="WSOrange"/>
    <w:rPr>
      <w:rFonts w:ascii="Calibri" w:hAnsi="Calibri"/>
      <w:b/>
      <w:color w:val="F5821F"/>
    </w:rPr>
  </w:style>
  <w:style w:customStyle="1" w:styleId="WSGreen" w:type="character">
    <w:name w:val="WSGreen"/>
    <w:rPr>
      <w:rFonts w:ascii="Calibri" w:hAnsi="Calibri"/>
      <w:b/>
      <w:color w:val="43A047"/>
    </w:rPr>
  </w:style>
  <w:style w:customStyle="1" w:styleId="WSGray" w:type="character">
    <w:name w:val="WSGray"/>
    <w:rPr>
      <w:rFonts w:ascii="Calibri" w:hAnsi="Calibri"/>
      <w:b w:val="0"/>
      <w:color w:val="6B758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2026-09-05T04:14:08Z</dcterms:created>
  <dcterms:modified xsi:type="dcterms:W3CDTF">2026-09-05T04:14:08Z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