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CATALAXIA</w:t>
      </w:r>
    </w:p>
    <w:p>
      <w:pPr>
        <w:jc w:val="center"/>
      </w:pPr>
      <w:r>
        <w:rPr>
          <w:b/>
          <w:sz w:val="40"/>
        </w:rPr>
        <w:t>MANUAL OPERATIVO</w:t>
      </w:r>
    </w:p>
    <w:p>
      <w:pPr>
        <w:jc w:val="center"/>
      </w:pPr>
      <w:r>
        <w:rPr>
          <w:sz w:val="30"/>
        </w:rPr>
        <w:t>PARTES XVI–XXII</w:t>
      </w:r>
    </w:p>
    <w:p>
      <w:pPr>
        <w:jc w:val="center"/>
      </w:pPr>
      <w:r>
        <w:rPr>
          <w:i/>
        </w:rPr>
        <w:t>7 documentos integrados</w:t>
      </w:r>
    </w:p>
    <w:p/>
    <w:p>
      <w:pPr>
        <w:pStyle w:val="Heading1"/>
      </w:pPr>
      <w:r>
        <w:t>Contenido</w:t>
      </w:r>
    </w:p>
    <w:p>
      <w:pPr>
        <w:pStyle w:val="ListNumber"/>
      </w:pPr>
      <w:r>
        <w:t>Parte XVI — PARTE XVI — GOLDEN RUN</w:t>
      </w:r>
    </w:p>
    <w:p>
      <w:pPr>
        <w:pStyle w:val="ListNumber"/>
      </w:pPr>
      <w:r>
        <w:t>Parte XVII — PARTE XVII — ESTADO REAL DEL SISTEMA</w:t>
      </w:r>
    </w:p>
    <w:p>
      <w:pPr>
        <w:pStyle w:val="ListNumber"/>
      </w:pPr>
      <w:r>
        <w:t>Parte XVIII — PARTE XVIII — QUÉ FALTA</w:t>
      </w:r>
    </w:p>
    <w:p>
      <w:pPr>
        <w:pStyle w:val="ListNumber"/>
      </w:pPr>
      <w:r>
        <w:t>Parte XIX — ANEXO B — DIAGRAMAS DE REFERENCIA DEL PROYECTO</w:t>
      </w:r>
    </w:p>
    <w:p>
      <w:pPr>
        <w:pStyle w:val="ListNumber"/>
      </w:pPr>
      <w:r>
        <w:t>Parte XX — ANEXO C — PLANTILLAS DE DIAGRAMAS (MERMAID)</w:t>
      </w:r>
    </w:p>
    <w:p>
      <w:pPr>
        <w:pStyle w:val="ListNumber"/>
      </w:pPr>
      <w:r>
        <w:t>Parte XXI — ANEXO D — BIBLIOTECA OFICIAL DE DIAGRAMAS</w:t>
      </w:r>
    </w:p>
    <w:p>
      <w:pPr>
        <w:pStyle w:val="ListNumber"/>
      </w:pPr>
      <w:r>
        <w:t>Parte XXII — ANEXO E — ARQUITECTURA DE LAS 12 CAPAS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XVI</w:t>
      </w:r>
    </w:p>
    <w:p>
      <w:pPr>
        <w:jc w:val="center"/>
      </w:pPr>
      <w:r>
        <w:rPr>
          <w:b/>
          <w:sz w:val="36"/>
        </w:rPr>
        <w:t>PARTE XVI — GOLDEN RUN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XVII</w:t>
      </w:r>
    </w:p>
    <w:p>
      <w:pPr>
        <w:jc w:val="center"/>
      </w:pPr>
      <w:r>
        <w:rPr>
          <w:b/>
          <w:sz w:val="36"/>
        </w:rPr>
        <w:t>PARTE XVII — ESTADO REAL DEL SISTEMA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XVIII</w:t>
      </w:r>
    </w:p>
    <w:p>
      <w:pPr>
        <w:jc w:val="center"/>
      </w:pPr>
      <w:r>
        <w:rPr>
          <w:b/>
          <w:sz w:val="36"/>
        </w:rPr>
        <w:t>PARTE XVIII — QUÉ FALTA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XIX</w:t>
      </w:r>
    </w:p>
    <w:p>
      <w:pPr>
        <w:jc w:val="center"/>
      </w:pPr>
      <w:r>
        <w:rPr>
          <w:b/>
          <w:sz w:val="36"/>
        </w:rPr>
        <w:t>ANEXO B — DIAGRAMAS DE REFERENCIA DEL PROYECTO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XX</w:t>
      </w:r>
    </w:p>
    <w:p>
      <w:pPr>
        <w:jc w:val="center"/>
      </w:pPr>
      <w:r>
        <w:rPr>
          <w:b/>
          <w:sz w:val="36"/>
        </w:rPr>
        <w:t>ANEXO C — PLANTILLAS DE DIAGRAMAS (MERMAID)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XXI</w:t>
      </w:r>
    </w:p>
    <w:p>
      <w:pPr>
        <w:jc w:val="center"/>
      </w:pPr>
      <w:r>
        <w:rPr>
          <w:b/>
          <w:sz w:val="36"/>
        </w:rPr>
        <w:t>ANEXO D — BIBLIOTECA OFICIAL DE DIAGRAMAS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XXII</w:t>
      </w:r>
    </w:p>
    <w:p>
      <w:pPr>
        <w:jc w:val="center"/>
      </w:pPr>
      <w:r>
        <w:rPr>
          <w:b/>
          <w:sz w:val="36"/>
        </w:rPr>
        <w:t>ANEXO E — ARQUITECTURA DE LAS 12 CAPAS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  <w:p>
      <w:pPr>
        <w:pStyle w:val="Title"/>
        <w:jc w:val="left"/>
      </w:pPr>
      <w:r>
        <w:t>PARTE XVI — GOLDEN RUN</w:t>
      </w:r>
    </w:p>
    <w:p>
      <w:pPr>
        <w:spacing w:after="200"/>
      </w:pPr>
      <w:r>
        <w:rPr>
          <w:b/>
          <w:sz w:val="22"/>
        </w:rPr>
        <w:t>Identificación: Golden Run</w:t>
      </w:r>
    </w:p>
    <w:p>
      <w:pPr>
        <w:spacing w:after="80"/>
      </w:pPr>
      <w:r>
        <w:t xml:space="preserve">Un </w:t>
      </w:r>
      <w:r>
        <w:rPr>
          <w:b/>
        </w:rPr>
        <w:t>Golden Run</w:t>
      </w:r>
      <w:r>
        <w:t xml:space="preserve"> es la ejecución completa y aislada del pipeline sobre un</w:t>
      </w:r>
    </w:p>
    <w:p>
      <w:pPr>
        <w:spacing w:after="80"/>
      </w:pPr>
      <w:r>
        <w:t>piloto, con estado explícito por artefacto, verificación independiente y un</w:t>
      </w:r>
    </w:p>
    <w:p>
      <w:pPr>
        <w:spacing w:after="80"/>
      </w:pPr>
      <w:r>
        <w:t>veredicto. **No es "correrlo y que termine": es correrlo y poder probar qué</w:t>
      </w:r>
    </w:p>
    <w:p>
      <w:pPr>
        <w:spacing w:after="80"/>
      </w:pPr>
      <w:r>
        <w:t>pasó con cada documento.**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docs/runbooks/appendices/GOLDEN_RUNS.md</w:t>
      </w:r>
      <w:r>
        <w:t xml:space="preserve"> completo;</w:t>
      </w:r>
    </w:p>
    <w:p>
      <w:pPr>
        <w:spacing w:after="80"/>
      </w:pPr>
      <w:r>
        <w:rPr>
          <w:rFonts w:ascii="Consolas" w:hAnsi="Consolas"/>
          <w:sz w:val="18"/>
        </w:rPr>
        <w:t>outputs/docs/fase_cnv/METROGAS_GOLDEN_RUN_REPORT.md</w:t>
      </w:r>
      <w:r>
        <w:t xml:space="preserve"> completo;</w:t>
      </w:r>
    </w:p>
    <w:p>
      <w:pPr>
        <w:spacing w:after="80"/>
      </w:pPr>
      <w:r>
        <w:rPr>
          <w:rFonts w:ascii="Consolas" w:hAnsi="Consolas"/>
          <w:sz w:val="18"/>
        </w:rPr>
        <w:t>outputs/docs/fase_cnv/METR_FY2024_E2E_REPORT.md</w:t>
      </w:r>
      <w:r>
        <w:t xml:space="preserve"> y</w:t>
      </w:r>
    </w:p>
    <w:p>
      <w:pPr>
        <w:spacing w:after="80"/>
      </w:pPr>
      <w:r>
        <w:rPr>
          <w:rFonts w:ascii="Consolas" w:hAnsi="Consolas"/>
          <w:sz w:val="18"/>
        </w:rPr>
        <w:t>METR_FY2024_SNAPSHOT.json</w:t>
      </w:r>
      <w:r>
        <w:t xml:space="preserve"> (digests reproducibles).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El procedimiento estándar</w:t>
      </w:r>
    </w:p>
    <w:p>
      <w:pPr>
        <w:pStyle w:val="ListNumber"/>
      </w:pPr>
      <w:r>
        <w:rPr>
          <w:b/>
        </w:rPr>
        <w:t>Aislar el entorno.</w:t>
      </w:r>
      <w:r>
        <w:t xml:space="preserve"> Fixture de base de datos propio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metr_golden.db</w:t>
      </w:r>
      <w:r>
        <w:t xml:space="preserve"> / base </w:t>
      </w:r>
      <w:r>
        <w:rPr>
          <w:rFonts w:ascii="Consolas" w:hAnsi="Consolas"/>
          <w:sz w:val="18"/>
        </w:rPr>
        <w:t>metrgolden</w:t>
      </w:r>
      <w:r>
        <w:t xml:space="preserve">@5433, </w:t>
      </w:r>
      <w:r>
        <w:rPr>
          <w:rFonts w:ascii="Consolas" w:hAnsi="Consolas"/>
          <w:sz w:val="18"/>
        </w:rPr>
        <w:t>kogolden</w:t>
      </w:r>
      <w:r>
        <w:t>, etc.). Nunca la</w:t>
      </w:r>
    </w:p>
    <w:p>
      <w:pPr>
        <w:spacing w:after="80"/>
      </w:pPr>
      <w:r>
        <w:t xml:space="preserve">   base homologada ni producción.</w:t>
      </w:r>
    </w:p>
    <w:p>
      <w:pPr>
        <w:pStyle w:val="ListNumber"/>
      </w:pPr>
      <w:r>
        <w:rPr>
          <w:b/>
        </w:rPr>
        <w:t>Verificar el entorno</w:t>
      </w:r>
      <w:r>
        <w:t xml:space="preserve"> → Parte II: puerto </w:t>
      </w:r>
      <w:r>
        <w:rPr>
          <w:rFonts w:ascii="Consolas" w:hAnsi="Consolas"/>
          <w:sz w:val="18"/>
        </w:rPr>
        <w:t>5433</w:t>
      </w:r>
      <w:r>
        <w:t xml:space="preserve"> (nunca 5432),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EXT-010</w:t>
      </w:r>
      <w:r>
        <w:t xml:space="preserve">, </w:t>
      </w:r>
      <w:r>
        <w:rPr>
          <w:rFonts w:ascii="Consolas" w:hAnsi="Consolas"/>
          <w:sz w:val="18"/>
        </w:rPr>
        <w:t>s.describe()</w:t>
      </w:r>
      <w:r>
        <w:t xml:space="preserve"> con </w:t>
      </w:r>
      <w:r>
        <w:rPr>
          <w:rFonts w:ascii="Consolas" w:hAnsi="Consolas"/>
          <w:sz w:val="18"/>
        </w:rPr>
        <w:t>prod=False</w:t>
      </w:r>
      <w:r>
        <w:t xml:space="preserve">, producción en solo </w:t>
      </w:r>
      <w:r>
        <w:rPr>
          <w:rFonts w:ascii="Consolas" w:hAnsi="Consolas"/>
          <w:sz w:val="18"/>
        </w:rPr>
        <w:t>public</w:t>
      </w:r>
      <w:r>
        <w:t>.</w:t>
      </w:r>
    </w:p>
    <w:p>
      <w:pPr>
        <w:pStyle w:val="ListNumber"/>
      </w:pPr>
      <w:r>
        <w:rPr>
          <w:b/>
        </w:rPr>
        <w:t>Verificar la identidad</w:t>
      </w:r>
      <w:r>
        <w:t xml:space="preserve"> → S01 / tramo CNV A: la entidad existe y no se</w:t>
      </w:r>
    </w:p>
    <w:p>
      <w:pPr>
        <w:spacing w:after="80"/>
      </w:pPr>
      <w:r>
        <w:t xml:space="preserve">   inventa ningún ancla.</w:t>
      </w:r>
    </w:p>
    <w:p>
      <w:pPr>
        <w:pStyle w:val="ListNumber"/>
      </w:pPr>
      <w:r>
        <w:rPr>
          <w:b/>
        </w:rPr>
        <w:t>Correr la cadena</w:t>
      </w:r>
      <w:r>
        <w:t xml:space="preserve"> </w:t>
      </w:r>
      <w:r>
        <w:rPr>
          <w:rFonts w:ascii="Consolas" w:hAnsi="Consolas"/>
          <w:sz w:val="18"/>
        </w:rPr>
        <w:t>S00 → S01 → S02 → S03 → S04</w:t>
      </w:r>
      <w:r>
        <w:t xml:space="preserve"> (SEC) o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C3 → job5 → normalización → adaptador canónico</w:t>
      </w:r>
      <w:r>
        <w:t xml:space="preserve"> (CNV).</w:t>
      </w:r>
    </w:p>
    <w:p>
      <w:pPr>
        <w:pStyle w:val="ListNumber"/>
      </w:pPr>
      <w:r>
        <w:rPr>
          <w:b/>
        </w:rPr>
        <w:t>Modelo y ratios</w:t>
      </w:r>
      <w:r>
        <w:t>: Financial Model (si está en rama) y ratio engine,</w:t>
      </w:r>
    </w:p>
    <w:p>
      <w:pPr>
        <w:spacing w:after="80"/>
      </w:pPr>
      <w:r>
        <w:t xml:space="preserve">   sin persistir primero.</w:t>
      </w:r>
    </w:p>
    <w:p>
      <w:pPr>
        <w:pStyle w:val="ListNumber"/>
      </w:pPr>
      <w:r>
        <w:rPr>
          <w:b/>
        </w:rPr>
        <w:t>Provenance</w:t>
      </w:r>
      <w:r>
        <w:t xml:space="preserve">: por cada fact, </w:t>
      </w:r>
      <w:r>
        <w:rPr>
          <w:rFonts w:ascii="Consolas" w:hAnsi="Consolas"/>
          <w:sz w:val="18"/>
        </w:rPr>
        <w:t>hecho → documento → RAW → SHA256</w:t>
      </w:r>
      <w:r>
        <w:t>.</w:t>
      </w:r>
    </w:p>
    <w:p>
      <w:pPr>
        <w:pStyle w:val="ListNumber"/>
      </w:pPr>
      <w:r>
        <w:rPr>
          <w:b/>
        </w:rPr>
        <w:t>Segunda (y tercera) corrida</w:t>
      </w:r>
      <w:r>
        <w:t xml:space="preserve">: misma entrada → mismo </w:t>
      </w:r>
      <w:r>
        <w:rPr>
          <w:rFonts w:ascii="Consolas" w:hAnsi="Consolas"/>
          <w:sz w:val="18"/>
        </w:rPr>
        <w:t>hash_out</w:t>
      </w:r>
      <w:r>
        <w:t>, 0</w:t>
      </w:r>
    </w:p>
    <w:p>
      <w:pPr>
        <w:spacing w:after="80"/>
      </w:pPr>
      <w:r>
        <w:t xml:space="preserve">   inserts, digests idénticos.</w:t>
      </w:r>
    </w:p>
    <w:p>
      <w:pPr>
        <w:pStyle w:val="ListNumber"/>
      </w:pPr>
      <w:r>
        <w:rPr>
          <w:b/>
        </w:rPr>
        <w:t>Comparar hashes y conteos</w:t>
      </w:r>
      <w:r>
        <w:t xml:space="preserve"> antes/después, incluida la huella de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data/screener.db</w:t>
      </w:r>
      <w:r>
        <w:t xml:space="preserve"> y de producción.</w:t>
      </w:r>
    </w:p>
    <w:p>
      <w:pPr>
        <w:pStyle w:val="ListNumber"/>
      </w:pPr>
      <w:r>
        <w:rPr>
          <w:b/>
        </w:rPr>
        <w:t>Auditar por un camino independiente</w:t>
      </w:r>
      <w:r>
        <w:t xml:space="preserve"> (parser y motor propios), y</w:t>
      </w:r>
    </w:p>
    <w:p>
      <w:pPr>
        <w:spacing w:after="80"/>
      </w:pPr>
      <w:r>
        <w:t xml:space="preserve">   </w:t>
      </w:r>
      <w:r>
        <w:rPr>
          <w:b/>
        </w:rPr>
        <w:t>mutar</w:t>
      </w:r>
      <w:r>
        <w:t xml:space="preserve"> un valor para demostrar que la verificación lo detecta.</w:t>
      </w:r>
    </w:p>
    <w:p>
      <w:pPr>
        <w:pStyle w:val="ListNumber"/>
      </w:pPr>
      <w:r>
        <w:rPr>
          <w:b/>
        </w:rPr>
        <w:t>Escribir el reporte</w:t>
      </w:r>
      <w:r>
        <w:t xml:space="preserve"> con el veredicto y los entregables.</w:t>
      </w:r>
    </w:p>
    <w:p>
      <w:pPr>
        <w:spacing w:after="80"/>
      </w:pPr>
      <w:r>
        <w:rPr>
          <w:b/>
        </w:rPr>
        <w:t>Caso YPF, los comandos en orden</w:t>
      </w:r>
      <w:r>
        <w:t xml:space="preserve"> (</w:t>
      </w:r>
      <w:r>
        <w:rPr>
          <w:rFonts w:ascii="Consolas" w:hAnsi="Consolas"/>
          <w:sz w:val="18"/>
        </w:rPr>
        <w:t>GOLDEN_RUNS.md</w:t>
      </w:r>
      <w:r>
        <w:t xml:space="preserve"> §1):</w:t>
      </w:r>
    </w:p>
    <w:p>
      <w:pPr>
        <w:spacing w:after="80"/>
      </w:pPr>
      <w:r>
        <w:rPr>
          <w:rFonts w:ascii="Consolas" w:hAnsi="Consolas"/>
          <w:sz w:val="18"/>
        </w:rPr>
        <w:t>ENGINE_DB_PORT=5433</w:t>
      </w:r>
      <w:r>
        <w:t xml:space="preserve"> para S00, S01, </w:t>
      </w:r>
      <w:r>
        <w:rPr>
          <w:rFonts w:ascii="Consolas" w:hAnsi="Consolas"/>
          <w:sz w:val="18"/>
        </w:rPr>
        <w:t>s02_fetch_ypf.py</w:t>
      </w:r>
      <w:r>
        <w:t xml:space="preserve">, </w:t>
      </w:r>
      <w:r>
        <w:rPr>
          <w:rFonts w:ascii="Consolas" w:hAnsi="Consolas"/>
          <w:sz w:val="18"/>
        </w:rPr>
        <w:t>s03_parse_ypf.py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S04 --dry-run</w:t>
      </w:r>
      <w:r>
        <w:t xml:space="preserve"> (obligatorio) y </w:t>
      </w:r>
      <w:r>
        <w:rPr>
          <w:rFonts w:ascii="Consolas" w:hAnsi="Consolas"/>
          <w:sz w:val="18"/>
        </w:rPr>
        <w:t>S04</w:t>
      </w:r>
      <w:r>
        <w:t xml:space="preserve">, y </w:t>
      </w:r>
      <w:r>
        <w:rPr>
          <w:rFonts w:ascii="Consolas" w:hAnsi="Consolas"/>
          <w:sz w:val="18"/>
        </w:rPr>
        <w:t>ratio_engine.py --cik 0000904851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Qué se exige de un Golden Run</w:t>
      </w:r>
    </w:p>
    <w:p>
      <w:pPr>
        <w:spacing w:after="80"/>
      </w:pPr>
      <w:r>
        <w:rPr>
          <w:b/>
        </w:rPr>
        <w:t>La verificación determinística</w:t>
      </w:r>
      <w:r>
        <w:t xml:space="preserve"> (no los conteos, que dependen de cuántos</w:t>
      </w:r>
    </w:p>
    <w:p>
      <w:pPr>
        <w:spacing w:after="80"/>
      </w:pPr>
      <w:r>
        <w:t>filings tenga EDGAR hoy):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señal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 exigido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los gates de las etapas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**6/6 en `PASS`**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`rows_failed`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`filings_rejected`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segunda corrida de S03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**checkpoint hit + el mismo `hash_out`**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S04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`hash_in` / `hash_out` impresos e iguales al de S03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producción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**intacta** (`public` y nada más)</w:t>
            </w:r>
          </w:p>
        </w:tc>
      </w:tr>
    </w:tbl>
    <w:p/>
    <w:p>
      <w:pPr>
        <w:spacing w:after="80"/>
      </w:pPr>
      <w:r>
        <w:rPr>
          <w:b/>
        </w:rPr>
        <w:t>`RUNBOOK GAP (RG-01):`</w:t>
      </w:r>
      <w:r>
        <w:t xml:space="preserve"> no hay valores canónicos publicados para los</w:t>
      </w:r>
    </w:p>
    <w:p>
      <w:pPr>
        <w:spacing w:after="80"/>
      </w:pPr>
      <w:r>
        <w:t>conteos (filings de YPF en EDGAR crecen con el tiempo). Lo que sí es</w:t>
      </w:r>
    </w:p>
    <w:p>
      <w:pPr>
        <w:spacing w:after="80"/>
      </w:pPr>
      <w:r>
        <w:t>determinístico es lo de arriba — se exige eso, no un número de filas.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Casos existentes — qué esperar de cada uno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caso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veredicto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referencia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**YPF** (SEC)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completo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`GOLDEN_RUNS.md` §1: 6 gates PASS, primer uso del pipeline fuera de un fixture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**KO** (SEC, US-GAAP puro)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golden run en `kogolden`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 (6 hallazgos pendientes, ver Parte XIII)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primera generalización fuera del golden case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**METR** (CNV)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golden run CNV completo (worktree)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`METROGAS_GOLDEN_RUN_REPORT.md`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 FY2024** (E2E certificado, worktree)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snapshot certificado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`PASS` con salvedad de origen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`METR_FY2024_E2E_REPORT.md` + digests en `METR_FY2024_SNAPSHOT.json`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 FY2025** (homologación TIKR)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comparación 152 métricas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Parte XIV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 30/09/2024** (diagnóstico)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caso obligatorio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9/10 preguntas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Parte XV, `GOLDEN_RUNS.md` §3</w:t>
            </w:r>
          </w:p>
        </w:tc>
      </w:tr>
    </w:tbl>
    <w:p/>
    <w:p>
      <w:pPr>
        <w:spacing w:after="80"/>
      </w:pPr>
      <w:r>
        <w:rPr>
          <w:b/>
        </w:rPr>
        <w:t>El reporte de METR (referencia de estructura):</w:t>
      </w:r>
      <w:r>
        <w:t xml:space="preserve"> veredicto; resumen con 10</w:t>
      </w:r>
    </w:p>
    <w:p>
      <w:pPr>
        <w:spacing w:after="80"/>
      </w:pPr>
      <w:r>
        <w:t>métricas (`documentos con estado 286/286 · reconciliación cierra · SHA 286/286</w:t>
      </w:r>
    </w:p>
    <w:p>
      <w:pPr>
        <w:spacing w:after="80"/>
      </w:pPr>
      <w:r>
        <w:t>· hechos canónicos 2.795 · violaciones 0 · idempotencia 0 inserts · auditoría</w:t>
      </w:r>
    </w:p>
    <w:p>
      <w:pPr>
        <w:spacing w:after="80"/>
      </w:pPr>
      <w:r>
        <w:t>PASS · tests 18/18 · producción sin cambios`); census; provenance del RAW;</w:t>
      </w:r>
    </w:p>
    <w:p>
      <w:pPr>
        <w:spacing w:after="80"/>
      </w:pPr>
      <w:r>
        <w:t>extracción; semántica; canonical; ratios; auditoría independiente; tests;</w:t>
      </w:r>
    </w:p>
    <w:p>
      <w:pPr>
        <w:spacing w:after="80"/>
      </w:pPr>
      <w:r>
        <w:t>problemas encontrados; aislamiento; gate.</w:t>
      </w:r>
    </w:p>
    <w:p>
      <w:pPr>
        <w:spacing w:after="80"/>
      </w:pPr>
      <w:r>
        <w:rPr>
          <w:b/>
        </w:rPr>
        <w:t>El veredicto de METR, para calibrar:</w:t>
      </w:r>
      <w:r>
        <w:t xml:space="preserve"> </w:t>
      </w:r>
      <w:r>
        <w:rPr>
          <w:rFonts w:ascii="Consolas" w:hAnsi="Consolas"/>
          <w:sz w:val="18"/>
        </w:rPr>
        <w:t>PASS_WITH_WARNINGS</w:t>
      </w:r>
      <w:r>
        <w:t xml:space="preserve">,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8"/>
        </w:rPr>
        <w:t>PASS</w:t>
      </w:r>
      <w:r>
        <w:t xml:space="preserve"> —</w:t>
      </w:r>
    </w:p>
    <w:p>
      <w:pPr>
        <w:spacing w:after="80"/>
      </w:pPr>
      <w:r>
        <w:t>el criterio "ratios pasan donde existen inputs" falla (14/14 insumos</w:t>
      </w:r>
    </w:p>
    <w:p>
      <w:pPr>
        <w:spacing w:after="80"/>
      </w:pPr>
      <w:r>
        <w:t>disponibles, 0 calculados, porque el motor homologado excluye CNV por diseño),</w:t>
      </w:r>
    </w:p>
    <w:p>
      <w:pPr>
        <w:spacing w:after="80"/>
      </w:pPr>
      <w:r>
        <w:t xml:space="preserve">y </w:t>
      </w:r>
      <w:r>
        <w:rPr>
          <w:b/>
        </w:rPr>
        <w:t>no es `BLOCKED`</w:t>
      </w:r>
      <w:r>
        <w:t xml:space="preserve"> porque ninguna condición de integridad falla. Las tres</w:t>
      </w:r>
    </w:p>
    <w:p>
      <w:pPr>
        <w:spacing w:after="80"/>
      </w:pPr>
      <w:r>
        <w:t>advertencias en orden de impacto: P1 (el 79 % de las descargas no trajo el</w:t>
      </w:r>
    </w:p>
    <w:p>
      <w:pPr>
        <w:spacing w:after="80"/>
      </w:pPr>
      <w:r>
        <w:t>documento — el techo real de cobertura es 60 documentos, no 286), P4 (sin</w:t>
      </w:r>
    </w:p>
    <w:p>
      <w:pPr>
        <w:spacing w:after="80"/>
      </w:pPr>
      <w:r>
        <w:t>motor homologado CNV no hay ratios), P2 (dos hechos económicos existen en el</w:t>
      </w:r>
    </w:p>
    <w:p>
      <w:pPr>
        <w:spacing w:after="80"/>
      </w:pPr>
      <w:r>
        <w:t xml:space="preserve">RAW y no caben en el modelo: la PK económica de </w:t>
      </w:r>
      <w:r>
        <w:rPr>
          <w:rFonts w:ascii="Consolas" w:hAnsi="Consolas"/>
          <w:sz w:val="18"/>
        </w:rPr>
        <w:t>cnv_estados_v2</w:t>
      </w:r>
      <w:r>
        <w:t xml:space="preserve"> pierde</w:t>
      </w:r>
    </w:p>
    <w:p>
      <w:pPr>
        <w:spacing w:after="80"/>
      </w:pPr>
      <w:r>
        <w:t>ocurrencias).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 prueba que certifica un Golden Run</w:t>
      </w:r>
    </w:p>
    <w:p>
      <w:pPr>
        <w:spacing w:after="80"/>
      </w:pPr>
      <w:r>
        <w:t xml:space="preserve">Dos corridas de </w:t>
      </w:r>
      <w:r>
        <w:rPr>
          <w:b/>
        </w:rPr>
        <w:t>cualquier</w:t>
      </w:r>
      <w:r>
        <w:t xml:space="preserve"> etapa deben producir el mismo digest; dos</w:t>
      </w:r>
    </w:p>
    <w:p>
      <w:pPr>
        <w:spacing w:after="80"/>
      </w:pPr>
      <w:r>
        <w:t>corridas de todo el pipeline deben producir los mismos digests de las matrices</w:t>
      </w:r>
    </w:p>
    <w:p>
      <w:pPr>
        <w:spacing w:after="80"/>
      </w:pPr>
      <w:r>
        <w:t xml:space="preserve">de salida y </w:t>
      </w:r>
      <w:r>
        <w:rPr>
          <w:b/>
        </w:rPr>
        <w:t>0 inserts vigentes</w:t>
      </w:r>
      <w:r>
        <w:t>. Ejemplo documentado (METR canonical):</w:t>
      </w:r>
    </w:p>
    <w:p>
      <w:pPr>
        <w:pStyle w:val="CodeBlock"/>
        <w:ind w:left="288"/>
      </w:pPr>
      <w:r>
        <w:t>derived_metr  2795   63b9ce0e874153c4558e8c75acdaca45</w:t>
        <w:br/>
        <w:t>valores       2795   c5fd623fca726dd54f909f6b3b0bc177</w:t>
        <w:br/>
        <w:t>parsed_metr   2795   3d69ed07e07e059659f4116ca9d44630</w:t>
        <w:br/>
        <w:t>sec_intacto  133902  63629c0fc2ee76ad8038660c4815b443   ← SEC no se tocó</w:t>
      </w:r>
    </w:p>
    <w:p>
      <w:pPr>
        <w:spacing w:after="80"/>
      </w:pPr>
      <w:r>
        <w:rPr>
          <w:b/>
        </w:rPr>
        <w:t>Todo Golden Run termina con una auditoría independiente</w:t>
      </w:r>
      <w:r>
        <w:t xml:space="preserve"> (parser y motor</w:t>
      </w:r>
    </w:p>
    <w:p>
      <w:pPr>
        <w:spacing w:after="80"/>
      </w:pPr>
      <w:r>
        <w:t>propios, con su propia transcripción del plan de cuentas) y **con una mutación</w:t>
      </w:r>
    </w:p>
    <w:p>
      <w:pPr>
        <w:spacing w:after="80"/>
      </w:pPr>
      <w:r>
        <w:t>adversarial** que demuestre que el sistema detecta el cambio. El reporte de</w:t>
      </w:r>
    </w:p>
    <w:p>
      <w:pPr>
        <w:spacing w:after="80"/>
      </w:pPr>
      <w:r>
        <w:t xml:space="preserve">METR: </w:t>
      </w:r>
      <w:r>
        <w:rPr>
          <w:rFonts w:ascii="Consolas" w:hAnsi="Consolas"/>
          <w:sz w:val="18"/>
        </w:rPr>
        <w:t>c5_metr_golden_auditoria.py</w:t>
      </w:r>
      <w:r>
        <w:t xml:space="preserve">, 0 fallas, y </w:t>
      </w:r>
      <w:r>
        <w:rPr>
          <w:rFonts w:ascii="Consolas" w:hAnsi="Consolas"/>
          <w:sz w:val="18"/>
        </w:rPr>
        <w:t>tests/test_metr_golden_run.py</w:t>
      </w:r>
    </w:p>
    <w:p>
      <w:pPr>
        <w:spacing w:after="80"/>
      </w:pPr>
      <w:r>
        <w:t>18/18, donde la mutación del coverage guard rompe la reconciliación en los tres</w:t>
      </w:r>
    </w:p>
    <w:p>
      <w:pPr>
        <w:spacing w:after="80"/>
      </w:pPr>
      <w:r>
        <w:t>casos.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XVI</w:t>
      </w:r>
    </w:p>
    <w:p>
      <w:pPr>
        <w:spacing w:after="80"/>
      </w:pPr>
      <w:r>
        <w:t>Un Golden Run está bien hecho cuando: (1) se corrió en aislamiento; (2) cada</w:t>
      </w:r>
    </w:p>
    <w:p>
      <w:pPr>
        <w:spacing w:after="80"/>
      </w:pPr>
      <w:r>
        <w:t>documento tiene estado con motivo; (3) la reconciliación de cobertura cierra;</w:t>
      </w:r>
    </w:p>
    <w:p>
      <w:pPr>
        <w:spacing w:after="80"/>
      </w:pPr>
      <w:r>
        <w:t>(4) el SHA se recomputó y la provenance llega al archivo; (5) la segunda corrida</w:t>
      </w:r>
    </w:p>
    <w:p>
      <w:pPr>
        <w:spacing w:after="80"/>
      </w:pPr>
      <w:r>
        <w:t>da digests idénticos y 0 inserts; (6) la auditoría independiente no encontró</w:t>
      </w:r>
    </w:p>
    <w:p>
      <w:pPr>
        <w:spacing w:after="80"/>
      </w:pPr>
      <w:r>
        <w:t xml:space="preserve">fallas; (7) una mutación fue detectada; (8) producción y </w:t>
      </w:r>
      <w:r>
        <w:rPr>
          <w:rFonts w:ascii="Consolas" w:hAnsi="Consolas"/>
          <w:sz w:val="18"/>
        </w:rPr>
        <w:t>screener.db</w:t>
      </w:r>
      <w:r>
        <w:t xml:space="preserve"> quedaron</w:t>
      </w:r>
    </w:p>
    <w:p>
      <w:pPr>
        <w:spacing w:after="80"/>
      </w:pPr>
      <w:r>
        <w:t>intactos salvo el tramo que se está ejercitando; y (9) el veredicto se declara</w:t>
      </w:r>
    </w:p>
    <w:p>
      <w:pPr>
        <w:spacing w:after="80"/>
      </w:pPr>
      <w:r>
        <w:t xml:space="preserve">con </w:t>
      </w:r>
      <w:r>
        <w:rPr>
          <w:rFonts w:ascii="Consolas" w:hAnsi="Consolas"/>
          <w:sz w:val="18"/>
        </w:rPr>
        <w:t>PASS_WITH_WARNINGS</w:t>
      </w:r>
      <w:r>
        <w:t xml:space="preserve"> si algún criterio no se cumple — **se enumera, no se</w:t>
      </w:r>
    </w:p>
    <w:p>
      <w:pPr>
        <w:spacing w:after="80"/>
      </w:pPr>
      <w:r>
        <w:t>esconde**.</w:t>
      </w:r>
    </w:p>
    <w:p>
      <w:pPr>
        <w:spacing w:after="80"/>
      </w:pPr>
      <w:r>
        <w:rPr>
          <w:b/>
        </w:rPr>
        <w:t>`KNOWN_LIMITATION (L-4):`</w:t>
      </w:r>
      <w:r>
        <w:t xml:space="preserve"> no hay un gate agregado con exit code que</w:t>
      </w:r>
    </w:p>
    <w:p>
      <w:pPr>
        <w:spacing w:after="80"/>
      </w:pPr>
      <w:r>
        <w:t xml:space="preserve">automatice (3) y (5): se leen de los reportes. </w:t>
      </w:r>
      <w:r>
        <w:rPr>
          <w:rFonts w:ascii="Consolas" w:hAnsi="Consolas"/>
          <w:sz w:val="18"/>
        </w:rPr>
        <w:t>GOLDEN_RUNS.md</w:t>
      </w:r>
      <w:r>
        <w:t xml:space="preserve"> §1 advierte:</w:t>
      </w:r>
    </w:p>
    <w:p>
      <w:pPr>
        <w:spacing w:after="80"/>
      </w:pPr>
      <w:r>
        <w:rPr>
          <w:b/>
        </w:rPr>
        <w:t>si estos casos no dan lo esperado, no sigas con datos reales.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*Ninguno de estos veredictos documentados se obtuvo corrigiendo código para</w:t>
      </w:r>
    </w:p>
    <w:p>
      <w:pPr>
        <w:spacing w:after="80"/>
      </w:pPr>
      <w:r>
        <w:t>que la corrida pasara: se obtuvo corriendo el pipeline existente y midiéndolo.*</w:t>
      </w:r>
    </w:p>
    <w:p>
      <w:pPr>
        <w:jc w:val="center"/>
      </w:pPr>
      <w:r>
        <w:rPr>
          <w:b/>
          <w:sz w:val="40"/>
        </w:rPr>
        <w:t>PARTE XVII — ESTADO REAL DEL SISTEMA</w:t>
      </w:r>
    </w:p>
    <w:p>
      <w:pPr>
        <w:jc w:val="center"/>
      </w:pPr>
      <w:r>
        <w:rPr>
          <w:i/>
          <w:sz w:val="20"/>
        </w:rPr>
        <w:t>Identificación: Parte XVII · Estado real del sistema</w:t>
      </w:r>
    </w:p>
    <w:p>
      <w:r>
        <w:br w:type="page"/>
      </w:r>
    </w:p>
    <w:p>
      <w:pPr>
        <w:pStyle w:val="Title"/>
      </w:pPr>
      <w:r>
        <w:t>PARTE XVII — ESTADO REAL DEL</w:t>
        <w:br/>
        <w:t>SISTEMA</w:t>
      </w:r>
    </w:p>
    <w:p>
      <w:r>
        <w:t xml:space="preserve">Un informe único que responde </w:t>
      </w:r>
      <w:r>
        <w:rPr>
          <w:b/>
        </w:rPr>
        <w:t>qué produce el sistema</w:t>
        <w:br/>
        <w:t>hoy</w:t>
      </w:r>
      <w:r>
        <w:t>, con qué veredicto y qué queda pendiente. Es una medición</w:t>
        <w:br/>
        <w:t xml:space="preserve">del 2026-09-04 sobre las bases </w:t>
      </w:r>
      <w:r>
        <w:rPr>
          <w:rFonts w:ascii="Consolas" w:hAnsi="Consolas"/>
          <w:sz w:val="18"/>
        </w:rPr>
        <w:t>catalaxia</w:t>
      </w:r>
      <w:r>
        <w:t>@5433</w:t>
      </w:r>
      <w:r>
        <w:t xml:space="preserve"> y los artefactos</w:t>
        <w:br/>
        <w:t>publicados — no una promesa.</w:t>
      </w:r>
    </w:p>
    <w:p>
      <w:r>
        <w:rPr>
          <w:b/>
        </w:rPr>
        <w:t>Material de base:</w:t>
      </w:r>
      <w:r>
        <w:t xml:space="preserve"> las Partes II–XVI de este manual;</w:t>
        <w:br/>
      </w:r>
      <w:r>
        <w:rPr>
          <w:rFonts w:ascii="Consolas" w:hAnsi="Consolas"/>
          <w:sz w:val="18"/>
        </w:rPr>
        <w:t>outputs/runbook/ RUNBOOK_READINESS_REPORT.md</w:t>
      </w:r>
      <w:r>
        <w:t>; los reportes</w:t>
        <w:br/>
        <w:t xml:space="preserve">E2E/golden de </w:t>
      </w:r>
      <w:r>
        <w:rPr>
          <w:rFonts w:ascii="Consolas" w:hAnsi="Consolas"/>
          <w:sz w:val="18"/>
        </w:rPr>
        <w:t>outputs/docs/fase_cnv/</w:t>
      </w:r>
      <w:r>
        <w:t>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Paso 1 · El estado por piloto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piloto</w:t>
            </w:r>
          </w:p>
        </w:tc>
        <w:tc>
          <w:tcPr>
            <w:tcW w:type="dxa" w:w="1987"/>
          </w:tcPr>
          <w:p>
            <w:r>
              <w:t>fuente</w:t>
            </w:r>
          </w:p>
        </w:tc>
        <w:tc>
          <w:tcPr>
            <w:tcW w:type="dxa" w:w="1987"/>
          </w:tcPr>
          <w:p>
            <w:r>
              <w:t>veredicto</w:t>
            </w:r>
          </w:p>
        </w:tc>
        <w:tc>
          <w:tcPr>
            <w:tcW w:type="dxa" w:w="1987"/>
          </w:tcPr>
          <w:p>
            <w:r>
              <w:t>cadena demostrada</w:t>
            </w:r>
          </w:p>
        </w:tc>
        <w:tc>
          <w:tcPr>
            <w:tcW w:type="dxa" w:w="1987"/>
          </w:tcPr>
          <w:p>
            <w:r>
              <w:t>deuda principal</w:t>
            </w:r>
          </w:p>
        </w:tc>
      </w:tr>
      <w:tr>
        <w:tc>
          <w:tcPr>
            <w:tcW w:type="dxa" w:w="1987"/>
          </w:tcPr>
          <w:p>
            <w:r>
              <w:t>YPF</w:t>
            </w:r>
          </w:p>
        </w:tc>
        <w:tc>
          <w:tcPr>
            <w:tcW w:type="dxa" w:w="1987"/>
          </w:tcPr>
          <w:p>
            <w:r>
              <w:t>SEC EDGAR XBRL (ifrs-full)</w:t>
            </w:r>
          </w:p>
        </w:tc>
        <w:tc>
          <w:tcPr>
            <w:tcW w:type="dxa" w:w="1987"/>
          </w:tcPr>
          <w:p>
            <w:r>
              <w:t>PASS_WITH_WARNINGS</w:t>
            </w:r>
          </w:p>
        </w:tc>
        <w:tc>
          <w:tcPr>
            <w:tcW w:type="dxa" w:w="1987"/>
          </w:tcPr>
          <w:p>
            <w:r>
              <w:t>IDENTIDAD → RAW → PARSED → NORMALIZED → RATIO, + provenance de</w:t>
              <w:br/>
              <w:t>muestra</w:t>
            </w:r>
          </w:p>
        </w:tc>
        <w:tc>
          <w:tcPr>
            <w:tcW w:type="dxa" w:w="1987"/>
          </w:tcPr>
          <w:p>
            <w:r>
              <w:t>idempotencia S00/S02 refutada; 6 gates de corridas en fechas</w:t>
              <w:br/>
              <w:t>distintas, no de una sesión</w:t>
            </w:r>
          </w:p>
        </w:tc>
      </w:tr>
      <w:tr>
        <w:tc>
          <w:tcPr>
            <w:tcW w:type="dxa" w:w="1987"/>
          </w:tcPr>
          <w:p>
            <w:r>
              <w:t>KO</w:t>
            </w:r>
          </w:p>
        </w:tc>
        <w:tc>
          <w:tcPr>
            <w:tcW w:type="dxa" w:w="1987"/>
          </w:tcPr>
          <w:p>
            <w:r>
              <w:t>SEC EDGAR XBRL (us-gaap puro)</w:t>
            </w:r>
          </w:p>
        </w:tc>
        <w:tc>
          <w:tcPr>
            <w:tcW w:type="dxa" w:w="1987"/>
          </w:tcPr>
          <w:p>
            <w:r>
              <w:t>PASS_WITH_WARNINGS</w:t>
            </w:r>
          </w:p>
        </w:tc>
        <w:tc>
          <w:tcPr>
            <w:tcW w:type="dxa" w:w="1987"/>
          </w:tcPr>
          <w:p>
            <w:r>
              <w:t>US-GAAP de punta a punta sin tocar el core; 20/20 registry; 45.113</w:t>
              <w:br/>
              <w:t>hechos; S03/S04 idempotentes</w:t>
            </w:r>
          </w:p>
        </w:tc>
        <w:tc>
          <w:tcPr>
            <w:tcW w:type="dxa" w:w="1987"/>
          </w:tcPr>
          <w:p>
            <w:r>
              <w:t>generalización de S01; is_custom (W-2); idempotencia S00/S02</w:t>
            </w:r>
          </w:p>
        </w:tc>
      </w:tr>
      <w:tr>
        <w:tc>
          <w:tcPr>
            <w:tcW w:type="dxa" w:w="1987"/>
          </w:tcPr>
          <w:p>
            <w:r>
              <w:t>METR</w:t>
            </w:r>
          </w:p>
        </w:tc>
        <w:tc>
          <w:tcPr>
            <w:tcW w:type="dxa" w:w="1987"/>
          </w:tcPr>
          <w:p>
            <w:r>
              <w:t>CNV (formulario, sin XBRL)</w:t>
            </w:r>
          </w:p>
        </w:tc>
        <w:tc>
          <w:tcPr>
            <w:tcW w:type="dxa" w:w="1987"/>
          </w:tcPr>
          <w:p>
            <w:r>
              <w:t>PASS_WITH_WARNINGS</w:t>
            </w:r>
          </w:p>
        </w:tc>
        <w:tc>
          <w:tcPr>
            <w:tcW w:type="dxa" w:w="1987"/>
          </w:tcPr>
          <w:p>
            <w:r>
              <w:t>E2E completo vía worktree : 2.795 hechos, 0</w:t>
              <w:br/>
              <w:t>violaciones, auditoría 0 fallas</w:t>
            </w:r>
          </w:p>
        </w:tc>
        <w:tc>
          <w:tcPr>
            <w:tcW w:type="dxa" w:w="1987"/>
          </w:tcPr>
          <w:p>
            <w:r>
              <w:t>el tramo C no está en el repo principal (D-1); ratios no se calculan</w:t>
              <w:br/>
              <w:t>(motor SEC-first, ver L-12)</w:t>
            </w:r>
          </w:p>
        </w:tc>
      </w:tr>
    </w:tbl>
    <w:p/>
    <w:p>
      <w:r>
        <w:rPr>
          <w:b/>
        </w:rPr>
        <w:t>Ninguno está certificado PASS de punta a punta</w:t>
        <w:br/>
        <w:t>en una sola sesión desde el repo principal</w:t>
      </w:r>
      <w:r>
        <w:t xml:space="preserve"> (Parte XIII,</w:t>
        <w:br/>
        <w:t>GATE).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Paso 2 · El estado por área</w:t>
        <w:br/>
        <w:t>funcional</w:t>
      </w:r>
    </w:p>
    <w:p>
      <w:pPr>
        <w:pStyle w:val="Heading2"/>
      </w:pPr>
      <w:r>
        <w:t>SEC E2E — operativo</w:t>
      </w:r>
    </w:p>
    <w:p>
      <w:r>
        <w:t xml:space="preserve">S00→S04 con gates; 241 corridas en </w:t>
      </w:r>
      <w:r>
        <w:rPr>
          <w:rFonts w:ascii="Consolas" w:hAnsi="Consolas"/>
          <w:sz w:val="18"/>
        </w:rPr>
        <w:t>engine.runs</w:t>
      </w:r>
      <w:r>
        <w:br/>
        <w:t>(</w:t>
      </w:r>
      <w:r>
        <w:rPr>
          <w:rFonts w:ascii="Consolas" w:hAnsi="Consolas"/>
          <w:sz w:val="18"/>
        </w:rPr>
        <w:t>OK</w:t>
      </w:r>
      <w:r>
        <w:t xml:space="preserve"> 61 · </w:t>
      </w:r>
      <w:r>
        <w:rPr>
          <w:rFonts w:ascii="Consolas" w:hAnsi="Consolas"/>
          <w:sz w:val="18"/>
        </w:rPr>
        <w:t>ABORTED</w:t>
      </w:r>
      <w:r>
        <w:t xml:space="preserve"> 132 · </w:t>
      </w:r>
      <w:r>
        <w:rPr>
          <w:rFonts w:ascii="Consolas" w:hAnsi="Consolas"/>
          <w:sz w:val="18"/>
        </w:rPr>
        <w:t>BLOCKED</w:t>
      </w:r>
      <w:r>
        <w:t xml:space="preserve"> 48</w:t>
        <w:br/>
        <w:t xml:space="preserve">· </w:t>
      </w:r>
      <w:r>
        <w:rPr>
          <w:rFonts w:ascii="Consolas" w:hAnsi="Consolas"/>
          <w:sz w:val="18"/>
        </w:rPr>
        <w:t>RUNNING</w:t>
      </w:r>
      <w:r>
        <w:t xml:space="preserve"> 0 — F-009 cerrado). 34 migraciones aplicadas.</w:t>
        <w:br/>
      </w:r>
      <w:r>
        <w:rPr>
          <w:b/>
        </w:rPr>
        <w:t>Deudas:</w:t>
      </w:r>
      <w:r>
        <w:t xml:space="preserve"> S00 y S02 no son idempotentes; S01 tiene</w:t>
        <w:br/>
      </w:r>
      <w:r>
        <w:rPr>
          <w:rFonts w:ascii="Consolas" w:hAnsi="Consolas"/>
          <w:sz w:val="18"/>
        </w:rPr>
        <w:t>C-S01-004</w:t>
      </w:r>
      <w:r>
        <w:t xml:space="preserve"> clavado a YPF (</w:t>
      </w:r>
      <w:r>
        <w:rPr>
          <w:rFonts w:ascii="Consolas" w:hAnsi="Consolas"/>
          <w:sz w:val="18"/>
        </w:rPr>
        <w:t>SG-05</w:t>
      </w:r>
      <w:r>
        <w:t>); no existe</w:t>
        <w:br/>
        <w:t>gate agregado (</w:t>
      </w:r>
      <w:r>
        <w:rPr>
          <w:rFonts w:ascii="Consolas" w:hAnsi="Consolas"/>
          <w:sz w:val="18"/>
        </w:rPr>
        <w:t>L-4</w:t>
      </w:r>
      <w:r>
        <w:t>).</w:t>
      </w:r>
    </w:p>
    <w:p>
      <w:pPr>
        <w:pStyle w:val="Heading2"/>
      </w:pPr>
      <w:r>
        <w:t>CNV E2E — parcial</w:t>
      </w:r>
    </w:p>
    <w:p>
      <w:r>
        <w:t xml:space="preserve">Tramo A con gates pero </w:t>
      </w:r>
      <w:r>
        <w:rPr>
          <w:b/>
        </w:rPr>
        <w:t>sin EEFF</w:t>
      </w:r>
      <w:r>
        <w:t xml:space="preserve"> (</w:t>
      </w:r>
      <w:r>
        <w:rPr>
          <w:rFonts w:ascii="Consolas" w:hAnsi="Consolas"/>
          <w:sz w:val="18"/>
        </w:rPr>
        <w:t>SG-01</w:t>
      </w:r>
      <w:r>
        <w:t>,</w:t>
        <w:br/>
      </w:r>
      <w:r>
        <w:rPr>
          <w:rFonts w:ascii="Consolas" w:hAnsi="Consolas"/>
          <w:sz w:val="18"/>
        </w:rPr>
        <w:t>L-7</w:t>
      </w:r>
      <w:r>
        <w:t>); tramo B legacy sin gate ni ledger (</w:t>
      </w:r>
      <w:r>
        <w:rPr>
          <w:rFonts w:ascii="Consolas" w:hAnsi="Consolas"/>
          <w:sz w:val="18"/>
        </w:rPr>
        <w:t>L-6</w:t>
      </w:r>
      <w:r>
        <w:t>),</w:t>
        <w:br/>
        <w:t>con descarte silencioso (</w:t>
      </w:r>
      <w:r>
        <w:rPr>
          <w:rFonts w:ascii="Consolas" w:hAnsi="Consolas"/>
          <w:sz w:val="18"/>
        </w:rPr>
        <w:t>CNV-EX-001/002</w:t>
      </w:r>
      <w:r>
        <w:t>) y sin SHA</w:t>
        <w:br/>
        <w:t>persistido (</w:t>
      </w:r>
      <w:r>
        <w:rPr>
          <w:rFonts w:ascii="Consolas" w:hAnsi="Consolas"/>
          <w:sz w:val="18"/>
        </w:rPr>
        <w:t>SG-02</w:t>
      </w:r>
      <w:r>
        <w:t xml:space="preserve">, </w:t>
      </w:r>
      <w:r>
        <w:rPr>
          <w:rFonts w:ascii="Consolas" w:hAnsi="Consolas"/>
          <w:sz w:val="18"/>
        </w:rPr>
        <w:t>hash_cnv</w:t>
      </w:r>
      <w:r>
        <w:t xml:space="preserve"> NULL en</w:t>
        <w:br/>
        <w:t xml:space="preserve">4.005/4.005); tramo C en worktree (D-1). </w:t>
      </w:r>
      <w:r>
        <w:rPr>
          <w:b/>
        </w:rPr>
        <w:t>Cobertura real de METR:</w:t>
        <w:br/>
        <w:t>60 documentos</w:t>
      </w:r>
      <w:r>
        <w:t xml:space="preserve"> (58 con datos + 2 rechazados por colisión de PK),</w:t>
        <w:br/>
        <w:t>no 286 (</w:t>
      </w:r>
      <w:r>
        <w:rPr>
          <w:rFonts w:ascii="Consolas" w:hAnsi="Consolas"/>
          <w:sz w:val="18"/>
        </w:rPr>
        <w:t>SG-04</w:t>
      </w:r>
      <w:r>
        <w:t xml:space="preserve">, </w:t>
      </w:r>
      <w:r>
        <w:rPr>
          <w:rFonts w:ascii="Consolas" w:hAnsi="Consolas"/>
          <w:sz w:val="18"/>
        </w:rPr>
        <w:t>SG-12</w:t>
      </w:r>
      <w:r>
        <w:t>).</w:t>
      </w:r>
    </w:p>
    <w:p>
      <w:pPr>
        <w:pStyle w:val="Heading2"/>
      </w:pPr>
      <w:r>
        <w:t>Market —</w:t>
        <w:br/>
        <w:t>operativo, sin enlace con la contabilidad</w:t>
      </w:r>
    </w:p>
    <w:p>
      <w:r>
        <w:t>4.799.938 precios, 584 instrumentos, 51.917 acciones corporativas,</w:t>
        <w:br/>
        <w:t>8.322 filas de calidad.</w:t>
        <w:br/>
      </w:r>
      <w:r>
        <w:rPr>
          <w:b/>
        </w:rPr>
        <w:t>market_instruments.entity_id es entero legacy vs.</w:t>
        <w:br/>
        <w:t>CIK:/CUIT:</w:t>
      </w:r>
      <w:r>
        <w:t xml:space="preserve"> (</w:t>
      </w:r>
      <w:r>
        <w:rPr>
          <w:rFonts w:ascii="Consolas" w:hAnsi="Consolas"/>
          <w:sz w:val="18"/>
        </w:rPr>
        <w:t>SG-10</w:t>
      </w:r>
      <w:r>
        <w:t>):</w:t>
        <w:br/>
        <w:t>ningún múltiplo precio+contable es trazable para un emisor arbitrario;</w:t>
        <w:br/>
      </w:r>
      <w:r>
        <w:rPr>
          <w:rFonts w:ascii="Consolas" w:hAnsi="Consolas"/>
          <w:sz w:val="18"/>
        </w:rPr>
        <w:t>derived.ratio</w:t>
      </w:r>
      <w:r>
        <w:t xml:space="preserve"> tiene 36 filas / 9 emisores sobre 584</w:t>
        <w:br/>
        <w:t>instrumentos (</w:t>
      </w:r>
      <w:r>
        <w:rPr>
          <w:rFonts w:ascii="Consolas" w:hAnsi="Consolas"/>
          <w:sz w:val="18"/>
        </w:rPr>
        <w:t>L-5</w:t>
      </w:r>
      <w:r>
        <w:t>). 9 de 11 scripts documentados</w:t>
        <w:br/>
        <w:t>(</w:t>
      </w:r>
      <w:r>
        <w:rPr>
          <w:rFonts w:ascii="Consolas" w:hAnsi="Consolas"/>
          <w:sz w:val="18"/>
        </w:rPr>
        <w:t>C-6</w:t>
      </w:r>
      <w:r>
        <w:t>).</w:t>
      </w:r>
    </w:p>
    <w:p>
      <w:pPr>
        <w:pStyle w:val="Heading2"/>
      </w:pPr>
      <w:r>
        <w:t>Ratios — parcial</w:t>
      </w:r>
    </w:p>
    <w:p>
      <w:r>
        <w:rPr>
          <w:rFonts w:ascii="Consolas" w:hAnsi="Consolas"/>
          <w:sz w:val="18"/>
        </w:rPr>
        <w:t>derived.ratio</w:t>
      </w:r>
      <w:r>
        <w:t xml:space="preserve"> persiste </w:t>
      </w:r>
      <w:r>
        <w:rPr>
          <w:b/>
        </w:rPr>
        <w:t>4</w:t>
      </w:r>
      <w:r>
        <w:br/>
      </w:r>
      <w:r>
        <w:rPr>
          <w:rFonts w:ascii="Consolas" w:hAnsi="Consolas"/>
          <w:sz w:val="18"/>
        </w:rPr>
        <w:t>canonical_id</w:t>
      </w:r>
      <w:r>
        <w:t xml:space="preserve"> (</w:t>
      </w:r>
      <w:r>
        <w:rPr>
          <w:rFonts w:ascii="Consolas" w:hAnsi="Consolas"/>
          <w:sz w:val="18"/>
        </w:rPr>
        <w:t>eps</w:t>
      </w:r>
      <w:r>
        <w:t xml:space="preserve">, </w:t>
      </w:r>
      <w:r>
        <w:rPr>
          <w:rFonts w:ascii="Consolas" w:hAnsi="Consolas"/>
          <w:sz w:val="18"/>
        </w:rPr>
        <w:t>pe</w:t>
      </w:r>
      <w:r>
        <w:t>,</w:t>
        <w:br/>
      </w:r>
      <w:r>
        <w:rPr>
          <w:rFonts w:ascii="Consolas" w:hAnsi="Consolas"/>
          <w:sz w:val="18"/>
        </w:rPr>
        <w:t>pb</w:t>
      </w:r>
      <w:r>
        <w:t xml:space="preserve">, </w:t>
      </w:r>
      <w:r>
        <w:rPr>
          <w:rFonts w:ascii="Consolas" w:hAnsi="Consolas"/>
          <w:sz w:val="18"/>
        </w:rPr>
        <w:t>ev_sales</w:t>
      </w:r>
      <w:r>
        <w:t xml:space="preserve">); los </w:t>
      </w:r>
      <w:r>
        <w:rPr>
          <w:b/>
        </w:rPr>
        <w:t>14 contables</w:t>
        <w:br/>
        <w:t>definidos no los persiste ninguna etapa</w:t>
      </w:r>
      <w:r>
        <w:t xml:space="preserve"> (</w:t>
      </w:r>
      <w:r>
        <w:rPr>
          <w:rFonts w:ascii="Consolas" w:hAnsi="Consolas"/>
          <w:sz w:val="18"/>
        </w:rPr>
        <w:t>SG-03</w:t>
      </w:r>
      <w:r>
        <w:t>),</w:t>
        <w:br/>
        <w:t>aunque los insumos están completos para METR (14/14). La CNV publica 576</w:t>
        <w:br/>
        <w:t xml:space="preserve">ratios </w:t>
      </w:r>
      <w:r>
        <w:rPr>
          <w:rFonts w:ascii="Consolas" w:hAnsi="Consolas"/>
          <w:sz w:val="18"/>
        </w:rPr>
        <w:t>CNV_*</w:t>
      </w:r>
      <w:r>
        <w:t xml:space="preserve"> como dato — control cruzado futuro, no</w:t>
        <w:br/>
        <w:t>sustituto.</w:t>
      </w:r>
    </w:p>
    <w:p>
      <w:pPr>
        <w:pStyle w:val="Heading2"/>
      </w:pPr>
      <w:r>
        <w:t>Homologación TIKR — un solo</w:t>
        <w:br/>
        <w:t>benchmark</w:t>
      </w:r>
    </w:p>
    <w:p>
      <w:r>
        <w:t>METR FY2025: 152 métricas, 33,6 % coincidencias, 18,4 % diferencias</w:t>
        <w:br/>
        <w:t xml:space="preserve">explicadas con aritmética exacta, </w:t>
      </w:r>
      <w:r>
        <w:rPr>
          <w:b/>
        </w:rPr>
        <w:t>0 errores de</w:t>
        <w:br/>
        <w:t>Catalaxia</w:t>
      </w:r>
      <w:r>
        <w:t>, 43,4 % sin insumo (desglose no publicado por la</w:t>
        <w:br/>
        <w:t xml:space="preserve">CNV). </w:t>
      </w:r>
      <w:r>
        <w:rPr>
          <w:rFonts w:ascii="Consolas" w:hAnsi="Consolas"/>
          <w:sz w:val="18"/>
        </w:rPr>
        <w:t>PASS_WITH_WARNINGS</w:t>
      </w:r>
      <w:r>
        <w:t>. Procedimiento solo en worktree</w:t>
        <w:br/>
        <w:t>(</w:t>
      </w:r>
      <w:r>
        <w:rPr>
          <w:rFonts w:ascii="Consolas" w:hAnsi="Consolas"/>
          <w:sz w:val="18"/>
        </w:rPr>
        <w:t>N-8</w:t>
      </w:r>
      <w:r>
        <w:t xml:space="preserve">, </w:t>
      </w:r>
      <w:r>
        <w:rPr>
          <w:rFonts w:ascii="Consolas" w:hAnsi="Consolas"/>
          <w:sz w:val="18"/>
        </w:rPr>
        <w:t>D-4</w:t>
      </w:r>
      <w:r>
        <w:t xml:space="preserve">, </w:t>
      </w:r>
      <w:r>
        <w:rPr>
          <w:rFonts w:ascii="Consolas" w:hAnsi="Consolas"/>
          <w:sz w:val="18"/>
        </w:rPr>
        <w:t>C-4</w:t>
      </w:r>
      <w:r>
        <w:t>).</w:t>
      </w:r>
    </w:p>
    <w:p>
      <w:pPr>
        <w:pStyle w:val="Heading2"/>
      </w:pPr>
      <w:r>
        <w:t>Provenance e Idempotencia</w:t>
      </w:r>
    </w:p>
    <w:p>
      <w:r>
        <w:t xml:space="preserve">Los 9 eslabones hasta SHA256 funcionan para SEC y CNV; </w:t>
      </w:r>
      <w:r>
        <w:rPr>
          <w:b/>
        </w:rPr>
        <w:t>Market</w:t>
        <w:br/>
        <w:t>no tiene provenance</w:t>
      </w:r>
      <w:r>
        <w:t xml:space="preserve"> por </w:t>
      </w:r>
      <w:r>
        <w:rPr>
          <w:rFonts w:ascii="Consolas" w:hAnsi="Consolas"/>
          <w:sz w:val="18"/>
        </w:rPr>
        <w:t>L-5</w:t>
      </w:r>
      <w:r>
        <w:t>. Idempotencia</w:t>
        <w:br/>
        <w:t>demostrada con digests para S03/S04 y para los adaptadores del worktree;</w:t>
        <w:br/>
      </w:r>
      <w:r>
        <w:rPr>
          <w:b/>
        </w:rPr>
        <w:t>job5 (tramo B) queda sin procedimiento</w:t>
        <w:br/>
        <w:t>escrito</w:t>
      </w:r>
      <w:r>
        <w:t xml:space="preserve"> (</w:t>
      </w:r>
      <w:r>
        <w:rPr>
          <w:rFonts w:ascii="Consolas" w:hAnsi="Consolas"/>
          <w:sz w:val="18"/>
        </w:rPr>
        <w:t>C-5</w:t>
      </w:r>
      <w:r>
        <w:t>) y S00/S02 son el punto débil</w:t>
        <w:br/>
        <w:t>conocido.</w:t>
      </w:r>
    </w:p>
    <w:p>
      <w:pPr>
        <w:pStyle w:val="Heading2"/>
      </w:pPr>
      <w:r>
        <w:t>Pruebas</w:t>
      </w:r>
    </w:p>
    <w:p>
      <w:r>
        <w:t xml:space="preserve">Suite completa citada en el ciclo TIKR: </w:t>
      </w:r>
      <w:r>
        <w:rPr>
          <w:b/>
        </w:rPr>
        <w:t>378 passed · 3 failed</w:t>
        <w:br/>
        <w:t>(F-038, preexistentes) · 1 skipped</w:t>
      </w:r>
      <w:r>
        <w:t xml:space="preserve"> (</w:t>
      </w:r>
      <w:r>
        <w:rPr>
          <w:rFonts w:ascii="Consolas" w:hAnsi="Consolas"/>
          <w:sz w:val="18"/>
        </w:rPr>
        <w:t>L-15</w:t>
      </w:r>
      <w:r>
        <w:t>).</w:t>
        <w:br/>
        <w:t>Universo de entidades: 9 de 7.998 con hechos en la capa canónica</w:t>
        <w:br/>
        <w:t>(</w:t>
      </w:r>
      <w:r>
        <w:rPr>
          <w:rFonts w:ascii="Consolas" w:hAnsi="Consolas"/>
          <w:sz w:val="18"/>
        </w:rPr>
        <w:t>L-16</w:t>
      </w:r>
      <w:r>
        <w:t>).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Paso 3 · El estado del manual</w:t>
      </w:r>
    </w:p>
    <w:p>
      <w:r>
        <w:t>El índice define 17 capítulos + apéndices. Esta serie de Partes cubre</w:t>
        <w:br/>
        <w:t>la materia entera; los rótulos dicen exactamente lo que cada pieza</w:t>
        <w:br/>
        <w:t>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estado del rótulo</w:t>
            </w:r>
          </w:p>
        </w:tc>
        <w:tc>
          <w:tcPr>
            <w:tcW w:type="dxa" w:w="3312"/>
          </w:tcPr>
          <w:p>
            <w:r>
              <w:t>capítulos</w:t>
            </w:r>
          </w:p>
        </w:tc>
        <w:tc>
          <w:tcPr>
            <w:tcW w:type="dxa" w:w="3312"/>
          </w:tcPr>
          <w:p>
            <w:r>
              <w:t>decisión que los desbloquea</w:t>
            </w:r>
          </w:p>
        </w:tc>
      </w:tr>
      <w:tr>
        <w:tc>
          <w:tcPr>
            <w:tcW w:type="dxa" w:w="3312"/>
          </w:tcPr>
          <w:p>
            <w:r>
              <w:t>NOT_IMPLEMENTED</w:t>
            </w:r>
          </w:p>
        </w:tc>
        <w:tc>
          <w:tcPr>
            <w:tcW w:type="dxa" w:w="3312"/>
          </w:tcPr>
          <w:p>
            <w:r>
              <w:t>6 (Economic Facts), 7 (Financial Model), 17 (TIKR), 10-C</w:t>
            </w:r>
          </w:p>
        </w:tc>
        <w:tc>
          <w:tcPr>
            <w:tcW w:type="dxa" w:w="3312"/>
          </w:tcPr>
          <w:p>
            <w:r>
              <w:t>D-1 (repo principal vs. worktree)</w:t>
            </w:r>
          </w:p>
        </w:tc>
      </w:tr>
      <w:tr>
        <w:tc>
          <w:tcPr>
            <w:tcW w:type="dxa" w:w="3312"/>
          </w:tcPr>
          <w:p>
            <w:r>
              <w:t>KNOWN_LIMITATION</w:t>
            </w:r>
          </w:p>
        </w:tc>
        <w:tc>
          <w:tcPr>
            <w:tcW w:type="dxa" w:w="3312"/>
          </w:tcPr>
          <w:p>
            <w:r>
              <w:t>9 (Market, L-5 )</w:t>
            </w:r>
          </w:p>
        </w:tc>
        <w:tc>
          <w:tcPr>
            <w:tcW w:type="dxa" w:w="3312"/>
          </w:tcPr>
          <w:p>
            <w:r>
              <w:t>remoción de SG-10 , no de este documento</w:t>
            </w:r>
          </w:p>
        </w:tc>
      </w:tr>
      <w:tr>
        <w:tc>
          <w:tcPr>
            <w:tcW w:type="dxa" w:w="3312"/>
          </w:tcPr>
          <w:p>
            <w:r>
              <w:t>PARCIAL</w:t>
            </w:r>
          </w:p>
        </w:tc>
        <w:tc>
          <w:tcPr>
            <w:tcW w:type="dxa" w:w="3312"/>
          </w:tcPr>
          <w:p>
            <w:r>
              <w:t>10 (CNV), 15 (Troubleshooting)</w:t>
            </w:r>
          </w:p>
        </w:tc>
        <w:tc>
          <w:tcPr>
            <w:tcW w:type="dxa" w:w="3312"/>
          </w:tcPr>
          <w:p>
            <w:r>
              <w:t>árbol de diagnóstico por escribir; tramo C</w:t>
            </w:r>
          </w:p>
        </w:tc>
      </w:tr>
      <w:tr>
        <w:tc>
          <w:tcPr>
            <w:tcW w:type="dxa" w:w="3312"/>
          </w:tcPr>
          <w:p>
            <w:r>
              <w:t>DECISION_REQUIRED</w:t>
            </w:r>
          </w:p>
        </w:tc>
        <w:tc>
          <w:tcPr>
            <w:tcW w:type="dxa" w:w="3312"/>
          </w:tcPr>
          <w:p>
            <w:r>
              <w:t>6, 7, 10-C, 17; también D-3 (KO), D-4 (vocabulario TIKR)</w:t>
            </w:r>
          </w:p>
        </w:tc>
        <w:tc>
          <w:tcPr>
            <w:tcW w:type="dxa" w:w="3312"/>
          </w:tcPr>
          <w:p>
            <w:r>
              <w:t>decisión de producto, no de documentación</w:t>
            </w:r>
          </w:p>
        </w:tc>
      </w:tr>
      <w:tr>
        <w:tc>
          <w:tcPr>
            <w:tcW w:type="dxa" w:w="3312"/>
          </w:tcPr>
          <w:p>
            <w:r>
              <w:t>ejecutables</w:t>
            </w:r>
          </w:p>
        </w:tc>
        <w:tc>
          <w:tcPr>
            <w:tcW w:type="dxa" w:w="3312"/>
          </w:tcPr>
          <w:p>
            <w:r>
              <w:t>el resto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</w:tbl>
    <w:p/>
    <w:p>
      <w:r>
        <w:t xml:space="preserve">La serie </w:t>
      </w:r>
      <w:r>
        <w:rPr>
          <w:b/>
        </w:rPr>
        <w:t>Partes I–XVIII</w:t>
      </w:r>
      <w:r>
        <w:t xml:space="preserve"> está escrita completa: la</w:t>
        <w:br/>
        <w:t>Parte I es el arranque / “empezá acá” y esta Parte XVII el estado real;</w:t>
        <w:br/>
        <w:t xml:space="preserve">el mapeo capítulo → Parte está en </w:t>
      </w:r>
      <w:r>
        <w:rPr>
          <w:rFonts w:ascii="Consolas" w:hAnsi="Consolas"/>
          <w:sz w:val="18"/>
        </w:rPr>
        <w:t>MANUAL_TOC.md</w:t>
      </w:r>
      <w:r>
        <w:t xml:space="preserve"> §6.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GATE de la Parte XVII</w:t>
      </w:r>
    </w:p>
    <w:p>
      <w:r>
        <w:rPr>
          <w:rFonts w:ascii="Consolas" w:hAnsi="Consolas"/>
          <w:sz w:val="18"/>
        </w:rPr>
        <w:t>ESTADO REAL DEL SISTEMA = OPERATIVO CON DEUDAS CONOCIDAS</w:t>
      </w:r>
    </w:p>
    <w:p>
      <w:r>
        <w:t xml:space="preserve">El sistema </w:t>
      </w:r>
      <w:r>
        <w:rPr>
          <w:b/>
        </w:rPr>
        <w:t>produce datos correctos en los tres</w:t>
        <w:br/>
        <w:t>pilotos</w:t>
      </w:r>
      <w:r>
        <w:t xml:space="preserve"> — cero errores de Catalaxia en la homologación, cero</w:t>
        <w:br/>
        <w:t>violaciones semánticas en 2.795 hechos, auditorías independientes con 0</w:t>
        <w:br/>
        <w:t xml:space="preserve">fallas — </w:t>
      </w:r>
      <w:r>
        <w:rPr>
          <w:b/>
        </w:rPr>
        <w:t>y sin embargo el gate final del sprint no es</w:t>
        <w:br/>
        <w:t>PASS</w:t>
      </w:r>
      <w:r>
        <w:t>: la causa principal son las gaps de cobertura</w:t>
        <w:br/>
        <w:t>CNV (</w:t>
      </w:r>
      <w:r>
        <w:rPr>
          <w:rFonts w:ascii="Consolas" w:hAnsi="Consolas"/>
          <w:sz w:val="18"/>
        </w:rPr>
        <w:t>SG-04</w:t>
      </w:r>
      <w:r>
        <w:t>/</w:t>
      </w:r>
      <w:r>
        <w:rPr>
          <w:rFonts w:ascii="Consolas" w:hAnsi="Consolas"/>
          <w:sz w:val="18"/>
        </w:rPr>
        <w:t>SG-12</w:t>
      </w:r>
      <w:r>
        <w:t>, una corrida incompleta que</w:t>
        <w:br/>
        <w:t>nadie detecta). Ese gate no se cierra declarándolo; se cierra con la</w:t>
        <w:br/>
        <w:t>remediación de la Parte XVIII.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Ninguna fila de este capítulo se corrigió para ser verdad: se</w:t>
        <w:br/>
        <w:t>midió. Las fuentes citadas son las del 2026-09-04; re-medir es</w:t>
        <w:br/>
        <w:t>re-verificar, no re-leer.</w:t>
      </w:r>
    </w:p>
    <w:p>
      <w:pPr>
        <w:pStyle w:val="Title"/>
        <w:jc w:val="left"/>
      </w:pPr>
      <w:r>
        <w:t>PARTE XVIII — QUÉ FALTA</w:t>
      </w:r>
    </w:p>
    <w:p>
      <w:pPr>
        <w:spacing w:after="200"/>
      </w:pPr>
      <w:r>
        <w:rPr>
          <w:b/>
          <w:sz w:val="22"/>
        </w:rPr>
        <w:t>Identificación: Que falta</w:t>
      </w:r>
    </w:p>
    <w:p>
      <w:pPr>
        <w:spacing w:after="80"/>
      </w:pPr>
      <w:r>
        <w:t>El cierre honesto: decisiones, certificaciones, gaps de software y prioridades</w:t>
      </w:r>
    </w:p>
    <w:p>
      <w:pPr>
        <w:spacing w:after="80"/>
      </w:pPr>
      <w:r>
        <w:t xml:space="preserve">concretas. </w:t>
      </w:r>
      <w:r>
        <w:rPr>
          <w:b/>
        </w:rPr>
        <w:t>Este manual no debe declararse terminado todavía.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docs/manual/MANUAL_SCOPE.md</w:t>
      </w:r>
      <w:r>
        <w:t xml:space="preserve"> §4-§6;</w:t>
      </w:r>
    </w:p>
    <w:p>
      <w:pPr>
        <w:spacing w:after="80"/>
      </w:pPr>
      <w:r>
        <w:rPr>
          <w:rFonts w:ascii="Consolas" w:hAnsi="Consolas"/>
          <w:sz w:val="18"/>
        </w:rPr>
        <w:t>docs/manual/MANUAL_TOC.md</w:t>
      </w:r>
      <w:r>
        <w:t xml:space="preserve"> §4-§5; `outputs/runbook/</w:t>
      </w:r>
    </w:p>
    <w:p>
      <w:pPr>
        <w:spacing w:after="80"/>
      </w:pPr>
      <w:r>
        <w:t>RUNBOOK_READINESS_REPORT.md` §16-§18; plan maestro §40 y §3466-3495.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Decisiones abiertas (D-1…D-4) — bloquean cuatro capítulos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bloquea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impacto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**D-1**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¿Econ Facts / Financial Model / tramo C de CNV / homologación TIKR viven en el repo principal, en el worktree, o en los dos?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Caps. 6, 7, 10-C, 17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los cuatro quedan `NOT_IMPLEMENTED` hoy; es una decisión de producto, no de documentación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**D-2**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¿el manual absorbe `docs/runbooks/` o lo envuelve?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la forma física del manual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estructural; este manual está escrito para servir a las dos opciones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¿KO se certifica tras corregir sus hallazgos, o se cambia de piloto?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Caps. 2-5, 8, 11, 14, 16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afecta 8 de 17 capítulos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**D-4**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¿vocabulario de homologación del encargo (`METHODOLOGY_DIFFERENCE`, `DATE_DIFFERENCE`) o el implementado (12 estados)?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Cap. 17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 mezclar vocabularios en un reporte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Certificaciones pendientes (C-1…C-6) — precondición de escritura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bloquea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creación del entorno desde cero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Cap. 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Economic Facts / Financial Model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Caps. 6, 7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**C-3**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correr y certificar **KO** (única excepción a "no ejecutar pilotos")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Caps. 2, 3, 4, 5, 8, 11, 14, 16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**C-4**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tramo C de CNV / homologación TIKR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Caps. 10-C, 17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**C-5**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idempotencia de `job5` (tramo B) — hoy solo "alta" sin procedimiento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Cap. 14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**C-6**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E2E de Market — 9 de 11 scripts sin documentar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Cap. 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Las prioridades (P0 → P1 → P2)</w:t>
      </w:r>
    </w:p>
    <w:p>
      <w:pPr>
        <w:spacing w:after="80"/>
      </w:pPr>
      <w:r>
        <w:rPr>
          <w:b/>
        </w:rPr>
        <w:t>P0 — nada se vuelve a certificar hasta acá:</w:t>
      </w:r>
    </w:p>
    <w:p>
      <w:pPr>
        <w:pStyle w:val="ListNumber"/>
      </w:pPr>
      <w:r>
        <w:rPr>
          <w:b/>
        </w:rPr>
        <w:t>Idempotencia de S00</w:t>
      </w:r>
      <w:r>
        <w:t xml:space="preserve"> — refutada hoy; una segunda corrida contamina.</w:t>
      </w:r>
    </w:p>
    <w:p>
      <w:pPr>
        <w:pStyle w:val="ListNumber"/>
      </w:pPr>
      <w:r>
        <w:rPr>
          <w:b/>
        </w:rPr>
        <w:t>Idempotencia de S02</w:t>
      </w:r>
      <w:r>
        <w:t xml:space="preserve"> — refutada hoy; causa directa de la </w:t>
      </w:r>
      <w:r>
        <w:rPr>
          <w:rFonts w:ascii="Consolas" w:hAnsi="Consolas"/>
          <w:sz w:val="18"/>
        </w:rPr>
        <w:t>RUNNING</w:t>
      </w:r>
    </w:p>
    <w:p>
      <w:pPr>
        <w:spacing w:after="80"/>
      </w:pPr>
      <w:r>
        <w:t xml:space="preserve">   huérfana acumulada (F-009 / </w:t>
      </w:r>
      <w:r>
        <w:rPr>
          <w:rFonts w:ascii="Consolas" w:hAnsi="Consolas"/>
          <w:sz w:val="18"/>
        </w:rPr>
        <w:t>SG-11</w:t>
      </w:r>
      <w:r>
        <w:t>).</w:t>
      </w:r>
    </w:p>
    <w:p>
      <w:pPr>
        <w:pStyle w:val="ListNumber"/>
      </w:pPr>
      <w:r>
        <w:rPr>
          <w:b/>
        </w:rPr>
        <w:t>`is_custom` (W-2)</w:t>
      </w:r>
      <w:r>
        <w:t xml:space="preserve"> del golden run de KO — un hecho de KO no se puede</w:t>
      </w:r>
    </w:p>
    <w:p>
      <w:pPr>
        <w:spacing w:after="80"/>
      </w:pPr>
      <w:r>
        <w:t xml:space="preserve">   volver a emitir con el mismo hash si la clasificación depende del orden de</w:t>
      </w:r>
    </w:p>
    <w:p>
      <w:pPr>
        <w:spacing w:after="80"/>
      </w:pPr>
      <w:r>
        <w:t xml:space="preserve">   las tags.</w:t>
      </w:r>
    </w:p>
    <w:p>
      <w:pPr>
        <w:spacing w:after="80"/>
      </w:pPr>
      <w:r>
        <w:rPr>
          <w:b/>
        </w:rPr>
        <w:t>P1:</w:t>
      </w:r>
    </w:p>
    <w:p>
      <w:pPr>
        <w:pStyle w:val="ListNumber"/>
      </w:pPr>
      <w:r>
        <w:t xml:space="preserve">Generalizar </w:t>
      </w:r>
      <w:r>
        <w:rPr>
          <w:b/>
        </w:rPr>
        <w:t>S01</w:t>
      </w:r>
      <w:r>
        <w:t xml:space="preserve"> (multi-emisor) — </w:t>
      </w:r>
      <w:r>
        <w:rPr>
          <w:rFonts w:ascii="Consolas" w:hAnsi="Consolas"/>
          <w:sz w:val="18"/>
        </w:rPr>
        <w:t>C-S01-004</w:t>
      </w:r>
      <w:r>
        <w:t xml:space="preserve"> está clavado a YPF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SG-05</w:t>
      </w:r>
      <w:r>
        <w:t>).</w:t>
      </w:r>
    </w:p>
    <w:p>
      <w:pPr>
        <w:pStyle w:val="ListNumber"/>
      </w:pPr>
      <w:r>
        <w:t>Entorno reproducible desde cero (</w:t>
      </w:r>
      <w:r>
        <w:rPr>
          <w:rFonts w:ascii="Consolas" w:hAnsi="Consolas"/>
          <w:sz w:val="18"/>
        </w:rPr>
        <w:t>C-1</w:t>
      </w:r>
      <w:r>
        <w:t>).</w:t>
      </w:r>
    </w:p>
    <w:p>
      <w:pPr>
        <w:pStyle w:val="ListNumber"/>
      </w:pPr>
      <w:r>
        <w:t xml:space="preserve">Integrar el </w:t>
      </w:r>
      <w:r>
        <w:rPr>
          <w:b/>
        </w:rPr>
        <w:t>reporte del golden run de KO</w:t>
      </w:r>
      <w:r>
        <w:t xml:space="preserve"> al manual (</w:t>
      </w:r>
      <w:r>
        <w:rPr>
          <w:rFonts w:ascii="Consolas" w:hAnsi="Consolas"/>
          <w:sz w:val="18"/>
        </w:rPr>
        <w:t>C-3</w:t>
      </w:r>
      <w:r>
        <w:t xml:space="preserve">, </w:t>
      </w:r>
      <w:r>
        <w:rPr>
          <w:rFonts w:ascii="Consolas" w:hAnsi="Consolas"/>
          <w:sz w:val="18"/>
        </w:rPr>
        <w:t>D-3</w:t>
      </w:r>
      <w:r>
        <w:t>).</w:t>
      </w:r>
    </w:p>
    <w:p>
      <w:pPr>
        <w:pStyle w:val="ListNumber"/>
      </w:pPr>
      <w:r>
        <w:t xml:space="preserve">CNV ejecutable </w:t>
      </w:r>
      <w:r>
        <w:rPr>
          <w:b/>
        </w:rPr>
        <w:t>desde el repo principal</w:t>
      </w:r>
      <w:r>
        <w:t xml:space="preserve"> (resolver </w:t>
      </w:r>
      <w:r>
        <w:rPr>
          <w:rFonts w:ascii="Consolas" w:hAnsi="Consolas"/>
          <w:sz w:val="18"/>
        </w:rPr>
        <w:t>SG-01</w:t>
      </w:r>
      <w:r>
        <w:t xml:space="preserve"> + </w:t>
      </w:r>
      <w:r>
        <w:rPr>
          <w:rFonts w:ascii="Consolas" w:hAnsi="Consolas"/>
          <w:sz w:val="18"/>
        </w:rPr>
        <w:t>D-1</w:t>
      </w:r>
      <w:r>
        <w:t>).</w:t>
      </w:r>
    </w:p>
    <w:p>
      <w:pPr>
        <w:pStyle w:val="ListNumber"/>
      </w:pPr>
      <w:r>
        <w:rPr>
          <w:b/>
        </w:rPr>
        <w:t>Árbol de diagnóstico</w:t>
      </w:r>
      <w:r>
        <w:t xml:space="preserve"> generalizado por GUID/CUIT (Cap. 15, PARCIAL).</w:t>
      </w:r>
    </w:p>
    <w:p>
      <w:pPr>
        <w:pStyle w:val="ListNumber"/>
      </w:pPr>
      <w:r>
        <w:rPr>
          <w:b/>
        </w:rPr>
        <w:t>Gate agregado</w:t>
      </w:r>
      <w:r>
        <w:t xml:space="preserve"> con exit code (</w:t>
      </w:r>
      <w:r>
        <w:rPr>
          <w:rFonts w:ascii="Consolas" w:hAnsi="Consolas"/>
          <w:sz w:val="18"/>
        </w:rPr>
        <w:t>L-4</w:t>
      </w:r>
      <w:r>
        <w:t>/</w:t>
      </w:r>
      <w:r>
        <w:rPr>
          <w:rFonts w:ascii="Consolas" w:hAnsi="Consolas"/>
          <w:sz w:val="18"/>
        </w:rPr>
        <w:t>GAT-02</w:t>
      </w:r>
      <w:r>
        <w:t>).</w:t>
      </w:r>
    </w:p>
    <w:p>
      <w:pPr>
        <w:spacing w:after="80"/>
      </w:pPr>
      <w:r>
        <w:rPr>
          <w:b/>
        </w:rPr>
        <w:t>P2:</w:t>
      </w:r>
    </w:p>
    <w:p>
      <w:pPr>
        <w:pStyle w:val="ListNumber"/>
      </w:pPr>
      <w:r>
        <w:t>Economic Facts completo (Cap. 6) y Financial Model persistido (Cap. 7,</w:t>
      </w:r>
    </w:p>
    <w:p>
      <w:pPr>
        <w:spacing w:after="80"/>
      </w:pPr>
      <w:r>
        <w:t xml:space="preserve">    </w:t>
      </w:r>
      <w:r>
        <w:rPr>
          <w:rFonts w:ascii="Consolas" w:hAnsi="Consolas"/>
          <w:sz w:val="18"/>
        </w:rPr>
        <w:t>L-11</w:t>
      </w:r>
      <w:r>
        <w:t>/</w:t>
      </w:r>
      <w:r>
        <w:rPr>
          <w:rFonts w:ascii="Consolas" w:hAnsi="Consolas"/>
          <w:sz w:val="18"/>
        </w:rPr>
        <w:t>L-12</w:t>
      </w:r>
      <w:r>
        <w:t>).</w:t>
      </w:r>
    </w:p>
    <w:p>
      <w:pPr>
        <w:pStyle w:val="ListNumber"/>
      </w:pPr>
      <w:r>
        <w:t xml:space="preserve">Market E2E con puente </w:t>
      </w:r>
      <w:r>
        <w:rPr>
          <w:rFonts w:ascii="Consolas" w:hAnsi="Consolas"/>
          <w:sz w:val="18"/>
        </w:rPr>
        <w:t>instrumento→entidad</w:t>
      </w:r>
      <w:r>
        <w:t xml:space="preserve"> (</w:t>
      </w:r>
      <w:r>
        <w:rPr>
          <w:rFonts w:ascii="Consolas" w:hAnsi="Consolas"/>
          <w:sz w:val="18"/>
        </w:rPr>
        <w:t>SG-10</w:t>
      </w:r>
      <w:r>
        <w:t>) y 11/11 scripts</w:t>
      </w:r>
    </w:p>
    <w:p>
      <w:pPr>
        <w:spacing w:after="80"/>
      </w:pPr>
      <w:r>
        <w:t xml:space="preserve">    documentados (</w:t>
      </w:r>
      <w:r>
        <w:rPr>
          <w:rFonts w:ascii="Consolas" w:hAnsi="Consolas"/>
          <w:sz w:val="18"/>
        </w:rPr>
        <w:t>C-6</w:t>
      </w:r>
      <w:r>
        <w:t>).</w:t>
      </w:r>
    </w:p>
    <w:p>
      <w:pPr>
        <w:pStyle w:val="ListNumber"/>
      </w:pPr>
      <w:r>
        <w:t xml:space="preserve">Provenance E2E también para Market (hoy bloqueada por </w:t>
      </w:r>
      <w:r>
        <w:rPr>
          <w:rFonts w:ascii="Consolas" w:hAnsi="Consolas"/>
          <w:sz w:val="18"/>
        </w:rPr>
        <w:t>L-5</w:t>
      </w:r>
      <w:r>
        <w:t>).</w:t>
      </w:r>
    </w:p>
    <w:p>
      <w:pPr>
        <w:pStyle w:val="ListNumber"/>
      </w:pPr>
      <w:r>
        <w:t xml:space="preserve">CapEx (la CNV no lo publica — caen FCF y 6 métricas más; </w:t>
      </w:r>
      <w:r>
        <w:rPr>
          <w:rFonts w:ascii="Consolas" w:hAnsi="Consolas"/>
          <w:sz w:val="18"/>
        </w:rPr>
        <w:t>L-8</w:t>
      </w:r>
      <w:r>
        <w:t>).</w:t>
      </w:r>
    </w:p>
    <w:p>
      <w:pPr>
        <w:pStyle w:val="ListNumber"/>
      </w:pPr>
      <w:r>
        <w:t>Homologación TIKR generalizada y desde el repo principal (</w:t>
      </w:r>
      <w:r>
        <w:rPr>
          <w:rFonts w:ascii="Consolas" w:hAnsi="Consolas"/>
          <w:sz w:val="18"/>
        </w:rPr>
        <w:t>C-4</w:t>
      </w:r>
      <w:r>
        <w:t>, D-1-D-4).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Los software gaps y su remediación</w:t>
      </w:r>
    </w:p>
    <w:p>
      <w:pPr>
        <w:spacing w:after="80"/>
      </w:pPr>
      <w:r>
        <w:rPr>
          <w:rFonts w:ascii="Consolas" w:hAnsi="Consolas"/>
          <w:sz w:val="18"/>
        </w:rPr>
        <w:t>RUNBOOK_READINESS_REPORT.md</w:t>
      </w:r>
      <w:r>
        <w:t xml:space="preserve"> §16 documenta 11: </w:t>
      </w:r>
      <w:r>
        <w:rPr>
          <w:rFonts w:ascii="Consolas" w:hAnsi="Consolas"/>
          <w:sz w:val="18"/>
        </w:rPr>
        <w:t>SG-01</w:t>
      </w:r>
      <w:r>
        <w:t xml:space="preserve"> (no hay E2E CNV),</w:t>
      </w:r>
    </w:p>
    <w:p>
      <w:pPr>
        <w:spacing w:after="80"/>
      </w:pPr>
      <w:r>
        <w:rPr>
          <w:rFonts w:ascii="Consolas" w:hAnsi="Consolas"/>
          <w:sz w:val="18"/>
        </w:rPr>
        <w:t>SG-02</w:t>
      </w:r>
      <w:r>
        <w:t xml:space="preserve"> (no se almacena el SHA CNV — </w:t>
      </w:r>
      <w:r>
        <w:rPr>
          <w:rFonts w:ascii="Consolas" w:hAnsi="Consolas"/>
          <w:sz w:val="18"/>
        </w:rPr>
        <w:t>C-C3-008</w:t>
      </w:r>
      <w:r>
        <w:t xml:space="preserve"> nunca compara nada),</w:t>
      </w:r>
    </w:p>
    <w:p>
      <w:pPr>
        <w:spacing w:after="80"/>
      </w:pPr>
      <w:r>
        <w:rPr>
          <w:rFonts w:ascii="Consolas" w:hAnsi="Consolas"/>
          <w:sz w:val="18"/>
        </w:rPr>
        <w:t>SG-03</w:t>
      </w:r>
      <w:r>
        <w:t xml:space="preserve"> (14 ratios contables sin persistir), </w:t>
      </w:r>
      <w:r>
        <w:rPr>
          <w:rFonts w:ascii="Consolas" w:hAnsi="Consolas"/>
          <w:sz w:val="18"/>
        </w:rPr>
        <w:t>SG-04</w:t>
      </w:r>
      <w:r>
        <w:t xml:space="preserve"> (no hay reconciliación</w:t>
      </w:r>
    </w:p>
    <w:p>
      <w:pPr>
        <w:spacing w:after="80"/>
      </w:pPr>
      <w:r>
        <w:t xml:space="preserve">descargado→procesado→con datos), </w:t>
      </w:r>
      <w:r>
        <w:rPr>
          <w:rFonts w:ascii="Consolas" w:hAnsi="Consolas"/>
          <w:sz w:val="18"/>
        </w:rPr>
        <w:t>SG-05</w:t>
      </w:r>
      <w:r>
        <w:t xml:space="preserve"> (</w:t>
      </w:r>
      <w:r>
        <w:rPr>
          <w:rFonts w:ascii="Consolas" w:hAnsi="Consolas"/>
          <w:sz w:val="18"/>
        </w:rPr>
        <w:t>C-S01-004</w:t>
      </w:r>
      <w:r>
        <w:t xml:space="preserve"> clavado a YPF),</w:t>
      </w:r>
    </w:p>
    <w:p>
      <w:pPr>
        <w:spacing w:after="80"/>
      </w:pPr>
      <w:r>
        <w:rPr>
          <w:rFonts w:ascii="Consolas" w:hAnsi="Consolas"/>
          <w:sz w:val="18"/>
        </w:rPr>
        <w:t>SG-06</w:t>
      </w:r>
      <w:r>
        <w:t xml:space="preserve"> (dos </w:t>
      </w:r>
      <w:r>
        <w:rPr>
          <w:rFonts w:ascii="Consolas" w:hAnsi="Consolas"/>
          <w:sz w:val="18"/>
        </w:rPr>
        <w:t>stage_id</w:t>
      </w:r>
      <w:r>
        <w:t xml:space="preserve"> para C3), </w:t>
      </w:r>
      <w:r>
        <w:rPr>
          <w:rFonts w:ascii="Consolas" w:hAnsi="Consolas"/>
          <w:sz w:val="18"/>
        </w:rPr>
        <w:t>SG-07</w:t>
      </w:r>
      <w:r>
        <w:t xml:space="preserve"> (sin vocabulario de códigos</w:t>
      </w:r>
    </w:p>
    <w:p>
      <w:pPr>
        <w:spacing w:after="80"/>
      </w:pPr>
      <w:r>
        <w:t xml:space="preserve">operativos), </w:t>
      </w:r>
      <w:r>
        <w:rPr>
          <w:rFonts w:ascii="Consolas" w:hAnsi="Consolas"/>
          <w:sz w:val="18"/>
        </w:rPr>
        <w:t>SG-08</w:t>
      </w:r>
      <w:r>
        <w:t xml:space="preserve"> (no existe cuarentena), </w:t>
      </w:r>
      <w:r>
        <w:rPr>
          <w:rFonts w:ascii="Consolas" w:hAnsi="Consolas"/>
          <w:sz w:val="18"/>
        </w:rPr>
        <w:t>SG-09</w:t>
      </w:r>
      <w:r>
        <w:t xml:space="preserve"> (S04 no persiste</w:t>
      </w:r>
    </w:p>
    <w:p>
      <w:pPr>
        <w:spacing w:after="80"/>
      </w:pPr>
      <w:r>
        <w:t xml:space="preserve">checkpoint), </w:t>
      </w:r>
      <w:r>
        <w:rPr>
          <w:rFonts w:ascii="Consolas" w:hAnsi="Consolas"/>
          <w:sz w:val="18"/>
        </w:rPr>
        <w:t>SG-10</w:t>
      </w:r>
      <w:r>
        <w:t xml:space="preserve"> (enlace instrumento↔emisor roto), </w:t>
      </w:r>
      <w:r>
        <w:rPr>
          <w:rFonts w:ascii="Consolas" w:hAnsi="Consolas"/>
          <w:sz w:val="18"/>
        </w:rPr>
        <w:t>SG-11</w:t>
      </w:r>
      <w:r>
        <w:t xml:space="preserve"> (huérfanas se</w:t>
      </w:r>
    </w:p>
    <w:p>
      <w:pPr>
        <w:spacing w:after="80"/>
      </w:pPr>
      <w:r>
        <w:t xml:space="preserve">detectan, no se cierran), </w:t>
      </w:r>
      <w:r>
        <w:rPr>
          <w:rFonts w:ascii="Consolas" w:hAnsi="Consolas"/>
          <w:sz w:val="18"/>
        </w:rPr>
        <w:t>SG-12</w:t>
      </w:r>
      <w:r>
        <w:t xml:space="preserve"> (no se valida que una descarga contenga un</w:t>
      </w:r>
    </w:p>
    <w:p>
      <w:pPr>
        <w:spacing w:after="80"/>
      </w:pPr>
      <w:r>
        <w:t>documento).</w:t>
      </w:r>
    </w:p>
    <w:p>
      <w:pPr>
        <w:spacing w:after="80"/>
      </w:pPr>
      <w:r>
        <w:rPr>
          <w:b/>
        </w:rPr>
        <w:t>Remediación priorizada (§18)</w:t>
      </w:r>
      <w:r>
        <w:t xml:space="preserve"> — la más barata y de mayor impacto es la</w:t>
      </w:r>
    </w:p>
    <w:p>
      <w:pPr>
        <w:spacing w:after="80"/>
      </w:pPr>
      <w:r>
        <w:t xml:space="preserve">primera, y es lo que hoy impide el gate </w:t>
      </w:r>
      <w:r>
        <w:rPr>
          <w:rFonts w:ascii="Consolas" w:hAnsi="Consolas"/>
          <w:sz w:val="18"/>
        </w:rPr>
        <w:t>PASS</w:t>
      </w:r>
      <w:r>
        <w:t>:</w:t>
      </w:r>
    </w:p>
    <w:p>
      <w:pPr>
        <w:pStyle w:val="ListNumber"/>
      </w:pPr>
      <w:r>
        <w:rPr>
          <w:b/>
        </w:rPr>
        <w:t>Reconciliación de cobertura</w:t>
      </w:r>
      <w:r>
        <w:t xml:space="preserve"> como check bloqueante (</w:t>
      </w:r>
      <w:r>
        <w:rPr>
          <w:rFonts w:ascii="Consolas" w:hAnsi="Consolas"/>
          <w:sz w:val="18"/>
        </w:rPr>
        <w:t>SG-04</w:t>
      </w:r>
      <w:r>
        <w:t>).</w:t>
      </w:r>
    </w:p>
    <w:p>
      <w:pPr>
        <w:pStyle w:val="ListNumber"/>
      </w:pPr>
      <w:r>
        <w:rPr>
          <w:b/>
        </w:rPr>
        <w:t>Tabla de rechazos por documento</w:t>
      </w:r>
      <w:r>
        <w:t xml:space="preserve"> en CNV y que </w:t>
      </w:r>
      <w:r>
        <w:rPr>
          <w:rFonts w:ascii="Consolas" w:hAnsi="Consolas"/>
          <w:sz w:val="18"/>
        </w:rPr>
        <w:t>_mark_done</w:t>
      </w:r>
      <w:r>
        <w:t xml:space="preserve"> distinga</w:t>
      </w:r>
    </w:p>
    <w:p>
      <w:pPr>
        <w:spacing w:after="80"/>
      </w:pPr>
      <w:r>
        <w:t xml:space="preserve">   éxito de fracaso (</w:t>
      </w:r>
      <w:r>
        <w:rPr>
          <w:rFonts w:ascii="Consolas" w:hAnsi="Consolas"/>
          <w:sz w:val="18"/>
        </w:rPr>
        <w:t>SG-04</w:t>
      </w:r>
      <w:r>
        <w:t>/</w:t>
      </w:r>
      <w:r>
        <w:rPr>
          <w:rFonts w:ascii="Consolas" w:hAnsi="Consolas"/>
          <w:sz w:val="18"/>
        </w:rPr>
        <w:t>SG-07</w:t>
      </w:r>
      <w:r>
        <w:t>).</w:t>
      </w:r>
    </w:p>
    <w:p>
      <w:pPr>
        <w:pStyle w:val="ListNumber"/>
      </w:pPr>
      <w:r>
        <w:rPr>
          <w:b/>
        </w:rPr>
        <w:t>Persistir el SHA256</w:t>
      </w:r>
      <w:r>
        <w:t xml:space="preserve"> de cada documento CNV y poblar </w:t>
      </w:r>
      <w:r>
        <w:rPr>
          <w:rFonts w:ascii="Consolas" w:hAnsi="Consolas"/>
          <w:sz w:val="18"/>
        </w:rPr>
        <w:t>hash_cnv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SG-02</w:t>
      </w:r>
      <w:r>
        <w:t xml:space="preserve">) — habilita </w:t>
      </w:r>
      <w:r>
        <w:rPr>
          <w:rFonts w:ascii="Consolas" w:hAnsi="Consolas"/>
          <w:sz w:val="18"/>
        </w:rPr>
        <w:t>C-C3-008</w:t>
      </w:r>
      <w:r>
        <w:t xml:space="preserve"> ya escrito.</w:t>
      </w:r>
    </w:p>
    <w:p>
      <w:pPr>
        <w:pStyle w:val="ListNumber"/>
      </w:pPr>
      <w:r>
        <w:rPr>
          <w:b/>
        </w:rPr>
        <w:t>Puente instrumento→entidad</w:t>
      </w:r>
      <w:r>
        <w:t xml:space="preserve"> (</w:t>
      </w:r>
      <w:r>
        <w:rPr>
          <w:rFonts w:ascii="Consolas" w:hAnsi="Consolas"/>
          <w:sz w:val="18"/>
        </w:rPr>
        <w:t>SG-10</w:t>
      </w:r>
      <w:r>
        <w:t>) — desbloquea todos los múltiplos.</w:t>
      </w:r>
    </w:p>
    <w:p>
      <w:pPr>
        <w:pStyle w:val="ListNumber"/>
      </w:pPr>
      <w:r>
        <w:rPr>
          <w:b/>
        </w:rPr>
        <w:t>Decidir el camino CNV oficial</w:t>
      </w:r>
      <w:r>
        <w:t xml:space="preserve"> (</w:t>
      </w:r>
      <w:r>
        <w:rPr>
          <w:rFonts w:ascii="Consolas" w:hAnsi="Consolas"/>
          <w:sz w:val="18"/>
        </w:rPr>
        <w:t>SG-01</w:t>
      </w:r>
      <w:r>
        <w:t>) — decisión de arquitectura.</w:t>
      </w:r>
    </w:p>
    <w:p>
      <w:pPr>
        <w:spacing w:after="80"/>
      </w:pPr>
      <w:r>
        <w:t>6-11. Persistir los 14 ratios (</w:t>
      </w:r>
      <w:r>
        <w:rPr>
          <w:rFonts w:ascii="Consolas" w:hAnsi="Consolas"/>
          <w:sz w:val="18"/>
        </w:rPr>
        <w:t>SG-03</w:t>
      </w:r>
      <w:r>
        <w:t xml:space="preserve">), unificar </w:t>
      </w:r>
      <w:r>
        <w:rPr>
          <w:rFonts w:ascii="Consolas" w:hAnsi="Consolas"/>
          <w:sz w:val="18"/>
        </w:rPr>
        <w:t>C3_CNV_fetch</w:t>
      </w:r>
      <w:r>
        <w:t>/</w:t>
      </w:r>
      <w:r>
        <w:rPr>
          <w:rFonts w:ascii="Consolas" w:hAnsi="Consolas"/>
          <w:sz w:val="18"/>
        </w:rPr>
        <w:t>C3_CNV_FETCH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SG-06</w:t>
      </w:r>
      <w:r>
        <w:t>), cerrar huérfanas (</w:t>
      </w:r>
      <w:r>
        <w:rPr>
          <w:rFonts w:ascii="Consolas" w:hAnsi="Consolas"/>
          <w:sz w:val="18"/>
        </w:rPr>
        <w:t>SG-11</w:t>
      </w:r>
      <w:r>
        <w:t xml:space="preserve">), parametrizar </w:t>
      </w:r>
      <w:r>
        <w:rPr>
          <w:rFonts w:ascii="Consolas" w:hAnsi="Consolas"/>
          <w:sz w:val="18"/>
        </w:rPr>
        <w:t>C-S01-004</w:t>
      </w:r>
      <w:r>
        <w:t xml:space="preserve"> (</w:t>
      </w:r>
      <w:r>
        <w:rPr>
          <w:rFonts w:ascii="Consolas" w:hAnsi="Consolas"/>
          <w:sz w:val="18"/>
        </w:rPr>
        <w:t>SG-05</w:t>
      </w:r>
      <w:r>
        <w:t>),</w:t>
      </w:r>
    </w:p>
    <w:p>
      <w:pPr>
        <w:spacing w:after="80"/>
      </w:pPr>
      <w:r>
        <w:t>checkpoint en S04 (</w:t>
      </w:r>
      <w:r>
        <w:rPr>
          <w:rFonts w:ascii="Consolas" w:hAnsi="Consolas"/>
          <w:sz w:val="18"/>
        </w:rPr>
        <w:t>SG-09</w:t>
      </w:r>
      <w:r>
        <w:t>), cuarentena (</w:t>
      </w:r>
      <w:r>
        <w:rPr>
          <w:rFonts w:ascii="Consolas" w:hAnsi="Consolas"/>
          <w:sz w:val="18"/>
        </w:rPr>
        <w:t>SG-08</w:t>
      </w:r>
      <w:r>
        <w:t>, depende de 2).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Los limitaciones que se documentan, no se arreglan</w:t>
      </w:r>
    </w:p>
    <w:p>
      <w:pPr>
        <w:spacing w:after="80"/>
      </w:pPr>
      <w:r>
        <w:rPr>
          <w:rFonts w:ascii="Consolas" w:hAnsi="Consolas"/>
          <w:sz w:val="18"/>
        </w:rPr>
        <w:t>L-1</w:t>
      </w:r>
      <w:r>
        <w:t xml:space="preserve"> (sin </w:t>
      </w:r>
      <w:r>
        <w:rPr>
          <w:rFonts w:ascii="Consolas" w:hAnsi="Consolas"/>
          <w:sz w:val="18"/>
        </w:rPr>
        <w:t>--resume</w:t>
      </w:r>
      <w:r>
        <w:t xml:space="preserve">), </w:t>
      </w:r>
      <w:r>
        <w:rPr>
          <w:rFonts w:ascii="Consolas" w:hAnsi="Consolas"/>
          <w:sz w:val="18"/>
        </w:rPr>
        <w:t>L-2</w:t>
      </w:r>
      <w:r>
        <w:t xml:space="preserve"> (</w:t>
      </w:r>
      <w:r>
        <w:rPr>
          <w:rFonts w:ascii="Consolas" w:hAnsi="Consolas"/>
          <w:sz w:val="18"/>
        </w:rPr>
        <w:t>QUARANTINED</w:t>
      </w:r>
      <w:r>
        <w:t xml:space="preserve"> no existe), </w:t>
      </w:r>
      <w:r>
        <w:rPr>
          <w:rFonts w:ascii="Consolas" w:hAnsi="Consolas"/>
          <w:sz w:val="18"/>
        </w:rPr>
        <w:t>L-3</w:t>
      </w:r>
      <w:r>
        <w:t xml:space="preserve"> (sin rollback</w:t>
      </w:r>
    </w:p>
    <w:p>
      <w:pPr>
        <w:spacing w:after="80"/>
      </w:pPr>
      <w:r>
        <w:t xml:space="preserve">fuera de Market), </w:t>
      </w:r>
      <w:r>
        <w:rPr>
          <w:rFonts w:ascii="Consolas" w:hAnsi="Consolas"/>
          <w:sz w:val="18"/>
        </w:rPr>
        <w:t>L-4</w:t>
      </w:r>
      <w:r>
        <w:t xml:space="preserve"> (sin gate agregado), </w:t>
      </w:r>
      <w:r>
        <w:rPr>
          <w:rFonts w:ascii="Consolas" w:hAnsi="Consolas"/>
          <w:sz w:val="18"/>
        </w:rPr>
        <w:t>L-5</w:t>
      </w:r>
      <w:r>
        <w:t xml:space="preserve"> (enlace roto), </w:t>
      </w:r>
      <w:r>
        <w:rPr>
          <w:rFonts w:ascii="Consolas" w:hAnsi="Consolas"/>
          <w:sz w:val="18"/>
        </w:rPr>
        <w:t>L-6</w:t>
      </w:r>
      <w:r>
        <w:t xml:space="preserve"> (job5</w:t>
      </w:r>
    </w:p>
    <w:p>
      <w:pPr>
        <w:spacing w:after="80"/>
      </w:pPr>
      <w:r>
        <w:t xml:space="preserve">sin ledger), </w:t>
      </w:r>
      <w:r>
        <w:rPr>
          <w:rFonts w:ascii="Consolas" w:hAnsi="Consolas"/>
          <w:sz w:val="18"/>
        </w:rPr>
        <w:t>L-7</w:t>
      </w:r>
      <w:r>
        <w:t xml:space="preserve"> (CNV oficial no baja EEFF), </w:t>
      </w:r>
      <w:r>
        <w:rPr>
          <w:rFonts w:ascii="Consolas" w:hAnsi="Consolas"/>
          <w:sz w:val="18"/>
        </w:rPr>
        <w:t>L-8</w:t>
      </w:r>
      <w:r>
        <w:t xml:space="preserve"> (CNV no publica CapEx),</w:t>
      </w:r>
    </w:p>
    <w:p>
      <w:pPr>
        <w:spacing w:after="80"/>
      </w:pPr>
      <w:r>
        <w:rPr>
          <w:rFonts w:ascii="Consolas" w:hAnsi="Consolas"/>
          <w:sz w:val="18"/>
        </w:rPr>
        <w:t>L-9</w:t>
      </w:r>
      <w:r>
        <w:t xml:space="preserve"> (226/286 son cáscaras), </w:t>
      </w:r>
      <w:r>
        <w:rPr>
          <w:rFonts w:ascii="Consolas" w:hAnsi="Consolas"/>
          <w:sz w:val="18"/>
        </w:rPr>
        <w:t>L-10</w:t>
      </w:r>
      <w:r>
        <w:t xml:space="preserve"> (perímetro no computable del formulario),</w:t>
      </w:r>
    </w:p>
    <w:p>
      <w:pPr>
        <w:spacing w:after="80"/>
      </w:pPr>
      <w:r>
        <w:rPr>
          <w:rFonts w:ascii="Consolas" w:hAnsi="Consolas"/>
          <w:sz w:val="18"/>
        </w:rPr>
        <w:t>L-11</w:t>
      </w:r>
      <w:r>
        <w:t xml:space="preserve"> (FM no persistido), </w:t>
      </w:r>
      <w:r>
        <w:rPr>
          <w:rFonts w:ascii="Consolas" w:hAnsi="Consolas"/>
          <w:sz w:val="18"/>
        </w:rPr>
        <w:t>L-12</w:t>
      </w:r>
      <w:r>
        <w:t xml:space="preserve"> (ratio_engine SEC-first), </w:t>
      </w:r>
      <w:r>
        <w:rPr>
          <w:rFonts w:ascii="Consolas" w:hAnsi="Consolas"/>
          <w:sz w:val="18"/>
        </w:rPr>
        <w:t>L-13</w:t>
      </w:r>
      <w:r>
        <w:t xml:space="preserve"> (serie ARS</w:t>
      </w:r>
    </w:p>
    <w:p>
      <w:pPr>
        <w:spacing w:after="80"/>
      </w:pPr>
      <w:r>
        <w:t xml:space="preserve">no comparable sin deflactar, IAS 29), </w:t>
      </w:r>
      <w:r>
        <w:rPr>
          <w:rFonts w:ascii="Consolas" w:hAnsi="Consolas"/>
          <w:sz w:val="18"/>
        </w:rPr>
        <w:t>L-14</w:t>
      </w:r>
      <w:r>
        <w:t xml:space="preserve"> (9 códigos / 374 scripts),</w:t>
      </w:r>
    </w:p>
    <w:p>
      <w:pPr>
        <w:spacing w:after="80"/>
      </w:pPr>
      <w:r>
        <w:rPr>
          <w:rFonts w:ascii="Consolas" w:hAnsi="Consolas"/>
          <w:sz w:val="18"/>
        </w:rPr>
        <w:t>L-15</w:t>
      </w:r>
      <w:r>
        <w:t xml:space="preserve"> (5 tests en rojo), </w:t>
      </w:r>
      <w:r>
        <w:rPr>
          <w:rFonts w:ascii="Consolas" w:hAnsi="Consolas"/>
          <w:sz w:val="18"/>
        </w:rPr>
        <w:t>L-16</w:t>
      </w:r>
      <w:r>
        <w:t xml:space="preserve"> (9 de 7.998 entidades con hechos).</w:t>
      </w:r>
    </w:p>
    <w:p>
      <w:pPr>
        <w:spacing w:after="80"/>
      </w:pPr>
      <w:r>
        <w:t>Una limitación no se elimina editando este catálogo: se elimina cuando su</w:t>
      </w:r>
    </w:p>
    <w:p>
      <w:pPr>
        <w:spacing w:after="80"/>
      </w:pPr>
      <w:r>
        <w:t>causa deja de existir.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XVIII</w:t>
      </w:r>
    </w:p>
    <w:p>
      <w:pPr>
        <w:pStyle w:val="CodeBlock"/>
        <w:ind w:left="288"/>
      </w:pPr>
      <w:r>
        <w:t>EL MANUAL NO ESTÁ TERMINADO.</w:t>
      </w:r>
    </w:p>
    <w:p>
      <w:pPr>
        <w:spacing w:after="80"/>
      </w:pPr>
      <w:r>
        <w:t xml:space="preserve">El cierre de este manual es una </w:t>
      </w:r>
      <w:r>
        <w:rPr>
          <w:b/>
        </w:rPr>
        <w:t>decisión de producto</w:t>
      </w:r>
      <w:r>
        <w:t>, no de</w:t>
      </w:r>
    </w:p>
    <w:p>
      <w:pPr>
        <w:spacing w:after="80"/>
      </w:pPr>
      <w:r>
        <w:t>documentación: publicar los cuatro capítulos partidos por el worktree</w:t>
      </w:r>
    </w:p>
    <w:p>
      <w:pPr>
        <w:spacing w:after="80"/>
      </w:pPr>
      <w:r>
        <w:t xml:space="preserve">(Economic Facts, Financial Model, tramo C, TIKR) con rótulo </w:t>
      </w:r>
      <w:r>
        <w:rPr>
          <w:rFonts w:ascii="Consolas" w:hAnsi="Consolas"/>
          <w:sz w:val="18"/>
        </w:rPr>
        <w:t>NOT_IMPLEMENTED</w:t>
      </w:r>
    </w:p>
    <w:p>
      <w:pPr>
        <w:spacing w:after="80"/>
      </w:pPr>
      <w:r>
        <w:t>cubre la forma pero no la función. El único criterio honesto de cierre es la</w:t>
      </w:r>
    </w:p>
    <w:p>
      <w:pPr>
        <w:spacing w:after="80"/>
      </w:pPr>
      <w:r>
        <w:t xml:space="preserve">resolución de </w:t>
      </w:r>
      <w:r>
        <w:rPr>
          <w:b/>
        </w:rPr>
        <w:t>D-1 … D-4</w:t>
      </w:r>
      <w:r>
        <w:t xml:space="preserve">, la ejecución de </w:t>
      </w:r>
      <w:r>
        <w:rPr>
          <w:b/>
        </w:rPr>
        <w:t>C-1 … C-6</w:t>
      </w:r>
      <w:r>
        <w:t xml:space="preserve"> y el cierre de la</w:t>
      </w:r>
    </w:p>
    <w:p>
      <w:pPr>
        <w:spacing w:after="80"/>
      </w:pPr>
      <w:r>
        <w:t xml:space="preserve">gaps que el gate del sprint marcó — encabezadas por </w:t>
      </w:r>
      <w:r>
        <w:rPr>
          <w:rFonts w:ascii="Consolas" w:hAnsi="Consolas"/>
          <w:sz w:val="18"/>
        </w:rPr>
        <w:t>SG-04</w:t>
      </w:r>
      <w:r>
        <w:t>/</w:t>
      </w:r>
      <w:r>
        <w:rPr>
          <w:rFonts w:ascii="Consolas" w:hAnsi="Consolas"/>
          <w:sz w:val="18"/>
        </w:rPr>
        <w:t>SG-12</w:t>
      </w:r>
      <w:r>
        <w:t>: **una</w:t>
      </w:r>
    </w:p>
    <w:p>
      <w:pPr>
        <w:spacing w:after="80"/>
      </w:pPr>
      <w:r>
        <w:t>corrida incompleta que nadie detecta no se declara terminada, se instrumenta</w:t>
      </w:r>
    </w:p>
    <w:p>
      <w:pPr>
        <w:spacing w:after="80"/>
      </w:pPr>
      <w:r>
        <w:t>para que no pueda volver a pasar.**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*Todo lo que este manual puede prometer está escrito: cómo operar lo que</w:t>
      </w:r>
    </w:p>
    <w:p>
      <w:pPr>
        <w:spacing w:after="80"/>
      </w:pPr>
      <w:r>
        <w:t>existe. Todo lo que no, está en este capítulo con su código exacto.*</w:t>
      </w:r>
    </w:p>
    <w:p>
      <w:pPr>
        <w:pStyle w:val="Title"/>
        <w:jc w:val="left"/>
      </w:pPr>
      <w:r>
        <w:t>ANEXO B · DIAGRAMAS DE REFERENCIA DEL PROYECTO</w:t>
      </w:r>
    </w:p>
    <w:p>
      <w:r>
        <w:rPr>
          <w:b/>
          <w:color w:val="3B82F6"/>
          <w:sz w:val="20"/>
        </w:rPr>
        <w:t>Identificación: Anexo B Diagramas de referencia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ANEXO B · DIAGRAMAS DE REFERENCIA DEL PROYECTO</w:t>
      </w:r>
    </w:p>
    <w:p>
      <w:r>
        <w:t xml:space="preserve">Los diagramas oficiales del proyecto viven en </w:t>
      </w:r>
      <w:r>
        <w:rPr>
          <w:rFonts w:ascii="Consolas" w:hAnsi="Consolas"/>
          <w:sz w:val="18"/>
        </w:rPr>
        <w:t>docs/diagramas/</w:t>
      </w:r>
      <w:r>
        <w:t>. Este anexo cataloga</w:t>
      </w:r>
    </w:p>
    <w:p>
      <w:r>
        <w:t>los que aplican a los temas que explica el manual (arquitectura, pipelines, procesos</w:t>
      </w:r>
    </w:p>
    <w:p>
      <w:r>
        <w:t xml:space="preserve">y flujos), dice </w:t>
      </w:r>
      <w:r>
        <w:rPr>
          <w:b/>
        </w:rPr>
        <w:t>dónde se usa cada uno dentro de las Partes</w:t>
      </w:r>
      <w:r>
        <w:t xml:space="preserve"> y reproduce los que no</w:t>
      </w:r>
    </w:p>
    <w:p>
      <w:r>
        <w:t>se insertaron en línea para no repetir figuras.</w:t>
      </w:r>
    </w:p>
    <w:p>
      <w:pPr>
        <w:ind w:left="360"/>
      </w:pPr>
      <w:r>
        <w:rPr>
          <w:i/>
          <w:color w:val="5A646E"/>
        </w:rPr>
        <w:t>Regla: si hay que actualizar un diagrama, se edita el archivo fuente en</w:t>
      </w:r>
    </w:p>
    <w:p>
      <w:pPr>
        <w:ind w:left="360"/>
      </w:pPr>
      <w:r>
        <w:rPr>
          <w:i/>
          <w:color w:val="5A646E"/>
        </w:rPr>
        <w:t>docs/diagramas/ y se recopia sobre docs/manual/images/ — nunca se edita la</w:t>
      </w:r>
    </w:p>
    <w:p>
      <w:pPr>
        <w:ind w:left="360"/>
      </w:pPr>
      <w:r>
        <w:rPr>
          <w:i/>
          <w:color w:val="5A646E"/>
        </w:rPr>
        <w:t>copia del manual.</w:t>
      </w:r>
    </w:p>
    <w:p>
      <w:pPr>
        <w:pStyle w:val="Heading2"/>
      </w:pPr>
      <w:r>
        <w:t>Catálogo de diagramas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fuente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Figura en el manual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cubre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pipeline_diagrama1.png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3 · Parte I §3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Vista esquemática del E2E del pipeline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Arquitectura_diagramas.png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1 · Parte I §1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general del sistema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Diagramas + Arquitectura.png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6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Conjunto amplio de diagramas con vista de arquitectura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4 · Parte I §6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Vista general de diagramas del proyecto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estilos_pipeline, arquitecura_flujos.png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2 · Parte I §2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Estilos de pipeline y flujos (la partición del alcance en dos)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Plataforma.png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7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La plataforma como sistema completo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 operativos.png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8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 operativos del proyecto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9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 — vista de referencia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Tapa e indice.png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10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Tapa e índice originales — base de la estética del manual</w:t>
            </w:r>
          </w:p>
        </w:tc>
      </w:tr>
    </w:tbl>
    <w:p>
      <w:pPr>
        <w:spacing w:after="0"/>
      </w:pPr>
    </w:p>
    <w:p>
      <w:r>
        <w:t xml:space="preserve">Las figuras 1 a 4 están insertadas en la </w:t>
      </w:r>
      <w:r>
        <w:rPr>
          <w:b/>
        </w:rPr>
        <w:t>Parte I</w:t>
      </w:r>
      <w:r>
        <w:t xml:space="preserve"> en el punto donde se explica el</w:t>
      </w:r>
    </w:p>
    <w:p>
      <w:r>
        <w:t>tema correspondiente (ver el mapa de la Parte I §6). Las figuras 5 a 10 están abajo.</w:t>
      </w:r>
    </w:p>
    <w:p>
      <w:pPr>
        <w:pStyle w:val="Heading2"/>
      </w:pPr>
      <w:r>
        <w:t>Figura 5 — Estética de portada (referencia)</w:t>
      </w:r>
    </w:p>
    <w:p>
      <w:pPr>
        <w:jc w:val="center"/>
      </w:pPr>
      <w:r>
        <w:rPr>
          <w:b/>
        </w:rPr>
        <w:t>[Imagen: Figura 5 · Tapa e índice — base de la estética del manual]</w:t>
        <w:br/>
      </w:r>
      <w:r>
        <w:rPr>
          <w:i/>
          <w:color w:val="7B899A"/>
          <w:sz w:val="16"/>
        </w:rPr>
        <w:t>images/tapa_indice.png</w:t>
      </w:r>
    </w:p>
    <w:p>
      <w:r>
        <w:t xml:space="preserve">La portada de este manual usa la misma estética: </w:t>
      </w:r>
      <w:r>
        <w:rPr>
          <w:b/>
        </w:rPr>
      </w:r>
      <w:r>
        <w:t>navy oscuro (#0B2039) sobre</w:t>
      </w:r>
    </w:p>
    <w:p>
      <w:r>
        <w:t>blanco</w:t>
      </w:r>
      <w:r>
        <w:rPr>
          <w:b/>
        </w:rPr>
      </w:r>
      <w:r>
        <w:t>, títulos en negro/navy, cuerpo gris y acentos azul/naranja. Paleta</w:t>
      </w:r>
    </w:p>
    <w:p>
      <w:r>
        <w:t>dominante extraída de la tapa: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Color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Tapa / fondo oscuro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#0B2039 / #112842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Fondo claro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blanco / #F2F4F6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Acento texto secundario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#7B899A</w:t>
            </w:r>
          </w:p>
        </w:tc>
      </w:tr>
    </w:tbl>
    <w:p>
      <w:pPr>
        <w:spacing w:after="0"/>
      </w:pPr>
    </w:p>
    <w:p>
      <w:pPr>
        <w:pStyle w:val="Heading2"/>
      </w:pPr>
      <w:r>
        <w:t>Figura 6 — Conjunto de diagramas y arquitectura</w:t>
      </w:r>
    </w:p>
    <w:p>
      <w:pPr>
        <w:jc w:val="center"/>
      </w:pPr>
      <w:r>
        <w:rPr>
          <w:b/>
        </w:rPr>
        <w:t>[Imagen: Figura 6 · Diagramas y arquitectura — vista amplia]</w:t>
        <w:br/>
      </w:r>
      <w:r>
        <w:rPr>
          <w:i/>
          <w:color w:val="7B899A"/>
          <w:sz w:val="16"/>
        </w:rPr>
        <w:t>images/diagramas_arquitectura.png</w:t>
      </w:r>
    </w:p>
    <w:p>
      <w:pPr>
        <w:pStyle w:val="Heading2"/>
      </w:pPr>
      <w:r>
        <w:t>Figura 7 — La plataforma como sistema</w:t>
      </w:r>
    </w:p>
    <w:p>
      <w:pPr>
        <w:jc w:val="center"/>
      </w:pPr>
      <w:r>
        <w:rPr>
          <w:b/>
        </w:rPr>
        <w:t>[Imagen: Figura 7 · Plataforma]</w:t>
        <w:br/>
      </w:r>
      <w:r>
        <w:rPr>
          <w:i/>
          <w:color w:val="7B899A"/>
          <w:sz w:val="16"/>
        </w:rPr>
        <w:t>images/plataforma.png</w:t>
      </w:r>
    </w:p>
    <w:p>
      <w:pPr>
        <w:pStyle w:val="Heading2"/>
      </w:pPr>
      <w:r>
        <w:t>Figura 8 — Procedimientos operativos</w:t>
      </w:r>
    </w:p>
    <w:p>
      <w:pPr>
        <w:jc w:val="center"/>
      </w:pPr>
      <w:r>
        <w:rPr>
          <w:b/>
        </w:rPr>
        <w:t>[Imagen: Figura 8 · Procedimientos operativos]</w:t>
        <w:br/>
      </w:r>
      <w:r>
        <w:rPr>
          <w:i/>
          <w:color w:val="7B899A"/>
          <w:sz w:val="16"/>
        </w:rPr>
        <w:t>images/procedimientos_operativos.png</w:t>
      </w:r>
    </w:p>
    <w:p>
      <w:pPr>
        <w:pStyle w:val="Heading2"/>
      </w:pPr>
      <w:r>
        <w:t>Figura 9 — Procedimientos (vista de referencia)</w:t>
      </w:r>
    </w:p>
    <w:p>
      <w:pPr>
        <w:jc w:val="center"/>
      </w:pPr>
      <w:r>
        <w:rPr>
          <w:b/>
        </w:rPr>
        <w:t>[Imagen: Figura 9 · Procedimientos — vista de referencia]</w:t>
        <w:br/>
      </w:r>
      <w:r>
        <w:rPr>
          <w:i/>
          <w:color w:val="7B899A"/>
          <w:sz w:val="16"/>
        </w:rPr>
        <w:t>images/procedimientos_v2.png</w:t>
      </w:r>
    </w:p>
    <w:p>
      <w:pPr>
        <w:pStyle w:val="Heading2"/>
      </w:pPr>
      <w:r>
        <w:t>Cómo se lee este anexo</w:t>
      </w:r>
    </w:p>
    <w:p>
      <w:r>
        <w:t>Cada figura del manual se cita con su número (Figura N). Cuando un capítulo vuelve a</w:t>
      </w:r>
    </w:p>
    <w:p>
      <w:r>
        <w:t>tratar el mismo tema sin repetir la imagen, referencia la figura con su número en</w:t>
      </w:r>
    </w:p>
    <w:p>
      <w:r>
        <w:t>lugar de duplicarla:</w:t>
      </w:r>
    </w:p>
    <w:p>
      <w:pPr>
        <w:ind w:left="360"/>
      </w:pPr>
      <w:r>
        <w:rPr>
          <w:i/>
          <w:color w:val="5A646E"/>
        </w:rPr>
        <w:t>Ejemplo: la Parte IX (CNV) explica los tres tramos con la Figura 2 de contexto</w:t>
      </w:r>
    </w:p>
    <w:p>
      <w:pPr>
        <w:ind w:left="360"/>
      </w:pPr>
      <w:r>
        <w:rPr>
          <w:i/>
          <w:color w:val="5A646E"/>
        </w:rPr>
        <w:t>de pipelines y no reinserta la imagen.</w:t>
      </w:r>
    </w:p>
    <w:p>
      <w:pPr>
        <w:ind w:left="360"/>
      </w:pPr>
      <w:r>
        <w:rPr>
          <w:i/>
          <w:color w:val="5A646E"/>
        </w:rPr>
        <w:t>Nota: en docs/diagramas/ hay más materiales de referencia (biblioteca de</w:t>
      </w:r>
    </w:p>
    <w:p>
      <w:pPr>
        <w:ind w:left="360"/>
      </w:pPr>
      <w:r>
        <w:rPr>
          <w:i/>
          <w:color w:val="5A646E"/>
        </w:rPr>
        <w:t>diagramas, diseño general, capturas de pantalla). Se agregan al manual cuando su</w:t>
      </w:r>
    </w:p>
    <w:p>
      <w:pPr>
        <w:ind w:left="360"/>
      </w:pPr>
      <w:r>
        <w:rPr>
          <w:i/>
          <w:color w:val="5A646E"/>
        </w:rPr>
        <w:t>tema tenga capítulo/solución — no antes.</w:t>
      </w:r>
    </w:p>
    <w:p>
      <w:pPr>
        <w:pStyle w:val="Title"/>
        <w:jc w:val="left"/>
      </w:pPr>
      <w:r>
        <w:t>ANEXO C · PLANTILLAS DE DIAGRAMAS (MERMAID)</w:t>
      </w:r>
    </w:p>
    <w:p>
      <w:r>
        <w:rPr>
          <w:b/>
          <w:color w:val="3B82F6"/>
          <w:sz w:val="20"/>
        </w:rPr>
        <w:t>Identificación: Anexo C Plantillas de diagramas Mermaid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ANEXO C · PLANTILLAS DE DIAGRAMAS (MERMAID)</w:t>
      </w:r>
    </w:p>
    <w:p>
      <w:r>
        <w:t xml:space="preserve">Este anexo contiene </w:t>
      </w:r>
      <w:r>
        <w:rPr>
          <w:b/>
        </w:rPr>
        <w:t>plantillas editables</w:t>
      </w:r>
      <w:r>
        <w:t xml:space="preserve"> de diagramas para usar en cualquier</w:t>
      </w:r>
    </w:p>
    <w:p>
      <w:r>
        <w:t>documento del proyecto (manual, runbooks, presentaciones, propuestas). Cada plantilla</w:t>
      </w:r>
    </w:p>
    <w:p>
      <w:r>
        <w:t xml:space="preserve">está en formato </w:t>
      </w:r>
      <w:r>
        <w:rPr>
          <w:b/>
        </w:rPr>
        <w:t>Mermaid</w:t>
      </w:r>
      <w:r>
        <w:t xml:space="preserve"> (</w:t>
      </w:r>
      <w:r>
        <w:rPr>
          <w:rFonts w:ascii="Consolas" w:hAnsi="Consolas"/>
          <w:sz w:val="18"/>
        </w:rPr>
        <w:t>.mmd</w:t>
      </w:r>
      <w:r>
        <w:t>), listo para editar y versionar, y se renderiza a</w:t>
      </w:r>
    </w:p>
    <w:p>
      <w:r>
        <w:t>imagen con la paleta de marca (navy/azul/naranja).</w:t>
      </w:r>
    </w:p>
    <w:p>
      <w:pPr>
        <w:pStyle w:val="Heading2"/>
      </w:pPr>
      <w:r>
        <w:t>Carpeta y comando de regeneración</w:t>
      </w:r>
    </w:p>
    <w:p>
      <w:r>
        <w:t xml:space="preserve">Las plantillas fuente viven en </w:t>
      </w:r>
      <w:r>
        <w:rPr>
          <w:rFonts w:ascii="Consolas" w:hAnsi="Consolas"/>
          <w:sz w:val="18"/>
        </w:rPr>
        <w:t>docs/diagramas/plantillas/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plantilla_pipeline.mmd       → pipeline E2E</w:t>
              <w:br/>
              <w:t>plantilla_proceso.mmd        → proceso con decisiones</w:t>
              <w:br/>
              <w:t>plantilla_flujo.mmd          → flujo temporal (secuencia)</w:t>
              <w:br/>
              <w:t>plantilla_estados.mmd        → diagrama de estados</w:t>
              <w:br/>
              <w:t>plantilla_arquitectura.mmd   → arquitectura por capas</w:t>
              <w:br/>
              <w:t>plantilla_bloques.mmd        → diagrama de bloques / módulos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text</w:t>
      </w:r>
    </w:p>
    <w:p>
      <w:r>
        <w:t xml:space="preserve">Para regenerar las imágenes del manual (PNG en </w:t>
      </w:r>
      <w:r>
        <w:rPr>
          <w:rFonts w:ascii="Consolas" w:hAnsi="Consolas"/>
          <w:sz w:val="18"/>
        </w:rPr>
        <w:t>docs/manual/images/plantillas/</w:t>
      </w:r>
      <w:r>
        <w:t xml:space="preserve"> y SVG</w:t>
      </w:r>
    </w:p>
    <w:p>
      <w:r>
        <w:t xml:space="preserve">junto a la fuente) con </w:t>
      </w:r>
      <w:r>
        <w:rPr>
          <w:b/>
        </w:rPr>
        <w:t>mermaid-cli</w:t>
      </w:r>
      <w:r>
        <w:t xml:space="preserve"> usando el Edge del sistema: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mmdc -i plantilla_proceso.mmd -o ../manual/images/plantillas/plantilla_proceso.png \</w:t>
              <w:br/>
              <w:t xml:space="preserve">     -p puppeteer-config.json -b white -w 1600</w:t>
              <w:br/>
              <w:t>mmdc -i plantilla_proceso.mmd -o plantilla_proceso.svg \</w:t>
              <w:br/>
              <w:t xml:space="preserve">     -p puppeteer-config.json -b white -w 1600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bash</w:t>
      </w:r>
    </w:p>
    <w:p>
      <w:r>
        <w:t xml:space="preserve">También se pueden editar online en &lt;https://mermaid.live&gt; pegando el contenido </w:t>
      </w:r>
      <w:r>
        <w:rPr>
          <w:rFonts w:ascii="Consolas" w:hAnsi="Consolas"/>
          <w:sz w:val="18"/>
        </w:rPr>
        <w:t>.mmd</w:t>
      </w:r>
    </w:p>
    <w:p>
      <w:r>
        <w:t>y exportar a PNG/SVG directamente.</w:t>
      </w:r>
    </w:p>
    <w:p>
      <w:pPr>
        <w:ind w:left="360"/>
      </w:pPr>
      <w:r>
        <w:rPr>
          <w:i/>
          <w:color w:val="5A646E"/>
        </w:rPr>
        <w:t>Tipo de plantilla → cuándo se usa: elegí pipeline cuando el foco es la</w:t>
      </w:r>
    </w:p>
    <w:p>
      <w:pPr>
        <w:ind w:left="360"/>
      </w:pPr>
      <w:r>
        <w:rPr>
          <w:i/>
          <w:color w:val="5A646E"/>
        </w:rPr>
        <w:t>cadena de etapas; proceso cuando hay decisiones y gates; flujo para</w:t>
      </w:r>
    </w:p>
    <w:p>
      <w:pPr>
        <w:ind w:left="360"/>
      </w:pPr>
      <w:r>
        <w:rPr>
          <w:i/>
          <w:color w:val="5A646E"/>
        </w:rPr>
        <w:t>interacción temporal entre actores/sistemas; estados para ciclos de vida de</w:t>
      </w:r>
    </w:p>
    <w:p>
      <w:pPr>
        <w:ind w:left="360"/>
      </w:pPr>
      <w:r>
        <w:rPr>
          <w:i/>
          <w:color w:val="5A646E"/>
        </w:rPr>
        <w:t>una corrida o un job; arquitectura para capas; bloques para módulos y sus</w:t>
      </w:r>
    </w:p>
    <w:p>
      <w:pPr>
        <w:ind w:left="360"/>
      </w:pPr>
      <w:r>
        <w:rPr>
          <w:i/>
          <w:color w:val="5A646E"/>
        </w:rPr>
        <w:t>interfaces.</w:t>
      </w:r>
    </w:p>
    <w:p>
      <w:pPr>
        <w:pStyle w:val="Heading2"/>
      </w:pPr>
      <w:r>
        <w:t>Plantilla pipeline — Figura 6</w:t>
      </w:r>
    </w:p>
    <w:p>
      <w:r>
        <w:t>Cadena de etapas de un proceso E2E (fuentes → ingesta → proceso → salida). Útil para</w:t>
      </w:r>
    </w:p>
    <w:p>
      <w:r>
        <w:t>Secuencia de jobs tipo S00 → S04 → ratios, o tramos CNV.</w:t>
      </w:r>
    </w:p>
    <w:p>
      <w:pPr>
        <w:jc w:val="center"/>
      </w:pPr>
      <w:r>
        <w:rPr>
          <w:b/>
        </w:rPr>
        <w:t>[Imagen: Figura 6 · Plantilla pipeline E2E]</w:t>
        <w:br/>
      </w:r>
      <w:r>
        <w:rPr>
          <w:i/>
          <w:color w:val="7B899A"/>
          <w:sz w:val="16"/>
        </w:rPr>
        <w:t>images/plantillas/plantilla_pipeline.png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plantilla_pipeline.mmd</w:t>
              <w:br/>
              <w:t>%%{init: {"theme":"base","themeVariables":{"primaryColor":"#1A2744","primaryTextColor":"#FFFFFF","lineColor":"#3B82F6","secondaryColor":"#DCEAFF","tertiaryColor":"#E7F7EC","fontFamily":"Calibri","fontSize":14}}}%%</w:t>
              <w:br/>
              <w:t>flowchart LR</w:t>
              <w:br/>
              <w:t xml:space="preserve">    subgraph FUENTES["1 · Fuentes"]</w:t>
              <w:br/>
              <w:t xml:space="preserve">        A1["SEC / EDGAR (XBRL)"]</w:t>
              <w:br/>
              <w:t xml:space="preserve">        A2["CNV (HTML)"]</w:t>
              <w:br/>
              <w:t xml:space="preserve">        A3["Market / TIKR"]</w:t>
              <w:br/>
              <w:t xml:space="preserve">    end</w:t>
              <w:br/>
              <w:t xml:space="preserve">    subgraph INGESTA["2 · Ingesta"]</w:t>
              <w:br/>
              <w:t xml:space="preserve">        B1["Descarga + hash"]</w:t>
              <w:br/>
              <w:t xml:space="preserve">        B2["RAW + metadatos"]</w:t>
              <w:br/>
              <w:t xml:space="preserve">    end</w:t>
              <w:br/>
              <w:t xml:space="preserve">    subgraph PROCESO["3 · Proceso"]</w:t>
              <w:br/>
              <w:t xml:space="preserve">        C1["Parsing"]</w:t>
              <w:br/>
              <w:t xml:space="preserve">        C2["Normalización"]</w:t>
              <w:br/>
              <w:t xml:space="preserve">        C3["Ratios"]</w:t>
              <w:br/>
              <w:t xml:space="preserve">    end</w:t>
              <w:br/>
              <w:t xml:space="preserve">    subgraph SALIDA["4 · Salida"]</w:t>
              <w:br/>
              <w:t xml:space="preserve">        D1["Gobernanza / provenance"]</w:t>
              <w:br/>
              <w:t xml:space="preserve">        D2["Certificación"]</w:t>
              <w:br/>
              <w:t xml:space="preserve">        D3["Consumidores"]</w:t>
              <w:br/>
              <w:t xml:space="preserve">    end</w:t>
              <w:br/>
              <w:t xml:space="preserve">    FUENTES --&gt; INGESTA --&gt; PROCESO --&gt; SALIDA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proceso — Figura 7</w:t>
      </w:r>
    </w:p>
    <w:p>
      <w:r>
        <w:t>Flujo con decisiones (</w:t>
      </w:r>
      <w:r>
        <w:rPr>
          <w:rFonts w:ascii="Consolas" w:hAnsi="Consolas"/>
          <w:sz w:val="18"/>
        </w:rPr>
        <w:t>¿Permiso?</w:t>
      </w:r>
      <w:r>
        <w:t xml:space="preserve">, </w:t>
      </w:r>
      <w:r>
        <w:rPr>
          <w:rFonts w:ascii="Consolas" w:hAnsi="Consolas"/>
          <w:sz w:val="18"/>
        </w:rPr>
        <w:t>¿Gate PASS?</w:t>
      </w:r>
      <w:r>
        <w:t>) y ciclos de rollback. Útil para</w:t>
      </w:r>
    </w:p>
    <w:p>
      <w:r>
        <w:t>explicar cualquier procedimiento operativo del manual.</w:t>
      </w:r>
    </w:p>
    <w:p>
      <w:pPr>
        <w:jc w:val="center"/>
      </w:pPr>
      <w:r>
        <w:rPr>
          <w:b/>
        </w:rPr>
        <w:t>[Imagen: Figura 7 · Plantilla proceso con decisiones]</w:t>
        <w:br/>
      </w:r>
      <w:r>
        <w:rPr>
          <w:i/>
          <w:color w:val="7B899A"/>
          <w:sz w:val="16"/>
        </w:rPr>
        <w:t>images/plantillas/plantilla_proceso.png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plantilla_proceso.mmd</w:t>
              <w:br/>
              <w:t>flowchart TD</w:t>
              <w:br/>
              <w:t xml:space="preserve">    ST(("Inicio")) --&gt; P1["Instrucción / evento"]</w:t>
              <w:br/>
              <w:t xml:space="preserve">    P1 --&gt; Q1{"¿Permiso para correr?"}</w:t>
              <w:br/>
              <w:t xml:space="preserve">    Q1 -- "Sí" --&gt; P2["Ejecutar paso"]</w:t>
              <w:br/>
              <w:t xml:space="preserve">    Q1 -- "No" --&gt; E1[("Bloqueado")]</w:t>
              <w:br/>
              <w:t xml:space="preserve">    P2 --&gt; P3["Validar resultados"]</w:t>
              <w:br/>
              <w:t xml:space="preserve">    P3 --&gt; Q2{"¿Gate PASS?"}</w:t>
              <w:br/>
              <w:t xml:space="preserve">    Q2 -- "Sí" --&gt; P4["Certificar"]</w:t>
              <w:br/>
              <w:t xml:space="preserve">    Q2 -- "No" --&gt; P5["Rollback / troubleshooting"]</w:t>
              <w:br/>
              <w:t xml:space="preserve">    P4 --&gt; FIN(("Fin"))</w:t>
              <w:br/>
              <w:t xml:space="preserve">    P5 --&gt; P2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ind w:left="360"/>
      </w:pPr>
      <w:r>
        <w:rPr>
          <w:i/>
          <w:color w:val="5A646E"/>
        </w:rPr>
        <w:t>Regla del permiso: el nodo ¿Permiso para correr? representa el parámetro</w:t>
      </w:r>
    </w:p>
    <w:p>
      <w:pPr>
        <w:ind w:left="360"/>
      </w:pPr>
      <w:r>
        <w:rPr>
          <w:i/>
          <w:color w:val="5A646E"/>
        </w:rPr>
        <w:t>--permiso / la regla de no escribir en 5432 sin ENGINE_ALLOW_PROD=1.</w:t>
      </w:r>
    </w:p>
    <w:p>
      <w:pPr>
        <w:pStyle w:val="Heading2"/>
      </w:pPr>
      <w:r>
        <w:t>Plantilla flujo (secuencia) — Figura 8</w:t>
      </w:r>
    </w:p>
    <w:p>
      <w:r>
        <w:t>Interacción temporal entre actores y sistemas. Útil para explicar cómo orquesta un</w:t>
      </w:r>
    </w:p>
    <w:p>
      <w:r>
        <w:t>paso del engine, con lecturas/escribas y fallbacks.</w:t>
      </w:r>
    </w:p>
    <w:p>
      <w:pPr>
        <w:jc w:val="center"/>
      </w:pPr>
      <w:r>
        <w:rPr>
          <w:b/>
        </w:rPr>
        <w:t>[Imagen: Figura 8 · Plantilla flujo secuencial]</w:t>
        <w:br/>
      </w:r>
      <w:r>
        <w:rPr>
          <w:i/>
          <w:color w:val="7B899A"/>
          <w:sz w:val="16"/>
        </w:rPr>
        <w:t>images/plantillas/plantilla_flujo.png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plantilla_flujo.mmd</w:t>
              <w:br/>
              <w:t>sequenceDiagram</w:t>
              <w:br/>
              <w:t xml:space="preserve">    actor U as Usuario / Orquestador</w:t>
              <w:br/>
              <w:t xml:space="preserve">    participant M as Motor</w:t>
              <w:br/>
              <w:t xml:space="preserve">    participant DB as PostgreSQL</w:t>
              <w:br/>
              <w:t xml:space="preserve">    participant C as Caché / TIKR</w:t>
              <w:br/>
              <w:t xml:space="preserve">    U-&gt;&gt;M: Paso del pipeline</w:t>
              <w:br/>
              <w:t xml:space="preserve">    M-&gt;&gt;DB: Leer estado / fixtures</w:t>
              <w:br/>
              <w:t xml:space="preserve">    DB--&gt;&gt;M: Datos de entrada</w:t>
              <w:br/>
              <w:t xml:space="preserve">    M-&gt;&gt;M: Parsear + normalizar</w:t>
              <w:br/>
              <w:t xml:space="preserve">    M-&gt;&gt;C: Pedir dato externo</w:t>
              <w:br/>
              <w:t xml:space="preserve">    C--&gt;&gt;M: Respuesta (o fallback)</w:t>
              <w:br/>
              <w:t xml:space="preserve">    M-&gt;&gt;DB: Escribir resultado + provenance</w:t>
              <w:br/>
              <w:t xml:space="preserve">    M-&gt;&gt;U: Reporte de salida (gate)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estados — Figura 9</w:t>
      </w:r>
    </w:p>
    <w:p>
      <w:r>
        <w:t xml:space="preserve">Ciclo de vida de una corrida o un job. Útil para los estados de </w:t>
      </w:r>
      <w:r>
        <w:rPr>
          <w:rFonts w:ascii="Consolas" w:hAnsi="Consolas"/>
          <w:sz w:val="18"/>
        </w:rPr>
        <w:t>engine.runs</w:t>
      </w:r>
    </w:p>
    <w:p>
      <w:r>
        <w:t>(Pendiente → Corriendo → OK / Abortado / Bloqueado) o de los tramos CNV.</w:t>
      </w:r>
    </w:p>
    <w:p>
      <w:pPr>
        <w:jc w:val="center"/>
      </w:pPr>
      <w:r>
        <w:rPr>
          <w:b/>
        </w:rPr>
        <w:t>[Imagen: Figura 9 · Plantilla diagrama de estados]</w:t>
        <w:br/>
      </w:r>
      <w:r>
        <w:rPr>
          <w:i/>
          <w:color w:val="7B899A"/>
          <w:sz w:val="16"/>
        </w:rPr>
        <w:t>images/plantillas/plantilla_estados.png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plantilla_estados.mmd</w:t>
              <w:br/>
              <w:t>stateDiagram-v2</w:t>
              <w:br/>
              <w:t xml:space="preserve">    direction LR</w:t>
              <w:br/>
              <w:t xml:space="preserve">    PENDIENTE: Pendiente</w:t>
              <w:br/>
              <w:t xml:space="preserve">    CORRIENDO: Corriendo</w:t>
              <w:br/>
              <w:t xml:space="preserve">    OK: OK (PASS)</w:t>
              <w:br/>
              <w:t xml:space="preserve">    ABORTADO: Abortado</w:t>
              <w:br/>
              <w:t xml:space="preserve">    BLOQUEADO: Bloqueado</w:t>
              <w:br/>
              <w:t xml:space="preserve">    [*] --&gt; PENDIENTE</w:t>
              <w:br/>
              <w:t xml:space="preserve">    PENDIENTE --&gt; CORRIENDO: arranca</w:t>
              <w:br/>
              <w:t xml:space="preserve">    CORRIENDO --&gt; OK: gate PASS</w:t>
              <w:br/>
              <w:t xml:space="preserve">    CORRIENDO --&gt; ABORTADO: error / timeout</w:t>
              <w:br/>
              <w:t xml:space="preserve">    CORRIENDO --&gt; BLOQUEADO: falta permiso</w:t>
              <w:br/>
              <w:t xml:space="preserve">    OK --&gt; [*]</w:t>
              <w:br/>
              <w:t xml:space="preserve">    ABORTADO --&gt; [*]</w:t>
              <w:br/>
              <w:t xml:space="preserve">    BLOQUEADO --&gt; [*]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arquitectura — Figura 10</w:t>
      </w:r>
    </w:p>
    <w:p>
      <w:r>
        <w:t>Arquitectura por capas (fuentes → ingesta → persistencia → lógica → salida). Útil para</w:t>
      </w:r>
    </w:p>
    <w:p>
      <w:r>
        <w:t>los capítulos de arquitectura y despliegue.</w:t>
      </w:r>
    </w:p>
    <w:p>
      <w:pPr>
        <w:jc w:val="center"/>
      </w:pPr>
      <w:r>
        <w:rPr>
          <w:b/>
        </w:rPr>
        <w:t>[Imagen: Figura 10 · Plantilla arquitectura por capas]</w:t>
        <w:br/>
      </w:r>
      <w:r>
        <w:rPr>
          <w:i/>
          <w:color w:val="7B899A"/>
          <w:sz w:val="16"/>
        </w:rPr>
        <w:t>images/plantillas/plantilla_arquitectura.png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plantilla_arquitectura.mmd</w:t>
              <w:br/>
              <w:t>flowchart TB</w:t>
              <w:br/>
              <w:t xml:space="preserve">    subgraph CAPA1["Capa 1 · Fuentes"]</w:t>
              <w:br/>
              <w:t xml:space="preserve">        A1["SEC EDGAR"]</w:t>
              <w:br/>
              <w:t xml:space="preserve">        A2["CNV"]</w:t>
              <w:br/>
              <w:t xml:space="preserve">        A3["Market"]</w:t>
              <w:br/>
              <w:t xml:space="preserve">    end</w:t>
              <w:br/>
              <w:t xml:space="preserve">    subgraph CAPA2["Capa 2 · Ingesta"]</w:t>
              <w:br/>
              <w:t xml:space="preserve">        B1["Descarga"]</w:t>
              <w:br/>
              <w:t xml:space="preserve">        B2["RAW"]</w:t>
              <w:br/>
              <w:t xml:space="preserve">    end</w:t>
              <w:br/>
              <w:t xml:space="preserve">    subgraph CAPA3["Capa 3 · Persistencia"]</w:t>
              <w:br/>
              <w:t xml:space="preserve">        C1[("PostgreSQL 5432 prod / 5433 dev")]</w:t>
              <w:br/>
              <w:t xml:space="preserve">        C2[("SQLite")]</w:t>
              <w:br/>
              <w:t xml:space="preserve">    end</w:t>
              <w:br/>
              <w:t xml:space="preserve">    subgraph CAPA4["Capa 4 · Lógica"]</w:t>
              <w:br/>
              <w:t xml:space="preserve">        D1["Engine + jobs"]</w:t>
              <w:br/>
              <w:t xml:space="preserve">        D2["Ratios"]</w:t>
              <w:br/>
              <w:t xml:space="preserve">    end</w:t>
              <w:br/>
              <w:t xml:space="preserve">    subgraph CAPA5["Capa 5 · Salida"]</w:t>
              <w:br/>
              <w:t xml:space="preserve">        E1["API / Reportes"]</w:t>
              <w:br/>
              <w:t xml:space="preserve">        E2["Golden runs"]</w:t>
              <w:br/>
              <w:t xml:space="preserve">    end</w:t>
              <w:br/>
              <w:t xml:space="preserve">    CAPA1 --&gt; CAPA2 --&gt; CAPA3 --&gt; CAPA4 --&gt; CAPA5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bloques — Figura 11</w:t>
      </w:r>
    </w:p>
    <w:p>
      <w:r>
        <w:t>Módulos y sus interfaces (entradas/salidas). Útil para explicar el flujo de datos</w:t>
      </w:r>
    </w:p>
    <w:p>
      <w:r>
        <w:t>entre componentes sin entrar en la secuencia temporal.</w:t>
      </w:r>
    </w:p>
    <w:p>
      <w:pPr>
        <w:jc w:val="center"/>
      </w:pPr>
      <w:r>
        <w:rPr>
          <w:b/>
        </w:rPr>
        <w:t>[Imagen: Figura 11 · Plantilla diagrama de bloques]</w:t>
        <w:br/>
      </w:r>
      <w:r>
        <w:rPr>
          <w:i/>
          <w:color w:val="7B899A"/>
          <w:sz w:val="16"/>
        </w:rPr>
        <w:t>images/plantillas/plantilla_bloques.png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plantilla_bloques.mmd</w:t>
              <w:br/>
              <w:t>flowchart LR</w:t>
              <w:br/>
              <w:t xml:space="preserve">    M1["Módulo Ingesta"]</w:t>
              <w:br/>
              <w:t xml:space="preserve">    M2["Módulo Parser"]</w:t>
              <w:br/>
              <w:t xml:space="preserve">    M3["Módulo Normalizador"]</w:t>
              <w:br/>
              <w:t xml:space="preserve">    M4["Módulo Ratios"]</w:t>
              <w:br/>
              <w:t xml:space="preserve">    M5["Módulo Market"]</w:t>
              <w:br/>
              <w:t xml:space="preserve">    I1["(datos crudos)"] --&gt; M1 --&gt; M2 --&gt; M3 --&gt; M4</w:t>
              <w:br/>
              <w:t xml:space="preserve">    M3 -. ratios base .-&gt; M4</w:t>
              <w:br/>
              <w:t xml:space="preserve">    M5 --&gt; M4</w:t>
              <w:br/>
              <w:t xml:space="preserve">    M4 --&gt; O1["(dataset final)"]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Title"/>
        <w:jc w:val="left"/>
      </w:pPr>
      <w:r>
        <w:t>ANEXO D · BIBLIOTECA OFICIAL DE DIAGRAMAS</w:t>
      </w:r>
    </w:p>
    <w:p>
      <w:r>
        <w:rPr>
          <w:b/>
          <w:color w:val="3B82F6"/>
          <w:sz w:val="20"/>
        </w:rPr>
        <w:t>Identificación: Anexo D Biblioteca oficial de diagramas v2.0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ANEXO D · BIBLIOTECA OFICIAL DE DIAGRAMAS</w:t>
      </w:r>
    </w:p>
    <w:p>
      <w:r>
        <w:t xml:space="preserve">Los diagramas oficiales del </w:t>
      </w:r>
      <w:r>
        <w:rPr>
          <w:b/>
        </w:rPr>
        <w:t>Manual Operativo Catalaxia v2.0</w:t>
      </w:r>
      <w:r>
        <w:t xml:space="preserve"> (marca webshooks ·</w:t>
      </w:r>
    </w:p>
    <w:p>
      <w:r>
        <w:rPr>
          <w:i/>
        </w:rPr>
        <w:t>Procesos · Datos · Validación · Resultados</w:t>
      </w:r>
      <w:r>
        <w:t>). Es la identidad visual de la</w:t>
      </w:r>
    </w:p>
    <w:p>
      <w:r>
        <w:t>plataforma: cada figura de esta biblioteca explica un mecanismo que el manual</w:t>
      </w:r>
    </w:p>
    <w:p>
      <w:r>
        <w:t>desarrolla en texto en las Partes correspondientes. Las Partes citan estas figuras</w:t>
      </w:r>
    </w:p>
    <w:p>
      <w:r>
        <w:t>por número cuando vuelven sobre el tema.</w:t>
      </w:r>
    </w:p>
    <w:p>
      <w:pPr>
        <w:ind w:left="360"/>
      </w:pPr>
      <w:r>
        <w:rPr>
          <w:i/>
          <w:color w:val="5A646E"/>
        </w:rPr>
        <w:t>Regla: estas imágenes son la fuente visual oficial. Si un diagrama del</w:t>
      </w:r>
    </w:p>
    <w:p>
      <w:pPr>
        <w:ind w:left="360"/>
      </w:pPr>
      <w:r>
        <w:rPr>
          <w:i/>
          <w:color w:val="5A646E"/>
        </w:rPr>
        <w:t>manual y una imagen de esta biblioteca divergen, manda la biblioteca y se</w:t>
      </w:r>
    </w:p>
    <w:p>
      <w:pPr>
        <w:ind w:left="360"/>
      </w:pPr>
      <w:r>
        <w:rPr>
          <w:i/>
          <w:color w:val="5A646E"/>
        </w:rPr>
        <w:t>actualiza la otra.</w:t>
      </w:r>
    </w:p>
    <w:p>
      <w:pPr>
        <w:pStyle w:val="Heading2"/>
      </w:pPr>
      <w:r>
        <w:t>Figura 11 — Diagrama de procesos (end-to-end)</w:t>
      </w:r>
    </w:p>
    <w:p>
      <w:r>
        <w:t>Extracción, transformación y publicación de datos financieros. Vista completa del</w:t>
      </w:r>
    </w:p>
    <w:p>
      <w:r>
        <w:t>proceso operativo de Catalaxia (fuentes → ingesta → transformación → cálculo →</w:t>
      </w:r>
    </w:p>
    <w:p>
      <w:r>
        <w:t>validación → publicación).</w:t>
      </w:r>
    </w:p>
    <w:p>
      <w:pPr>
        <w:jc w:val="center"/>
      </w:pPr>
      <w:r>
        <w:rPr>
          <w:b/>
        </w:rPr>
        <w:t>[Imagen: Figura 11 · Diagrama de procesos end-to-end]</w:t>
        <w:br/>
      </w:r>
      <w:r>
        <w:rPr>
          <w:i/>
          <w:color w:val="7B899A"/>
          <w:sz w:val="16"/>
        </w:rPr>
        <w:t>images/capturas/proceso_end_to_end.png</w:t>
      </w:r>
    </w:p>
    <w:p>
      <w:pPr>
        <w:pStyle w:val="Heading2"/>
      </w:pPr>
      <w:r>
        <w:t>Serie "Biblioteca de diagramas" (figuras 12–22)</w:t>
      </w:r>
    </w:p>
    <w:p>
      <w:r>
        <w:t>Índice de la serie y cada diagrama que la compone:</w:t>
      </w:r>
    </w:p>
    <w:p>
      <w:pPr>
        <w:jc w:val="center"/>
      </w:pPr>
      <w:r>
        <w:rPr>
          <w:b/>
        </w:rPr>
        <w:t>[Imagen: Figura 12 · Índice de la serie Biblioteca de diagramas]</w:t>
        <w:br/>
      </w:r>
      <w:r>
        <w:rPr>
          <w:i/>
          <w:color w:val="7B899A"/>
          <w:sz w:val="16"/>
        </w:rPr>
        <w:t>images/capturas/biblioteca_indice.png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Diagrama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 donde se desarrolla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 — Cálculo de un ratio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Cadena de bloques (provenance)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 de estados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 (Idempotencia)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Contratos de cálculo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Ratios — familia y categorías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financiero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 (Economic Facts + Financial Model)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de capas (CPaaS)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§1, XVIII (Qué falta)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sistemas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end-to-end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datos y mapa de lectura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13 · Procedimiento — cálculo de un ratio]</w:t>
        <w:br/>
      </w:r>
      <w:r>
        <w:rPr>
          <w:i/>
          <w:color w:val="7B899A"/>
          <w:sz w:val="16"/>
        </w:rPr>
        <w:t>images/capturas/setA_02_procedimiento_ratio.png</w:t>
      </w:r>
    </w:p>
    <w:p>
      <w:pPr>
        <w:jc w:val="center"/>
      </w:pPr>
      <w:r>
        <w:rPr>
          <w:b/>
        </w:rPr>
        <w:t>[Imagen: Figura 14 · Cadena de bloques (provenance)]</w:t>
        <w:br/>
      </w:r>
      <w:r>
        <w:rPr>
          <w:i/>
          <w:color w:val="7B899A"/>
          <w:sz w:val="16"/>
        </w:rPr>
        <w:t>images/capturas/setA_04_cadena_bloques.png</w:t>
      </w:r>
    </w:p>
    <w:p>
      <w:pPr>
        <w:jc w:val="center"/>
      </w:pPr>
      <w:r>
        <w:rPr>
          <w:b/>
        </w:rPr>
        <w:t>[Imagen: Figura 15 · Diagrama de estados]</w:t>
        <w:br/>
      </w:r>
      <w:r>
        <w:rPr>
          <w:i/>
          <w:color w:val="7B899A"/>
          <w:sz w:val="16"/>
        </w:rPr>
        <w:t>images/capturas/setA_05_diagrama_estados.png</w:t>
      </w:r>
    </w:p>
    <w:p>
      <w:pPr>
        <w:jc w:val="center"/>
      </w:pPr>
      <w:r>
        <w:rPr>
          <w:b/>
        </w:rPr>
        <w:t>[Imagen: Figura 16 · Contratos de cálculo]</w:t>
        <w:br/>
      </w:r>
      <w:r>
        <w:rPr>
          <w:i/>
          <w:color w:val="7B899A"/>
          <w:sz w:val="16"/>
        </w:rPr>
        <w:t>images/capturas/setA_06_contratos_calculo.png</w:t>
      </w:r>
    </w:p>
    <w:p>
      <w:pPr>
        <w:jc w:val="center"/>
      </w:pPr>
      <w:r>
        <w:rPr>
          <w:b/>
        </w:rPr>
        <w:t>[Imagen: Figura 17 · Ratios — familia y categorías]</w:t>
        <w:br/>
      </w:r>
      <w:r>
        <w:rPr>
          <w:i/>
          <w:color w:val="7B899A"/>
          <w:sz w:val="16"/>
        </w:rPr>
        <w:t>images/capturas/setA_07_ratios.png</w:t>
      </w:r>
    </w:p>
    <w:p>
      <w:pPr>
        <w:jc w:val="center"/>
      </w:pPr>
      <w:r>
        <w:rPr>
          <w:b/>
        </w:rPr>
        <w:t>[Imagen: Figura 18 · Modelo financiero]</w:t>
        <w:br/>
      </w:r>
      <w:r>
        <w:rPr>
          <w:i/>
          <w:color w:val="7B899A"/>
          <w:sz w:val="16"/>
        </w:rPr>
        <w:t>images/capturas/setA_08_modelo_financiero.png</w:t>
      </w:r>
    </w:p>
    <w:p>
      <w:pPr>
        <w:jc w:val="center"/>
      </w:pPr>
      <w:r>
        <w:rPr>
          <w:b/>
        </w:rPr>
        <w:t>[Imagen: Figura 19 · Modelo de capas (CPaaS)]</w:t>
        <w:br/>
      </w:r>
      <w:r>
        <w:rPr>
          <w:i/>
          <w:color w:val="7B899A"/>
          <w:sz w:val="16"/>
        </w:rPr>
        <w:t>images/capturas/setA_09_modelo_capas.png</w:t>
      </w:r>
    </w:p>
    <w:p>
      <w:pPr>
        <w:jc w:val="center"/>
      </w:pPr>
      <w:r>
        <w:rPr>
          <w:b/>
        </w:rPr>
        <w:t>[Imagen: Figura 20 · Arquitectura de sistemas]</w:t>
        <w:br/>
      </w:r>
      <w:r>
        <w:rPr>
          <w:i/>
          <w:color w:val="7B899A"/>
          <w:sz w:val="16"/>
        </w:rPr>
        <w:t>images/capturas/setA_10_arquitectura_sistemas.png</w:t>
      </w:r>
    </w:p>
    <w:p>
      <w:pPr>
        <w:jc w:val="center"/>
      </w:pPr>
      <w:r>
        <w:rPr>
          <w:b/>
        </w:rPr>
        <w:t>[Imagen: Figura 21 · Arquitectura end-to-end]</w:t>
        <w:br/>
      </w:r>
      <w:r>
        <w:rPr>
          <w:i/>
          <w:color w:val="7B899A"/>
          <w:sz w:val="16"/>
        </w:rPr>
        <w:t>images/capturas/setA_11_arquitectura_e2e.png</w:t>
      </w:r>
    </w:p>
    <w:p>
      <w:pPr>
        <w:jc w:val="center"/>
      </w:pPr>
      <w:r>
        <w:rPr>
          <w:b/>
        </w:rPr>
        <w:t>[Imagen: Figura 22 · Arquitectura de datos y mapa de lectura]</w:t>
        <w:br/>
      </w:r>
      <w:r>
        <w:rPr>
          <w:i/>
          <w:color w:val="7B899A"/>
          <w:sz w:val="16"/>
        </w:rPr>
        <w:t>images/capturas/setA_12_arquitectura_datos.png</w:t>
      </w:r>
    </w:p>
    <w:p>
      <w:pPr>
        <w:pStyle w:val="Heading2"/>
      </w:pPr>
      <w:r>
        <w:t>Serie "Operativos" (figuras 23–35)</w:t>
      </w:r>
    </w:p>
    <w:p>
      <w:r>
        <w:t>Procedimientos y operación diaria. El índice y cada diagrama:</w:t>
      </w:r>
    </w:p>
    <w:p>
      <w:pPr>
        <w:jc w:val="center"/>
      </w:pPr>
      <w:r>
        <w:rPr>
          <w:b/>
        </w:rPr>
        <w:t>[Imagen: Figura 23 · Índice de la serie Operativos]</w:t>
        <w:br/>
      </w:r>
      <w:r>
        <w:rPr>
          <w:i/>
          <w:color w:val="7B899A"/>
          <w:sz w:val="16"/>
        </w:rPr>
        <w:t>images/capturas/operativos_indice.png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Diagrama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 donde se desarrolla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 — Onboarding de una nueva empresa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XVIII (Qué falta), III (Piloto YPF)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 — Actualización periódica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 (Golden Run), XIX (Anexo B)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Procesos de negocio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Cadena de bloques (blockchain de datos)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 de estados de una entidad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 (Idempotencia)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Contratos de cálculo (ROE)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Ratios — ejemplos de métricas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financiero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 (Economic Facts + Financial Model)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de capas (CPaaS)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XVIII (Qué falta)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sistemas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end-to-end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datos + mapa de lectura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24 · Procedimiento — onboarding de una nueva empresa]</w:t>
        <w:br/>
      </w:r>
      <w:r>
        <w:rPr>
          <w:i/>
          <w:color w:val="7B899A"/>
          <w:sz w:val="16"/>
        </w:rPr>
        <w:t>images/capturas/setB_01_procedimiento_onboarding.png</w:t>
      </w:r>
    </w:p>
    <w:p>
      <w:pPr>
        <w:jc w:val="center"/>
      </w:pPr>
      <w:r>
        <w:rPr>
          <w:b/>
        </w:rPr>
        <w:t>[Imagen: Figura 25 · Procedimiento — actualización periódica]</w:t>
        <w:br/>
      </w:r>
      <w:r>
        <w:rPr>
          <w:i/>
          <w:color w:val="7B899A"/>
          <w:sz w:val="16"/>
        </w:rPr>
        <w:t>images/capturas/setB_02_actualizacion_periodica.png</w:t>
      </w:r>
    </w:p>
    <w:p>
      <w:pPr>
        <w:jc w:val="center"/>
      </w:pPr>
      <w:r>
        <w:rPr>
          <w:b/>
        </w:rPr>
        <w:t>[Imagen: Figura 26 · Procesos de negocio]</w:t>
        <w:br/>
      </w:r>
      <w:r>
        <w:rPr>
          <w:i/>
          <w:color w:val="7B899A"/>
          <w:sz w:val="16"/>
        </w:rPr>
        <w:t>images/capturas/setB_03_procesos_negocio.png</w:t>
      </w:r>
    </w:p>
    <w:p>
      <w:pPr>
        <w:jc w:val="center"/>
      </w:pPr>
      <w:r>
        <w:rPr>
          <w:b/>
        </w:rPr>
        <w:t>[Imagen: Figura 27 · Cadena de bloques (blockchain de datos)]</w:t>
        <w:br/>
      </w:r>
      <w:r>
        <w:rPr>
          <w:i/>
          <w:color w:val="7B899A"/>
          <w:sz w:val="16"/>
        </w:rPr>
        <w:t>images/capturas/setB_04_cadena_bloques.png</w:t>
      </w:r>
    </w:p>
    <w:p>
      <w:pPr>
        <w:jc w:val="center"/>
      </w:pPr>
      <w:r>
        <w:rPr>
          <w:b/>
        </w:rPr>
        <w:t>[Imagen: Figura 28 · Diagrama de estados de una entidad]</w:t>
        <w:br/>
      </w:r>
      <w:r>
        <w:rPr>
          <w:i/>
          <w:color w:val="7B899A"/>
          <w:sz w:val="16"/>
        </w:rPr>
        <w:t>images/capturas/setB_05_diagrama_estados.png</w:t>
      </w:r>
    </w:p>
    <w:p>
      <w:pPr>
        <w:jc w:val="center"/>
      </w:pPr>
      <w:r>
        <w:rPr>
          <w:b/>
        </w:rPr>
        <w:t>[Imagen: Figura 29 · Contratos de cálculo (ROE)]</w:t>
        <w:br/>
      </w:r>
      <w:r>
        <w:rPr>
          <w:i/>
          <w:color w:val="7B899A"/>
          <w:sz w:val="16"/>
        </w:rPr>
        <w:t>images/capturas/setB_06_contratos_calculo.png</w:t>
      </w:r>
    </w:p>
    <w:p>
      <w:pPr>
        <w:jc w:val="center"/>
      </w:pPr>
      <w:r>
        <w:rPr>
          <w:b/>
        </w:rPr>
        <w:t>[Imagen: Figura 30 · Ratios — ejemplos de métricas]</w:t>
        <w:br/>
      </w:r>
      <w:r>
        <w:rPr>
          <w:i/>
          <w:color w:val="7B899A"/>
          <w:sz w:val="16"/>
        </w:rPr>
        <w:t>images/capturas/setB_07_ratios.png</w:t>
      </w:r>
    </w:p>
    <w:p>
      <w:pPr>
        <w:jc w:val="center"/>
      </w:pPr>
      <w:r>
        <w:rPr>
          <w:b/>
        </w:rPr>
        <w:t>[Imagen: Figura 31 · Modelo financiero]</w:t>
        <w:br/>
      </w:r>
      <w:r>
        <w:rPr>
          <w:i/>
          <w:color w:val="7B899A"/>
          <w:sz w:val="16"/>
        </w:rPr>
        <w:t>images/capturas/setB_08_modelo_financiero.png</w:t>
      </w:r>
    </w:p>
    <w:p>
      <w:pPr>
        <w:jc w:val="center"/>
      </w:pPr>
      <w:r>
        <w:rPr>
          <w:b/>
        </w:rPr>
        <w:t>[Imagen: Figura 32 · Modelo de capas (CPaaS)]</w:t>
        <w:br/>
      </w:r>
      <w:r>
        <w:rPr>
          <w:i/>
          <w:color w:val="7B899A"/>
          <w:sz w:val="16"/>
        </w:rPr>
        <w:t>images/capturas/setB_09_modelo_capas.png</w:t>
      </w:r>
    </w:p>
    <w:p>
      <w:pPr>
        <w:jc w:val="center"/>
      </w:pPr>
      <w:r>
        <w:rPr>
          <w:b/>
        </w:rPr>
        <w:t>[Imagen: Figura 33 · Arquitectura de sistemas]</w:t>
        <w:br/>
      </w:r>
      <w:r>
        <w:rPr>
          <w:i/>
          <w:color w:val="7B899A"/>
          <w:sz w:val="16"/>
        </w:rPr>
        <w:t>images/capturas/setB_10_arquitectura_sistemas.png</w:t>
      </w:r>
    </w:p>
    <w:p>
      <w:pPr>
        <w:jc w:val="center"/>
      </w:pPr>
      <w:r>
        <w:rPr>
          <w:b/>
        </w:rPr>
        <w:t>[Imagen: Figura 34 · Arquitectura end-to-end]</w:t>
        <w:br/>
      </w:r>
      <w:r>
        <w:rPr>
          <w:i/>
          <w:color w:val="7B899A"/>
          <w:sz w:val="16"/>
        </w:rPr>
        <w:t>images/capturas/setB_11_arquitectura_e2e.png</w:t>
      </w:r>
    </w:p>
    <w:p>
      <w:pPr>
        <w:jc w:val="center"/>
      </w:pPr>
      <w:r>
        <w:rPr>
          <w:b/>
        </w:rPr>
        <w:t>[Imagen: Figura 35 · Arquitectura de datos + mapa de lectura]</w:t>
        <w:br/>
      </w:r>
      <w:r>
        <w:rPr>
          <w:i/>
          <w:color w:val="7B899A"/>
          <w:sz w:val="16"/>
        </w:rPr>
        <w:t>images/capturas/setB_12_arquitectura_datos.png</w:t>
      </w:r>
    </w:p>
    <w:p>
      <w:pPr>
        <w:pStyle w:val="Heading2"/>
      </w:pPr>
      <w:r>
        <w:t>Cómo se leen las dos series</w:t>
      </w:r>
    </w:p>
    <w:p>
      <w:r>
        <w:t xml:space="preserve">Son </w:t>
      </w:r>
      <w:r>
        <w:rPr>
          <w:b/>
        </w:rPr>
        <w:t>dos variantes de diseño</w:t>
      </w:r>
      <w:r>
        <w:t xml:space="preserve"> del mismo contenido: la serie *Biblioteca de</w:t>
      </w:r>
    </w:p>
    <w:p>
      <w:r>
        <w:t>diagramas</w:t>
      </w:r>
      <w:r>
        <w:rPr>
          <w:i/>
        </w:rPr>
        <w:t xml:space="preserve"> (figuras 12–22) es la versión catálogo; la serie </w:t>
      </w:r>
      <w:r>
        <w:t>Operativos* (figuras</w:t>
      </w:r>
    </w:p>
    <w:p>
      <w:r>
        <w:t>23–35) es la versión orientada a procedimientos con responsables, criterios de</w:t>
      </w:r>
    </w:p>
    <w:p>
      <w:r>
        <w:t>éxito y errores comunes. Cuando un capítulo haga falta, se cita la figura de la</w:t>
      </w:r>
    </w:p>
    <w:p>
      <w:r>
        <w:t>serie que mejor encaje; no se duplica imagen en el texto.</w:t>
      </w:r>
    </w:p>
    <w:p>
      <w:pPr>
        <w:pStyle w:val="Heading1"/>
      </w:pPr>
      <w:r>
        <w:t>ANEXO E · ARQUITECTURA DE LAS 12 CAPAS — EXPLICACIÓN OPERACIONAL</w:t>
      </w:r>
    </w:p>
    <w:p>
      <w:pPr>
        <w:spacing w:after="80"/>
      </w:pPr>
      <w:r>
        <w:t>Explicación profunda y operacional de las 12 capas de la arquitectura de Catalaxia.</w:t>
      </w:r>
    </w:p>
    <w:p>
      <w:pPr>
        <w:spacing w:after="80"/>
      </w:pPr>
      <w:r>
        <w:t>Base: el manual operativo v2.0 (Partes II–XVIII), los runbooks y el estado real</w:t>
      </w:r>
    </w:p>
    <w:p>
      <w:pPr>
        <w:spacing w:after="80"/>
      </w:pPr>
      <w:r>
        <w:t>medido del sistema.</w:t>
      </w:r>
    </w:p>
    <w:p>
      <w:pPr>
        <w:spacing w:after="80"/>
      </w:pPr>
      <w:r>
        <w:rPr>
          <w:b/>
        </w:rPr>
        <w:t>Regla de lectura de este anexo.</w:t>
      </w:r>
      <w:r>
        <w:t xml:space="preserve"> Cada capa se explica en dos niveles, siempre</w:t>
      </w:r>
    </w:p>
    <w:p>
      <w:pPr>
        <w:spacing w:after="80"/>
      </w:pPr>
      <w:r>
        <w:t>separados:</w:t>
      </w:r>
    </w:p>
    <w:p>
      <w:pPr>
        <w:pStyle w:val="ListBullet"/>
      </w:pPr>
      <w:r>
        <w:rPr>
          <w:b/>
        </w:rPr>
        <w:t>[HOY]</w:t>
      </w:r>
      <w:r>
        <w:t xml:space="preserve"> — lo que existe en el repositorio principal y está medido; se cita el</w:t>
      </w:r>
    </w:p>
    <w:p>
      <w:pPr>
        <w:spacing w:after="80"/>
      </w:pPr>
      <w:r>
        <w:t xml:space="preserve">  artefacto real (script, tabla, gate, defecto).</w:t>
      </w:r>
    </w:p>
    <w:p>
      <w:pPr>
        <w:pStyle w:val="ListBullet"/>
      </w:pPr>
      <w:r>
        <w:rPr>
          <w:b/>
        </w:rPr>
        <w:t>[OBJETIVO]</w:t>
      </w:r>
      <w:r>
        <w:t xml:space="preserve"> — el diseño recomendado cuando la capa todavía no está completa o</w:t>
      </w:r>
    </w:p>
    <w:p>
      <w:pPr>
        <w:spacing w:after="80"/>
      </w:pPr>
      <w:r>
        <w:t xml:space="preserve">  vive en el worktree. Todo lo que es aspiración se marca como tal y no se vende</w:t>
      </w:r>
    </w:p>
    <w:p>
      <w:pPr>
        <w:spacing w:after="80"/>
      </w:pPr>
      <w:r>
        <w:t xml:space="preserve">  como si estuviera andando.</w:t>
      </w:r>
    </w:p>
    <w:p>
      <w:pPr>
        <w:spacing w:after="80"/>
      </w:pPr>
      <w:r>
        <w:rPr>
          <w:b/>
        </w:rPr>
        <w:t>Nota de decisiones abiertas.</w:t>
      </w:r>
      <w:r>
        <w:t xml:space="preserve"> Varias capas dependen de </w:t>
      </w:r>
      <w:r>
        <w:rPr>
          <w:b/>
        </w:rPr>
        <w:t>D-1</w:t>
      </w:r>
      <w:r>
        <w:t xml:space="preserve"> (repo principal</w:t>
      </w:r>
    </w:p>
    <w:p>
      <w:pPr>
        <w:spacing w:after="80"/>
      </w:pPr>
      <w:r>
        <w:t xml:space="preserve">vs. worktree </w:t>
      </w:r>
      <w:r>
        <w:rPr>
          <w:rFonts w:ascii="Consolas" w:hAnsi="Consolas"/>
          <w:sz w:val="18"/>
        </w:rPr>
        <w:t>catalaxia-cnvmig</w:t>
      </w:r>
      <w:r>
        <w:t xml:space="preserve"> para Economic Facts, Financial Model, tramo C de CNV</w:t>
      </w:r>
    </w:p>
    <w:p>
      <w:pPr>
        <w:spacing w:after="80"/>
      </w:pPr>
      <w:r>
        <w:t xml:space="preserve">y homologación TIKR), </w:t>
      </w:r>
      <w:r>
        <w:rPr>
          <w:b/>
        </w:rPr>
        <w:t>D-3</w:t>
      </w:r>
      <w:r>
        <w:t xml:space="preserve"> (certificar KO o cambiar piloto), </w:t>
      </w:r>
      <w:r>
        <w:rPr>
          <w:b/>
        </w:rPr>
        <w:t>D-4</w:t>
      </w:r>
      <w:r>
        <w:t xml:space="preserve"> (vocabulario</w:t>
      </w:r>
    </w:p>
    <w:p>
      <w:pPr>
        <w:spacing w:after="80"/>
      </w:pPr>
      <w:r>
        <w:t xml:space="preserve">de homologación) y de las certificaciones </w:t>
      </w:r>
      <w:r>
        <w:rPr>
          <w:b/>
        </w:rPr>
        <w:t>C-1…C-6</w:t>
      </w:r>
      <w:r>
        <w:t>. Este anexo no las resuelve:</w:t>
      </w:r>
    </w:p>
    <w:p>
      <w:pPr>
        <w:spacing w:after="80"/>
      </w:pPr>
      <w:r>
        <w:t>las marca y sigue.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FUENTES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Obtener y preservar la </w:t>
      </w:r>
      <w:r>
        <w:rPr>
          <w:b/>
        </w:rPr>
        <w:t>evidencia original</w:t>
      </w:r>
      <w:r>
        <w:t xml:space="preserve"> (documentos y datos) desde los</w:t>
      </w:r>
    </w:p>
    <w:p>
      <w:pPr>
        <w:spacing w:after="80"/>
      </w:pPr>
      <w:r>
        <w:t>proveedores regulatorios y de mercado, sin interpretarla todavía.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decide </w:t>
      </w:r>
      <w:r>
        <w:rPr>
          <w:b/>
        </w:rPr>
        <w:t>qué se va a bajar, de dónde, cómo y con qué controles</w:t>
      </w:r>
      <w:r>
        <w:t>. No</w:t>
      </w:r>
    </w:p>
    <w:p>
      <w:pPr>
        <w:spacing w:after="80"/>
      </w:pPr>
      <w:r>
        <w:t>almacena datos económicos: almacena documentos y series crudas. Separa tres</w:t>
      </w:r>
    </w:p>
    <w:p>
      <w:pPr>
        <w:spacing w:after="80"/>
      </w:pPr>
      <w:r>
        <w:t xml:space="preserve">universos: </w:t>
      </w:r>
      <w:r>
        <w:rPr>
          <w:b/>
        </w:rPr>
        <w:t>SEC/EDGAR</w:t>
      </w:r>
      <w:r>
        <w:t xml:space="preserve">, </w:t>
      </w:r>
      <w:r>
        <w:rPr>
          <w:b/>
        </w:rPr>
        <w:t>CNV</w:t>
      </w:r>
      <w:r>
        <w:t xml:space="preserve"> y </w:t>
      </w:r>
      <w:r>
        <w:rPr>
          <w:b/>
        </w:rPr>
        <w:t>Market</w:t>
      </w:r>
      <w:r>
        <w:t>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>Sin una capa de fuentes explícita, cada consumidor baja los datos por su cuenta:</w:t>
      </w:r>
    </w:p>
    <w:p>
      <w:pPr>
        <w:spacing w:after="80"/>
      </w:pPr>
      <w:r>
        <w:t>se mezclan versiones, se rompe la reproducibilidad y no hay forma de auditar qué se</w:t>
      </w:r>
    </w:p>
    <w:p>
      <w:pPr>
        <w:spacing w:after="80"/>
      </w:pPr>
      <w:r>
        <w:t xml:space="preserve">vio. Esta capa establece el </w:t>
      </w:r>
      <w:r>
        <w:rPr>
          <w:b/>
        </w:rPr>
        <w:t>contrato de ingesta</w:t>
      </w:r>
      <w:r>
        <w:t>: todo dato que entra al sistema</w:t>
      </w:r>
    </w:p>
    <w:p>
      <w:pPr>
        <w:spacing w:after="80"/>
      </w:pPr>
      <w:r>
        <w:t>sale de un proveedor identificado, con su get etiqueta (proveedor, documento,</w:t>
      </w:r>
    </w:p>
    <w:p>
      <w:pPr>
        <w:spacing w:after="80"/>
      </w:pPr>
      <w:r>
        <w:t>fecha, hash).</w:t>
      </w:r>
    </w:p>
    <w:p>
      <w:pPr>
        <w:pStyle w:val="Heading3"/>
      </w:pPr>
      <w:r>
        <w:t>¿Cómo funciona?</w:t>
      </w:r>
    </w:p>
    <w:p>
      <w:pPr>
        <w:spacing w:after="80"/>
      </w:pPr>
      <w:r>
        <w:t>Dos modos de obtención:</w:t>
      </w:r>
    </w:p>
    <w:p>
      <w:pPr>
        <w:pStyle w:val="ListNumber"/>
      </w:pPr>
      <w:r>
        <w:rPr>
          <w:b/>
        </w:rPr>
        <w:t>Discovery</w:t>
      </w:r>
      <w:r>
        <w:t>: identificar qué documentos existen (filings de una entidad, EEFF</w:t>
      </w:r>
    </w:p>
    <w:p>
      <w:pPr>
        <w:spacing w:after="80"/>
      </w:pPr>
      <w:r>
        <w:t xml:space="preserve">   de la CNV, instrumentos del mercado).</w:t>
      </w:r>
    </w:p>
    <w:p>
      <w:pPr>
        <w:pStyle w:val="ListNumber"/>
      </w:pPr>
      <w:r>
        <w:rPr>
          <w:b/>
        </w:rPr>
        <w:t>Download + hash</w:t>
      </w:r>
      <w:r>
        <w:t>: bajar el archivo, calcular el hash, guardarlo inmutable en</w:t>
      </w:r>
    </w:p>
    <w:p>
      <w:pPr>
        <w:spacing w:after="80"/>
      </w:pPr>
      <w:r>
        <w:t xml:space="preserve">   RAW y registrar el metadato.</w:t>
      </w:r>
    </w:p>
    <w:p>
      <w:pPr>
        <w:spacing w:after="80"/>
      </w:pPr>
      <w:r>
        <w:t xml:space="preserve">La regla operativa del sistema es que esta capa </w:t>
      </w:r>
      <w:r>
        <w:rPr>
          <w:b/>
        </w:rPr>
        <w:t>nunca normaliza</w:t>
      </w:r>
      <w:r>
        <w:t>: el dato se</w:t>
      </w:r>
    </w:p>
    <w:p>
      <w:pPr>
        <w:spacing w:after="80"/>
      </w:pPr>
      <w:r>
        <w:t>guarda tal cual se obtuvo.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proveedor → discovery → [nuevo documento?] → download → SHA256 → [RAW] → registro en ledger de ingesta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SEC / EDGAR</w:t>
      </w:r>
    </w:p>
    <w:p>
      <w:pPr>
        <w:pStyle w:val="ListBullet"/>
      </w:pPr>
      <w:r>
        <w:rPr>
          <w:b/>
        </w:rPr>
        <w:t>Qué es:</w:t>
      </w:r>
      <w:r>
        <w:t xml:space="preserve"> la fuente regulatoria de EE. UU. Provee firmas presentadas en XBRL</w:t>
      </w:r>
    </w:p>
    <w:p>
      <w:pPr>
        <w:spacing w:after="80"/>
      </w:pPr>
      <w:r>
        <w:t xml:space="preserve">  (10-K, 10-Q, 20-F) más el dataset agregado </w:t>
      </w:r>
      <w:r>
        <w:rPr>
          <w:i/>
        </w:rPr>
        <w:t>companyfacts</w:t>
      </w:r>
      <w:r>
        <w:t xml:space="preserve"> (JSON) y el índice de</w:t>
      </w:r>
    </w:p>
    <w:p>
      <w:pPr>
        <w:spacing w:after="80"/>
      </w:pPr>
      <w:r>
        <w:t xml:space="preserve">  submissions por CIK.</w:t>
      </w:r>
    </w:p>
    <w:p>
      <w:pPr>
        <w:pStyle w:val="ListBullet"/>
      </w:pPr>
      <w:r>
        <w:rPr>
          <w:b/>
        </w:rPr>
        <w:t>Qué hace:</w:t>
      </w:r>
      <w:r>
        <w:t xml:space="preserve"> expone filings por entidad y por formulario, con toda la taxonomía</w:t>
      </w:r>
    </w:p>
    <w:p>
      <w:pPr>
        <w:spacing w:after="80"/>
      </w:pPr>
      <w:r>
        <w:t xml:space="preserve">  XBRL (facts + contexts + units) en un solo archivo para los documentos estándar.</w:t>
      </w:r>
    </w:p>
    <w:p>
      <w:pPr>
        <w:pStyle w:val="ListBullet"/>
      </w:pPr>
      <w:r>
        <w:rPr>
          <w:b/>
        </w:rPr>
        <w:t>Entrada:</w:t>
      </w:r>
      <w:r>
        <w:t xml:space="preserve"> un CIK (identidad de emisor ante la SEC).</w:t>
      </w:r>
    </w:p>
    <w:p>
      <w:pPr>
        <w:pStyle w:val="ListBullet"/>
      </w:pPr>
      <w:r>
        <w:rPr>
          <w:b/>
        </w:rPr>
        <w:t>Salida:</w:t>
      </w:r>
      <w:r>
        <w:t xml:space="preserve"> archivos (XML ZIP del filing completo, JSON de companyfacts) con su</w:t>
      </w:r>
    </w:p>
    <w:p>
      <w:pPr>
        <w:spacing w:after="80"/>
      </w:pPr>
      <w:r>
        <w:t xml:space="preserve">  hash.</w:t>
      </w:r>
    </w:p>
    <w:p>
      <w:pPr>
        <w:pStyle w:val="ListBullet"/>
      </w:pPr>
      <w:r>
        <w:rPr>
          <w:b/>
        </w:rPr>
        <w:t>Cómo funciona:</w:t>
      </w:r>
      <w:r>
        <w:t xml:space="preserve"> descarga directa de EDGAR con </w:t>
      </w:r>
      <w:r>
        <w:rPr>
          <w:rFonts w:ascii="Consolas" w:hAnsi="Consolas"/>
          <w:sz w:val="18"/>
        </w:rPr>
        <w:t>User-Agent</w:t>
      </w:r>
      <w:r>
        <w:t xml:space="preserve"> identificado</w:t>
      </w:r>
    </w:p>
    <w:p>
      <w:pPr>
        <w:spacing w:after="80"/>
      </w:pPr>
      <w:r>
        <w:t xml:space="preserve">  (requisito de la SEC), respetando las límites de rate. Scripts reales: `S01</w:t>
      </w:r>
    </w:p>
    <w:p>
      <w:pPr>
        <w:spacing w:after="80"/>
      </w:pPr>
      <w:r>
        <w:t xml:space="preserve">  (identity)</w:t>
      </w:r>
      <w:r>
        <w:rPr>
          <w:rFonts w:ascii="Consolas" w:hAnsi="Consolas"/>
          <w:sz w:val="18"/>
        </w:rPr>
        <w:t xml:space="preserve"> para el CIK y </w:t>
      </w:r>
      <w:r>
        <w:t>S02_fetch_ypf` para la descarga.</w:t>
      </w:r>
    </w:p>
    <w:p>
      <w:pPr>
        <w:pStyle w:val="ListBullet"/>
      </w:pPr>
      <w:r>
        <w:rPr>
          <w:b/>
        </w:rPr>
        <w:t>Validaciones:</w:t>
      </w:r>
      <w:r>
        <w:t xml:space="preserve"> HTTP 200, tamaño &gt; 0, paridad de hash tras la descarga,</w:t>
      </w:r>
    </w:p>
    <w:p>
      <w:pPr>
        <w:spacing w:after="80"/>
      </w:pPr>
      <w:r>
        <w:t xml:space="preserve">  conteo de hechos esperados para el formulario.</w:t>
      </w:r>
    </w:p>
    <w:p>
      <w:pPr>
        <w:pStyle w:val="ListBullet"/>
      </w:pPr>
      <w:r>
        <w:rPr>
          <w:b/>
        </w:rPr>
        <w:t>DoD:</w:t>
      </w:r>
      <w:r>
        <w:t xml:space="preserve"> el archivo original está en RAW, íntegro, con hash y metadato de</w:t>
      </w:r>
    </w:p>
    <w:p>
      <w:pPr>
        <w:spacing w:after="80"/>
      </w:pPr>
      <w:r>
        <w:t xml:space="preserve">  descarga registrado.</w:t>
      </w:r>
    </w:p>
    <w:p>
      <w:pPr>
        <w:pStyle w:val="Heading3"/>
      </w:pPr>
      <w:r>
        <w:t>CNV</w:t>
      </w:r>
    </w:p>
    <w:p>
      <w:pPr>
        <w:pStyle w:val="ListBullet"/>
      </w:pPr>
      <w:r>
        <w:rPr>
          <w:b/>
        </w:rPr>
        <w:t>Qué es:</w:t>
      </w:r>
      <w:r>
        <w:t xml:space="preserve"> la fuente regulatoria argentina. Provee </w:t>
      </w:r>
      <w:r>
        <w:rPr>
          <w:b/>
        </w:rPr>
        <w:t>estados contables (EEFF)</w:t>
      </w:r>
    </w:p>
    <w:p>
      <w:pPr>
        <w:spacing w:after="80"/>
      </w:pPr>
      <w:r>
        <w:t xml:space="preserve">  de emisores listados, en HTML, por ejercicio y trimestre.</w:t>
      </w:r>
    </w:p>
    <w:p>
      <w:pPr>
        <w:pStyle w:val="ListBullet"/>
      </w:pPr>
      <w:r>
        <w:rPr>
          <w:b/>
        </w:rPr>
        <w:t>Qué hace:</w:t>
      </w:r>
      <w:r>
        <w:t xml:space="preserve"> a diferencia de EDGAR, no entrega XBRL estructurado: entrega</w:t>
      </w:r>
    </w:p>
    <w:p>
      <w:pPr>
        <w:spacing w:after="80"/>
      </w:pPr>
      <w:r>
        <w:t xml:space="preserve">  páginas HTML que hay que interpretar. Implica un esfuerzo de parsing mayor y la</w:t>
      </w:r>
    </w:p>
    <w:p>
      <w:pPr>
        <w:spacing w:after="80"/>
      </w:pPr>
      <w:r>
        <w:t xml:space="preserve">  existencia de un </w:t>
      </w:r>
      <w:r>
        <w:rPr>
          <w:b/>
        </w:rPr>
        <w:t>mapa semántico</w:t>
      </w:r>
      <w:r>
        <w:t xml:space="preserve"> local (qué página, qué período, qué</w:t>
      </w:r>
    </w:p>
    <w:p>
      <w:pPr>
        <w:spacing w:after="80"/>
      </w:pPr>
      <w:r>
        <w:t xml:space="preserve">  perímetro).</w:t>
      </w:r>
    </w:p>
    <w:p>
      <w:pPr>
        <w:pStyle w:val="ListBullet"/>
      </w:pPr>
      <w:r>
        <w:rPr>
          <w:b/>
        </w:rPr>
        <w:t>Entrada:</w:t>
      </w:r>
      <w:r>
        <w:t xml:space="preserve"> CUIT del emisor + período.</w:t>
      </w:r>
    </w:p>
    <w:p>
      <w:pPr>
        <w:pStyle w:val="ListBullet"/>
      </w:pPr>
      <w:r>
        <w:rPr>
          <w:b/>
        </w:rPr>
        <w:t>Salida:</w:t>
      </w:r>
      <w:r>
        <w:t xml:space="preserve"> páginas HTML de EEFF con hash, más los metadatos del documento</w:t>
      </w:r>
    </w:p>
    <w:p>
      <w:pPr>
        <w:spacing w:after="80"/>
      </w:pPr>
      <w:r>
        <w:t xml:space="preserve">  (período, estado: </w:t>
      </w:r>
      <w:r>
        <w:rPr>
          <w:rFonts w:ascii="Consolas" w:hAnsi="Consolas"/>
          <w:sz w:val="18"/>
        </w:rPr>
        <w:t>DONE</w:t>
      </w:r>
      <w:r>
        <w:t xml:space="preserve">, </w:t>
      </w:r>
      <w:r>
        <w:rPr>
          <w:rFonts w:ascii="Consolas" w:hAnsi="Consolas"/>
          <w:sz w:val="18"/>
        </w:rPr>
        <w:t>con_filas</w:t>
      </w:r>
      <w:r>
        <w:t xml:space="preserve">, </w:t>
      </w:r>
      <w:r>
        <w:rPr>
          <w:rFonts w:ascii="Consolas" w:hAnsi="Consolas"/>
          <w:sz w:val="18"/>
        </w:rPr>
        <w:t>PROCESSED_OK</w:t>
      </w:r>
      <w:r>
        <w:t xml:space="preserve">, </w:t>
      </w:r>
      <w:r>
        <w:rPr>
          <w:rFonts w:ascii="Consolas" w:hAnsi="Consolas"/>
          <w:sz w:val="18"/>
        </w:rPr>
        <w:t>REJECTED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FAILED_FINAL</w:t>
      </w:r>
      <w:r>
        <w:t xml:space="preserve"> — hay 286 documentos en whitelist, 56 </w:t>
      </w:r>
      <w:r>
        <w:rPr>
          <w:rFonts w:ascii="Consolas" w:hAnsi="Consolas"/>
          <w:sz w:val="18"/>
        </w:rPr>
        <w:t>DONE</w:t>
      </w:r>
      <w:r>
        <w:t>).</w:t>
      </w:r>
    </w:p>
    <w:p>
      <w:pPr>
        <w:pStyle w:val="ListBullet"/>
      </w:pPr>
      <w:r>
        <w:rPr>
          <w:b/>
        </w:rPr>
        <w:t>Cómo funciona hoy:</w:t>
      </w:r>
      <w:r>
        <w:t xml:space="preserve"> tres tramos separados — </w:t>
      </w:r>
      <w:r>
        <w:rPr>
          <w:b/>
        </w:rPr>
        <w:t>A</w:t>
      </w:r>
      <w:r>
        <w:t xml:space="preserve"> (</w:t>
      </w:r>
      <w:r>
        <w:rPr>
          <w:rFonts w:ascii="Consolas" w:hAnsi="Consolas"/>
          <w:sz w:val="18"/>
        </w:rPr>
        <w:t>c3_cnv_fetch</w:t>
      </w:r>
      <w:r>
        <w:t>, con gates</w:t>
      </w:r>
    </w:p>
    <w:p>
      <w:pPr>
        <w:spacing w:after="80"/>
      </w:pPr>
      <w:r>
        <w:t xml:space="preserve">  y ledger, pero solo baja </w:t>
      </w:r>
      <w:r>
        <w:rPr>
          <w:rFonts w:ascii="Consolas" w:hAnsi="Consolas"/>
          <w:sz w:val="18"/>
        </w:rPr>
        <w:t>VISOR</w:t>
      </w:r>
      <w:r>
        <w:t xml:space="preserve"> y </w:t>
      </w:r>
      <w:r>
        <w:rPr>
          <w:rFonts w:ascii="Consolas" w:hAnsi="Consolas"/>
          <w:sz w:val="18"/>
        </w:rPr>
        <w:t>EMPRESA_PAGE</w:t>
      </w:r>
      <w:r>
        <w:t xml:space="preserve">, </w:t>
      </w:r>
      <w:r>
        <w:rPr>
          <w:b/>
        </w:rPr>
        <w:t>no los EEFF</w:t>
      </w:r>
      <w:r>
        <w:t xml:space="preserve">: </w:t>
      </w:r>
      <w:r>
        <w:rPr>
          <w:rFonts w:ascii="Consolas" w:hAnsi="Consolas"/>
          <w:sz w:val="18"/>
        </w:rPr>
        <w:t>L-7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SG-01</w:t>
      </w:r>
      <w:r>
        <w:t xml:space="preserve">); </w:t>
      </w:r>
      <w:r>
        <w:rPr>
          <w:b/>
        </w:rPr>
        <w:t>B</w:t>
      </w:r>
      <w:r>
        <w:t xml:space="preserve"> (</w:t>
      </w:r>
      <w:r>
        <w:rPr>
          <w:rFonts w:ascii="Consolas" w:hAnsi="Consolas"/>
          <w:sz w:val="18"/>
        </w:rPr>
        <w:t>job5_v2_extract_eeff</w:t>
      </w:r>
      <w:r>
        <w:t>, legacy, **el que produjo todos los datos</w:t>
      </w:r>
    </w:p>
    <w:p>
      <w:pPr>
        <w:spacing w:after="80"/>
      </w:pPr>
      <w:r>
        <w:t xml:space="preserve">  CNV existentes**, sin ledger ni SHA, escribe en </w:t>
      </w:r>
      <w:r>
        <w:rPr>
          <w:rFonts w:ascii="Consolas" w:hAnsi="Consolas"/>
          <w:sz w:val="18"/>
        </w:rPr>
        <w:t>data/screener.db</w:t>
      </w:r>
      <w:r>
        <w:t>, descarta en</w:t>
      </w:r>
    </w:p>
    <w:p>
      <w:pPr>
        <w:spacing w:after="80"/>
      </w:pPr>
      <w:r>
        <w:t xml:space="preserve">  silencio </w:t>
      </w:r>
      <w:r>
        <w:rPr>
          <w:rFonts w:ascii="Consolas" w:hAnsi="Consolas"/>
          <w:sz w:val="18"/>
        </w:rPr>
        <w:t>CNV-EX-001</w:t>
      </w:r>
      <w:r>
        <w:t>/</w:t>
      </w:r>
      <w:r>
        <w:rPr>
          <w:rFonts w:ascii="Consolas" w:hAnsi="Consolas"/>
          <w:sz w:val="18"/>
        </w:rPr>
        <w:t>L-6</w:t>
      </w:r>
      <w:r>
        <w:t xml:space="preserve">); </w:t>
      </w:r>
      <w:r>
        <w:rPr>
          <w:b/>
        </w:rPr>
        <w:t>C</w:t>
      </w:r>
      <w:r>
        <w:t xml:space="preserve"> (</w:t>
      </w:r>
      <w:r>
        <w:rPr>
          <w:rFonts w:ascii="Consolas" w:hAnsi="Consolas"/>
          <w:sz w:val="18"/>
        </w:rPr>
        <w:t>c4_cnv_adapter</w:t>
      </w:r>
      <w:r>
        <w:t>, canónico, **en el</w:t>
      </w:r>
    </w:p>
    <w:p>
      <w:pPr>
        <w:spacing w:after="80"/>
      </w:pPr>
      <w:r>
        <w:t xml:space="preserve">  worktree**, pendiente D-1).</w:t>
      </w:r>
    </w:p>
    <w:p>
      <w:pPr>
        <w:pStyle w:val="ListBullet"/>
      </w:pPr>
      <w:r>
        <w:rPr>
          <w:b/>
        </w:rPr>
        <w:t>Validaciones:</w:t>
      </w:r>
      <w:r>
        <w:t xml:space="preserve"> pertenencia a la whitelist (286), no duplicado, formato de</w:t>
      </w:r>
    </w:p>
    <w:p>
      <w:pPr>
        <w:spacing w:after="80"/>
      </w:pPr>
      <w:r>
        <w:t xml:space="preserve">  página (transición 2018–2019: </w:t>
      </w:r>
      <w:r>
        <w:rPr>
          <w:rFonts w:ascii="Consolas" w:hAnsi="Consolas"/>
          <w:sz w:val="18"/>
        </w:rPr>
        <w:t>ATTACHMENT_ONLY</w:t>
      </w:r>
      <w:r>
        <w:t xml:space="preserve"> 197, </w:t>
      </w:r>
      <w:r>
        <w:rPr>
          <w:rFonts w:ascii="Consolas" w:hAnsi="Consolas"/>
          <w:sz w:val="18"/>
        </w:rPr>
        <w:t>OTHER_FORM</w:t>
      </w:r>
      <w:r>
        <w:t xml:space="preserve"> 29 — la cota</w:t>
      </w:r>
    </w:p>
    <w:p>
      <w:pPr>
        <w:spacing w:after="80"/>
      </w:pPr>
      <w:r>
        <w:t xml:space="preserve">  de 60 documentos es la frontera de formato).</w:t>
      </w:r>
    </w:p>
    <w:p>
      <w:pPr>
        <w:pStyle w:val="ListBullet"/>
      </w:pPr>
      <w:r>
        <w:rPr>
          <w:b/>
        </w:rPr>
        <w:t>DoD de la fuente CNV:</w:t>
      </w:r>
      <w:r>
        <w:t xml:space="preserve"> cada EEFF de la whitelist tiene su documento descargado,</w:t>
      </w:r>
    </w:p>
    <w:p>
      <w:pPr>
        <w:spacing w:after="80"/>
      </w:pPr>
      <w:r>
        <w:t xml:space="preserve">  íntegro, con hash (</w:t>
      </w:r>
      <w:r>
        <w:rPr>
          <w:rFonts w:ascii="Consolas" w:hAnsi="Consolas"/>
          <w:sz w:val="18"/>
        </w:rPr>
        <w:t>hash_cnv</w:t>
      </w:r>
      <w:r>
        <w:t xml:space="preserve"> — </w:t>
      </w:r>
      <w:r>
        <w:rPr>
          <w:b/>
        </w:rPr>
        <w:t>hoy NULL en 4.005/4.005, `SG-02`</w:t>
      </w:r>
      <w:r>
        <w:t>) y su estado</w:t>
      </w:r>
    </w:p>
    <w:p>
      <w:pPr>
        <w:spacing w:after="80"/>
      </w:pPr>
      <w:r>
        <w:t xml:space="preserve">  registrado.</w:t>
      </w:r>
    </w:p>
    <w:p>
      <w:pPr>
        <w:pStyle w:val="Heading3"/>
      </w:pPr>
      <w:r>
        <w:t>MARKET</w:t>
      </w:r>
    </w:p>
    <w:p>
      <w:pPr>
        <w:pStyle w:val="ListBullet"/>
      </w:pPr>
      <w:r>
        <w:rPr>
          <w:b/>
        </w:rPr>
        <w:t>Qué es:</w:t>
      </w:r>
      <w:r>
        <w:t xml:space="preserve"> la fuente de mercado: precios, acciones corporativas, FX y benchmarks</w:t>
      </w:r>
    </w:p>
    <w:p>
      <w:pPr>
        <w:spacing w:after="80"/>
      </w:pPr>
      <w:r>
        <w:t xml:space="preserve">  (yfinance u homólogo, más el feed de TIKR para homologación).</w:t>
      </w:r>
    </w:p>
    <w:p>
      <w:pPr>
        <w:pStyle w:val="ListBullet"/>
      </w:pPr>
      <w:r>
        <w:rPr>
          <w:b/>
        </w:rPr>
        <w:t>Qué hace:</w:t>
      </w:r>
      <w:r>
        <w:t xml:space="preserve"> mantener series actualizadas de precios (4.799.938 filas, 584</w:t>
      </w:r>
    </w:p>
    <w:p>
      <w:pPr>
        <w:spacing w:after="80"/>
      </w:pPr>
      <w:r>
        <w:t xml:space="preserve">  instrumentos), 51.917 acciones corporativas y 8.322 filas de calidad, con 601</w:t>
      </w:r>
    </w:p>
    <w:p>
      <w:pPr>
        <w:spacing w:after="80"/>
      </w:pPr>
      <w:r>
        <w:t xml:space="preserve">  filas de fetch auditadas en el log.</w:t>
      </w:r>
    </w:p>
    <w:p>
      <w:pPr>
        <w:pStyle w:val="ListBullet"/>
      </w:pPr>
      <w:r>
        <w:rPr>
          <w:b/>
        </w:rPr>
        <w:t>Entrada:</w:t>
      </w:r>
      <w:r>
        <w:t xml:space="preserve"> ticker + mercado/venue.</w:t>
      </w:r>
    </w:p>
    <w:p>
      <w:pPr>
        <w:pStyle w:val="ListBullet"/>
      </w:pPr>
      <w:r>
        <w:rPr>
          <w:b/>
        </w:rPr>
        <w:t>Salida:</w:t>
      </w:r>
      <w:r>
        <w:t xml:space="preserve"> filas </w:t>
      </w:r>
      <w:r>
        <w:rPr>
          <w:rFonts w:ascii="Consolas" w:hAnsi="Consolas"/>
          <w:sz w:val="18"/>
        </w:rPr>
        <w:t>market_*</w:t>
      </w:r>
      <w:r>
        <w:t xml:space="preserve"> (precio, fecha, eventos) con su log de fetch.</w:t>
      </w:r>
    </w:p>
    <w:p>
      <w:pPr>
        <w:pStyle w:val="ListBullet"/>
      </w:pPr>
      <w:r>
        <w:rPr>
          <w:b/>
        </w:rPr>
        <w:t>Cómo funciona:</w:t>
      </w:r>
      <w:r>
        <w:t xml:space="preserve"> jobs de fetch con actualización incremental; orden de</w:t>
      </w:r>
    </w:p>
    <w:p>
      <w:pPr>
        <w:spacing w:after="80"/>
      </w:pPr>
      <w:r>
        <w:t xml:space="preserve">  migraciones </w:t>
      </w:r>
      <w:r>
        <w:rPr>
          <w:b/>
        </w:rPr>
        <w:t>F-051</w:t>
      </w:r>
      <w:r>
        <w:t xml:space="preserve">: </w:t>
      </w:r>
      <w:r>
        <w:rPr>
          <w:rFonts w:ascii="Consolas" w:hAnsi="Consolas"/>
          <w:sz w:val="18"/>
        </w:rPr>
        <w:t>m19_apply_schema</w:t>
      </w:r>
      <w:r>
        <w:t xml:space="preserve"> antes que </w:t>
      </w:r>
      <w:r>
        <w:rPr>
          <w:rFonts w:ascii="Consolas" w:hAnsi="Consolas"/>
          <w:sz w:val="18"/>
        </w:rPr>
        <w:t>s00_smoke</w:t>
      </w:r>
      <w:r>
        <w:t>, o las tablas se</w:t>
      </w:r>
    </w:p>
    <w:p>
      <w:pPr>
        <w:spacing w:after="80"/>
      </w:pPr>
      <w:r>
        <w:t xml:space="preserve">  omiten en silencio.</w:t>
      </w:r>
    </w:p>
    <w:p>
      <w:pPr>
        <w:pStyle w:val="ListBullet"/>
      </w:pPr>
      <w:r>
        <w:rPr>
          <w:b/>
        </w:rPr>
        <w:t>Validaciones:</w:t>
      </w:r>
      <w:r>
        <w:t xml:space="preserve"> filas cronológicamente coherentes, sin huecos bruscos, calidad</w:t>
      </w:r>
    </w:p>
    <w:p>
      <w:pPr>
        <w:spacing w:after="80"/>
      </w:pPr>
      <w:r>
        <w:t xml:space="preserve">  de datos (8.322 filas).</w:t>
      </w:r>
    </w:p>
    <w:p>
      <w:pPr>
        <w:pStyle w:val="ListBullet"/>
      </w:pPr>
      <w:r>
        <w:rPr>
          <w:b/>
        </w:rPr>
        <w:t>DoD:</w:t>
      </w:r>
      <w:r>
        <w:t xml:space="preserve"> series completas para el universo de instrumentos, con log de fetch y</w:t>
      </w:r>
    </w:p>
    <w:p>
      <w:pPr>
        <w:spacing w:after="80"/>
      </w:pPr>
      <w:r>
        <w:t xml:space="preserve">  calidad registrada.</w:t>
      </w:r>
    </w:p>
    <w:p>
      <w:pPr>
        <w:pStyle w:val="Heading3"/>
      </w:pPr>
      <w:r>
        <w:t>Dependencias</w:t>
      </w:r>
    </w:p>
    <w:p>
      <w:pPr>
        <w:spacing w:after="80"/>
      </w:pPr>
      <w:r>
        <w:t>No depende de ninguna otra capa. Es el punto más externo. Depende de los</w:t>
      </w:r>
    </w:p>
    <w:p>
      <w:pPr>
        <w:spacing w:after="80"/>
      </w:pPr>
      <w:r>
        <w:t>proveedores (disponibilidad de la SEC, la CNV y el feed de mercado).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t>Rate limits / bloqueo por User-Agent (SEC).</w:t>
      </w:r>
    </w:p>
    <w:p>
      <w:pPr>
        <w:pStyle w:val="ListBullet"/>
      </w:pPr>
      <w:r>
        <w:t>Cambios de URL o formato de página (CNV 2018–2019).</w:t>
      </w:r>
    </w:p>
    <w:p>
      <w:pPr>
        <w:pStyle w:val="ListBullet"/>
      </w:pPr>
      <w:r>
        <w:t>Documentos que existen pero no descargan (permisos, JS).</w:t>
      </w:r>
    </w:p>
    <w:p>
      <w:pPr>
        <w:pStyle w:val="ListBullet"/>
      </w:pPr>
      <w:r>
        <w:t>Duplicados por re-pull: mitigar con hash + dedup por (proveedor, documento).</w:t>
      </w:r>
    </w:p>
    <w:p>
      <w:pPr>
        <w:pStyle w:val="ListBullet"/>
      </w:pPr>
      <w:r>
        <w:t>Interrupciones: el ledger de ingesta debe poder reanudar (idempotencia de</w:t>
      </w:r>
    </w:p>
    <w:p>
      <w:pPr>
        <w:spacing w:after="80"/>
      </w:pPr>
      <w:r>
        <w:t xml:space="preserve">  fetch). [HOY: el tramo B CNV descarta en silencio — defecto </w:t>
      </w:r>
      <w:r>
        <w:rPr>
          <w:rFonts w:ascii="Consolas" w:hAnsi="Consolas"/>
          <w:sz w:val="18"/>
        </w:rPr>
        <w:t>L-6</w:t>
      </w:r>
      <w:r>
        <w:t>.]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La capa FUENTES está terminada cuando: **todo el universo declarado de documentos</w:t>
      </w:r>
    </w:p>
    <w:p>
      <w:pPr>
        <w:spacing w:after="80"/>
      </w:pPr>
      <w:r>
        <w:t>y series (SEC, CNV, Market) está descargado, íntegro (verificado por hash), con su</w:t>
      </w:r>
    </w:p>
    <w:p>
      <w:pPr>
        <w:spacing w:after="80"/>
      </w:pPr>
      <w:r>
        <w:t>metadato de ingesta registrado y reproducible con un solo comando, sin duplicados y</w:t>
      </w:r>
    </w:p>
    <w:p>
      <w:pPr>
        <w:spacing w:after="80"/>
      </w:pPr>
      <w:r>
        <w:t>sin descartes silenciosos.** [HOY: no se cumple — falta el tramo C CNV y el</w:t>
      </w:r>
    </w:p>
    <w:p>
      <w:pPr>
        <w:spacing w:after="80"/>
      </w:pPr>
      <w:r>
        <w:rPr>
          <w:rFonts w:ascii="Consolas" w:hAnsi="Consolas"/>
          <w:sz w:val="18"/>
        </w:rPr>
        <w:t>hash_cnv</w:t>
      </w:r>
      <w:r>
        <w:t xml:space="preserve"> (</w:t>
      </w:r>
      <w:r>
        <w:rPr>
          <w:rFonts w:ascii="Consolas" w:hAnsi="Consolas"/>
          <w:sz w:val="18"/>
        </w:rPr>
        <w:t>SG-02</w:t>
      </w:r>
      <w:r>
        <w:t>).]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>Le da a IDENTIDAD y RAW la evidencia para decir: *"qué documento de qué entidad</w:t>
      </w:r>
    </w:p>
    <w:p>
      <w:pPr>
        <w:spacing w:after="80"/>
      </w:pPr>
      <w:r>
        <w:t>corresponde a qué período"*.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IDENTIDAD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Determinar </w:t>
      </w:r>
      <w:r>
        <w:rPr>
          <w:b/>
        </w:rPr>
        <w:t>inequívocamente qué entidad económica e instrumento</w:t>
      </w:r>
      <w:r>
        <w:t xml:space="preserve"> se está</w:t>
      </w:r>
    </w:p>
    <w:p>
      <w:pPr>
        <w:spacing w:after="80"/>
      </w:pPr>
      <w:r>
        <w:t>procesando, antes de interpretar cualquier dato.</w:t>
      </w:r>
    </w:p>
    <w:p>
      <w:pPr>
        <w:pStyle w:val="Heading3"/>
      </w:pPr>
      <w:r>
        <w:t>¿Qué es?</w:t>
      </w:r>
    </w:p>
    <w:p>
      <w:pPr>
        <w:spacing w:after="80"/>
      </w:pPr>
      <w:r>
        <w:t>Un diccionario de entidades (empresas) e instrumentos (tickers/ISIN) con</w:t>
      </w:r>
    </w:p>
    <w:p>
      <w:pPr>
        <w:spacing w:after="80"/>
      </w:pPr>
      <w:r>
        <w:t>identificadores canónicos vinculados a los proveedores (CIK para SEC, CUIT para</w:t>
      </w:r>
    </w:p>
    <w:p>
      <w:pPr>
        <w:spacing w:after="80"/>
      </w:pPr>
      <w:r>
        <w:t>CNV, ticker/ISIN para mercado) y a un ID interno (</w:t>
      </w:r>
      <w:r>
        <w:rPr>
          <w:rFonts w:ascii="Consolas" w:hAnsi="Consolas"/>
          <w:sz w:val="18"/>
        </w:rPr>
        <w:t>entity_id</w:t>
      </w:r>
      <w:r>
        <w:t>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del </w:t>
      </w:r>
      <w:r>
        <w:rPr>
          <w:b/>
        </w:rPr>
        <w:t>homónimo y del alias</w:t>
      </w:r>
      <w:r>
        <w:t>: una misma compañía aparece como</w:t>
      </w:r>
    </w:p>
    <w:p>
      <w:pPr>
        <w:spacing w:after="80"/>
      </w:pPr>
      <w:r>
        <w:t>"MetroGas", "METROGAS S.A.", "Metrogas", con CUIT X; otra figura con CJK distinto.</w:t>
      </w:r>
    </w:p>
    <w:p>
      <w:pPr>
        <w:spacing w:after="80"/>
      </w:pPr>
      <w:r>
        <w:t>Si la identidad no se resuelve antes, mezclamos empresas o duplicamos datos.</w:t>
      </w:r>
    </w:p>
    <w:p>
      <w:pPr>
        <w:pStyle w:val="Heading3"/>
      </w:pPr>
      <w:r>
        <w:t>¿Cómo funciona?</w:t>
      </w:r>
    </w:p>
    <w:p>
      <w:pPr>
        <w:spacing w:after="80"/>
      </w:pPr>
      <w:r>
        <w:t>Construcción de registros de identidad con reglas de matching y **normalización</w:t>
      </w:r>
    </w:p>
    <w:p>
      <w:pPr>
        <w:spacing w:after="80"/>
      </w:pPr>
      <w:r>
        <w:t>del nombre legal** (reglas de lenguaje aplicadas al nombre declarado por CADA</w:t>
      </w:r>
    </w:p>
    <w:p>
      <w:pPr>
        <w:spacing w:after="80"/>
      </w:pPr>
      <w:r>
        <w:t>fuente), consolidación de alias y validación por humano o por regla de</w:t>
      </w:r>
    </w:p>
    <w:p>
      <w:pPr>
        <w:spacing w:after="80"/>
      </w:pPr>
      <w:r>
        <w:t>autoridad (</w:t>
      </w:r>
      <w:r>
        <w:rPr>
          <w:rFonts w:ascii="Consolas" w:hAnsi="Consolas"/>
          <w:sz w:val="18"/>
        </w:rPr>
        <w:t>is_authoritative</w:t>
      </w:r>
      <w:r>
        <w:t>).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(wild card por fuente) → candidatos → matching (CIK/CUIT, nombre, ticker) → unificación → entity_id canónico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CIK / CUIT</w:t>
      </w:r>
    </w:p>
    <w:p>
      <w:pPr>
        <w:pStyle w:val="ListBullet"/>
      </w:pPr>
      <w:r>
        <w:rPr>
          <w:b/>
        </w:rPr>
        <w:t>Qué es:</w:t>
      </w:r>
      <w:r>
        <w:t xml:space="preserve"> CIK — identificador de la SEC (nueve o diez dígitos). CUIT — clave</w:t>
      </w:r>
    </w:p>
    <w:p>
      <w:pPr>
        <w:spacing w:after="80"/>
      </w:pPr>
      <w:r>
        <w:t xml:space="preserve">  única de Argentina (11 dígitos). Ambos son </w:t>
      </w:r>
      <w:r>
        <w:rPr>
          <w:b/>
        </w:rPr>
        <w:t>identificadores de proveedor</w:t>
      </w:r>
      <w:r>
        <w:t>, no</w:t>
      </w:r>
    </w:p>
    <w:p>
      <w:pPr>
        <w:spacing w:after="80"/>
      </w:pPr>
      <w:r>
        <w:t xml:space="preserve">  la identidad canónica.</w:t>
      </w:r>
    </w:p>
    <w:p>
      <w:pPr>
        <w:pStyle w:val="ListBullet"/>
      </w:pPr>
      <w:r>
        <w:rPr>
          <w:b/>
        </w:rPr>
        <w:t>Qué hace:</w:t>
      </w:r>
      <w:r>
        <w:t xml:space="preserve"> vincular la aparición del emisor en la fuente.</w:t>
      </w:r>
    </w:p>
    <w:p>
      <w:pPr>
        <w:pStyle w:val="ListBullet"/>
      </w:pPr>
      <w:r>
        <w:rPr>
          <w:b/>
        </w:rPr>
        <w:t>Entrada:</w:t>
      </w:r>
      <w:r>
        <w:t xml:space="preserve"> el documento/serie que llega de la fuente.</w:t>
      </w:r>
    </w:p>
    <w:p>
      <w:pPr>
        <w:pStyle w:val="ListBullet"/>
      </w:pPr>
      <w:r>
        <w:rPr>
          <w:b/>
        </w:rPr>
        <w:t>Salida:</w:t>
      </w:r>
      <w:r>
        <w:t xml:space="preserve"> una entrada de identidad (</w:t>
      </w:r>
      <w:r>
        <w:rPr>
          <w:rFonts w:ascii="Consolas" w:hAnsi="Consolas"/>
          <w:sz w:val="18"/>
        </w:rPr>
        <w:t>entity_id</w:t>
      </w:r>
      <w:r>
        <w:t xml:space="preserve"> + </w:t>
      </w:r>
      <w:r>
        <w:rPr>
          <w:rFonts w:ascii="Consolas" w:hAnsi="Consolas"/>
          <w:sz w:val="18"/>
        </w:rPr>
        <w:t>identifiers</w:t>
      </w:r>
      <w:r>
        <w:t xml:space="preserve"> con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CIK:</w:t>
      </w:r>
      <w:r>
        <w:t>/</w:t>
      </w:r>
      <w:r>
        <w:rPr>
          <w:rFonts w:ascii="Consolas" w:hAnsi="Consolas"/>
          <w:sz w:val="18"/>
        </w:rPr>
        <w:t>CUIT:</w:t>
      </w:r>
      <w:r>
        <w:t>).</w:t>
      </w:r>
    </w:p>
    <w:p>
      <w:pPr>
        <w:pStyle w:val="ListBullet"/>
      </w:pPr>
      <w:r>
        <w:rPr>
          <w:b/>
        </w:rPr>
        <w:t>Cómo funciona:</w:t>
      </w:r>
      <w:r>
        <w:t xml:space="preserve"> backfill por CIK (S01) y asignación de CUIT en CNV. Guardado</w:t>
      </w:r>
    </w:p>
    <w:p>
      <w:pPr>
        <w:spacing w:after="80"/>
      </w:pPr>
      <w:r>
        <w:t xml:space="preserve">  de la TUPLA fuente→ID.</w:t>
      </w:r>
    </w:p>
    <w:p>
      <w:pPr>
        <w:pStyle w:val="ListBullet"/>
      </w:pPr>
      <w:r>
        <w:rPr>
          <w:b/>
        </w:rPr>
        <w:t>Validaciones:</w:t>
      </w:r>
      <w:r>
        <w:t xml:space="preserve"> unicidad del par (fuente, identificador), formato del número.</w:t>
      </w:r>
    </w:p>
    <w:p>
      <w:pPr>
        <w:pStyle w:val="ListBullet"/>
      </w:pPr>
      <w:r>
        <w:rPr>
          <w:b/>
        </w:rPr>
        <w:t>DoD:</w:t>
      </w:r>
      <w:r>
        <w:t xml:space="preserve"> todo documento entrante tiene su identidad de proveedor resuelta.</w:t>
      </w:r>
    </w:p>
    <w:p>
      <w:pPr>
        <w:pStyle w:val="Heading3"/>
      </w:pPr>
      <w:r>
        <w:t>ENTITY</w:t>
      </w:r>
    </w:p>
    <w:p>
      <w:pPr>
        <w:pStyle w:val="ListBullet"/>
      </w:pPr>
      <w:r>
        <w:rPr>
          <w:b/>
        </w:rPr>
        <w:t>Qué es:</w:t>
      </w:r>
      <w:r>
        <w:t xml:space="preserve"> la entidad económica canónica (la empresa, no el papel).</w:t>
      </w:r>
    </w:p>
    <w:p>
      <w:pPr>
        <w:pStyle w:val="ListBullet"/>
      </w:pPr>
      <w:r>
        <w:rPr>
          <w:b/>
        </w:rPr>
        <w:t>Qué hace:</w:t>
      </w:r>
      <w:r>
        <w:t xml:space="preserve"> ser el sujeto de todos los hechos económicos; unir las apariciones</w:t>
      </w:r>
    </w:p>
    <w:p>
      <w:pPr>
        <w:spacing w:after="80"/>
      </w:pPr>
      <w:r>
        <w:t xml:space="preserve">  de la empresa en las distintas fuentes.</w:t>
      </w:r>
    </w:p>
    <w:p>
      <w:pPr>
        <w:pStyle w:val="ListBullet"/>
      </w:pPr>
      <w:r>
        <w:rPr>
          <w:b/>
        </w:rPr>
        <w:t>Entrada:</w:t>
      </w:r>
      <w:r>
        <w:t xml:space="preserve"> CIK/CUIT + nombre legal declarado + ticker.</w:t>
      </w:r>
    </w:p>
    <w:p>
      <w:pPr>
        <w:pStyle w:val="ListBullet"/>
      </w:pPr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8"/>
        </w:rPr>
        <w:t>entity_id</w:t>
      </w:r>
      <w:r>
        <w:t xml:space="preserve"> canónico, nombre normalizado, perímetro, estado.</w:t>
      </w:r>
    </w:p>
    <w:p>
      <w:pPr>
        <w:pStyle w:val="ListBullet"/>
      </w:pPr>
      <w:r>
        <w:rPr>
          <w:b/>
        </w:rPr>
        <w:t>Cómo funciona:</w:t>
      </w:r>
      <w:r>
        <w:t xml:space="preserve"> el Identity Resolver consolida: reglas de matching, validación</w:t>
      </w:r>
    </w:p>
    <w:p>
      <w:pPr>
        <w:spacing w:after="80"/>
      </w:pPr>
      <w:r>
        <w:t xml:space="preserve">  y unificación (diagrama oficial "Identidad de una empresa").</w:t>
      </w:r>
    </w:p>
    <w:p>
      <w:pPr>
        <w:pStyle w:val="ListBullet"/>
      </w:pPr>
      <w:r>
        <w:rPr>
          <w:b/>
        </w:rPr>
        <w:t>Validaciones:</w:t>
      </w:r>
      <w:r>
        <w:t xml:space="preserve"> no crear duplicados; si hay homónimos, se separan por</w:t>
      </w:r>
    </w:p>
    <w:p>
      <w:pPr>
        <w:spacing w:after="80"/>
      </w:pPr>
      <w:r>
        <w:t xml:space="preserve">  país/mercado/identificadores.</w:t>
      </w:r>
    </w:p>
    <w:p>
      <w:pPr>
        <w:pStyle w:val="ListBullet"/>
      </w:pPr>
      <w:r>
        <w:rPr>
          <w:b/>
        </w:rPr>
        <w:t>DoD:</w:t>
      </w:r>
      <w:r>
        <w:t xml:space="preserve"> cada entidad tiene </w:t>
      </w:r>
      <w:r>
        <w:rPr>
          <w:rFonts w:ascii="Consolas" w:hAnsi="Consolas"/>
          <w:sz w:val="18"/>
        </w:rPr>
        <w:t>entity_id</w:t>
      </w:r>
      <w:r>
        <w:t xml:space="preserve"> único y sus identificadores de fuente.</w:t>
      </w:r>
    </w:p>
    <w:p>
      <w:pPr>
        <w:pStyle w:val="Heading3"/>
      </w:pPr>
      <w:r>
        <w:t>INSTRUMENTO</w:t>
      </w:r>
    </w:p>
    <w:p>
      <w:pPr>
        <w:pStyle w:val="ListBullet"/>
      </w:pPr>
      <w:r>
        <w:rPr>
          <w:b/>
        </w:rPr>
        <w:t>Qué es:</w:t>
      </w:r>
      <w:r>
        <w:t xml:space="preserve"> el vehículo cotizante (el papel), distinto de la empresa.</w:t>
      </w:r>
    </w:p>
    <w:p>
      <w:pPr>
        <w:pStyle w:val="ListBullet"/>
      </w:pPr>
      <w:r>
        <w:rPr>
          <w:b/>
        </w:rPr>
        <w:t>Qué hace:</w:t>
      </w:r>
      <w:r>
        <w:t xml:space="preserve"> conectar entidad con mercado: ticker (y su venue), ISIN, moneda de</w:t>
      </w:r>
    </w:p>
    <w:p>
      <w:pPr>
        <w:spacing w:after="80"/>
      </w:pPr>
      <w:r>
        <w:t xml:space="preserve">  cotización, tipo (equity, ADR).</w:t>
      </w:r>
    </w:p>
    <w:p>
      <w:pPr>
        <w:pStyle w:val="ListBullet"/>
      </w:pPr>
      <w:r>
        <w:rPr>
          <w:b/>
        </w:rPr>
        <w:t>Entrada:</w:t>
      </w:r>
      <w:r>
        <w:t xml:space="preserve"> altas desde Market (tickers) y desde SEC (el emisor).</w:t>
      </w:r>
    </w:p>
    <w:p>
      <w:pPr>
        <w:pStyle w:val="ListBullet"/>
      </w:pPr>
      <w:r>
        <w:rPr>
          <w:b/>
        </w:rPr>
        <w:t>Salida:</w:t>
      </w:r>
      <w:r>
        <w:t xml:space="preserve"> registro de instrumento con </w:t>
      </w:r>
      <w:r>
        <w:rPr>
          <w:rFonts w:ascii="Consolas" w:hAnsi="Consolas"/>
          <w:sz w:val="18"/>
        </w:rPr>
        <w:t>entity_id</w:t>
      </w:r>
      <w:r>
        <w:t xml:space="preserve"> de su emisor.</w:t>
      </w:r>
    </w:p>
    <w:p>
      <w:pPr>
        <w:pStyle w:val="ListBullet"/>
      </w:pPr>
      <w:r>
        <w:rPr>
          <w:b/>
        </w:rPr>
        <w:t>Cómo funciona:</w:t>
      </w:r>
      <w:r>
        <w:t xml:space="preserve"> dentro de la capa Market se resuelven los tickers por</w:t>
      </w:r>
    </w:p>
    <w:p>
      <w:pPr>
        <w:spacing w:after="80"/>
      </w:pPr>
      <w:r>
        <w:t xml:space="preserve">  venue/mercado. </w:t>
      </w:r>
      <w:r>
        <w:rPr>
          <w:b/>
        </w:rPr>
        <w:t>Ojo [HOY]:</w:t>
      </w:r>
      <w:r>
        <w:t xml:space="preserve"> </w:t>
      </w:r>
      <w:r>
        <w:rPr>
          <w:rFonts w:ascii="Consolas" w:hAnsi="Consolas"/>
          <w:sz w:val="18"/>
        </w:rPr>
        <w:t>market_instruments.entity_id</w:t>
      </w:r>
      <w:r>
        <w:t xml:space="preserve"> es </w:t>
      </w:r>
      <w:r>
        <w:rPr>
          <w:b/>
        </w:rPr>
        <w:t>integer legacy</w:t>
      </w:r>
    </w:p>
    <w:p>
      <w:pPr>
        <w:spacing w:after="80"/>
      </w:pPr>
      <w:r>
        <w:t xml:space="preserve">  que no respeta el esquema con namespace (</w:t>
      </w:r>
      <w:r>
        <w:rPr>
          <w:rFonts w:ascii="Consolas" w:hAnsi="Consolas"/>
          <w:sz w:val="18"/>
        </w:rPr>
        <w:t>CIK:</w:t>
      </w:r>
      <w:r>
        <w:t>/</w:t>
      </w:r>
      <w:r>
        <w:rPr>
          <w:rFonts w:ascii="Consolas" w:hAnsi="Consolas"/>
          <w:sz w:val="18"/>
        </w:rPr>
        <w:t>CUIT:</w:t>
      </w:r>
      <w:r>
        <w:t xml:space="preserve">) — </w:t>
      </w:r>
      <w:r>
        <w:rPr>
          <w:b/>
        </w:rPr>
        <w:t>SG-10</w:t>
      </w:r>
      <w:r>
        <w:t>. Los</w:t>
      </w:r>
    </w:p>
    <w:p>
      <w:pPr>
        <w:spacing w:after="80"/>
      </w:pPr>
      <w:r>
        <w:t xml:space="preserve">  instrumentos quedan vinculados al emisor solo cuando el identificador se</w:t>
      </w:r>
    </w:p>
    <w:p>
      <w:pPr>
        <w:spacing w:after="80"/>
      </w:pPr>
      <w:r>
        <w:t xml:space="preserve">  normalizó.</w:t>
      </w:r>
    </w:p>
    <w:p>
      <w:pPr>
        <w:pStyle w:val="ListBullet"/>
      </w:pPr>
      <w:r>
        <w:rPr>
          <w:b/>
        </w:rPr>
        <w:t>Validaciones:</w:t>
      </w:r>
      <w:r>
        <w:t xml:space="preserve"> un ticker→una entidad por venue; si el mismo ticker cotiza en</w:t>
      </w:r>
    </w:p>
    <w:p>
      <w:pPr>
        <w:spacing w:after="80"/>
      </w:pPr>
      <w:r>
        <w:t xml:space="preserve">  dos venues se guardan los dos instrumentos, no se pisan.</w:t>
      </w:r>
    </w:p>
    <w:p>
      <w:pPr>
        <w:pStyle w:val="ListBullet"/>
      </w:pPr>
      <w:r>
        <w:rPr>
          <w:b/>
        </w:rPr>
        <w:t>DoD:</w:t>
      </w:r>
      <w:r>
        <w:t xml:space="preserve"> todo instrumento del universo Market tiene su emisor resuelto.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FUENTES (de dónde salen los CIK/CUIT/tickers) y de MARKET (para</w:t>
      </w:r>
    </w:p>
    <w:p>
      <w:pPr>
        <w:spacing w:after="80"/>
      </w:pPr>
      <w:r>
        <w:t>instrumentos). Es prerrequisito de RAW y NORMALIZED: no se puede etiquetar un dato</w:t>
      </w:r>
    </w:p>
    <w:p>
      <w:pPr>
        <w:spacing w:after="80"/>
      </w:pPr>
      <w:r>
        <w:t>sin saber a qué entidad pertenece.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Cambio de ticker</w:t>
      </w:r>
      <w:r>
        <w:t xml:space="preserve"> (una empresa que cambia su símbolo). Regla: el ticker es un</w:t>
      </w:r>
    </w:p>
    <w:p>
      <w:pPr>
        <w:spacing w:after="80"/>
      </w:pPr>
      <w:r>
        <w:t xml:space="preserve">  </w:t>
      </w:r>
      <w:r>
        <w:rPr>
          <w:b/>
        </w:rPr>
        <w:t>alias temporal</w:t>
      </w:r>
      <w:r>
        <w:t xml:space="preserve"> del instrumento; el </w:t>
      </w:r>
      <w:r>
        <w:rPr>
          <w:rFonts w:ascii="Consolas" w:hAnsi="Consolas"/>
          <w:sz w:val="18"/>
        </w:rPr>
        <w:t>entity_id</w:t>
      </w:r>
      <w:r>
        <w:t xml:space="preserve"> no cambia. Se registra el</w:t>
      </w:r>
    </w:p>
    <w:p>
      <w:pPr>
        <w:spacing w:after="80"/>
      </w:pPr>
      <w:r>
        <w:t xml:space="preserve">  historial de tickers.</w:t>
      </w:r>
    </w:p>
    <w:p>
      <w:pPr>
        <w:pStyle w:val="ListBullet"/>
      </w:pPr>
      <w:r>
        <w:rPr>
          <w:b/>
        </w:rPr>
        <w:t>Mismatches</w:t>
      </w:r>
      <w:r>
        <w:t xml:space="preserve">: CUIT de empresa matriz vs. operativa; perímetro </w:t>
      </w:r>
      <w:r>
        <w:rPr>
          <w:rFonts w:ascii="Consolas" w:hAnsi="Consolas"/>
          <w:sz w:val="18"/>
        </w:rPr>
        <w:t>individual</w:t>
      </w:r>
      <w:r>
        <w:t xml:space="preserve"> vs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consolidado</w:t>
      </w:r>
      <w:r>
        <w:t>.</w:t>
      </w:r>
    </w:p>
    <w:p>
      <w:pPr>
        <w:pStyle w:val="ListBullet"/>
      </w:pPr>
      <w:r>
        <w:rPr>
          <w:b/>
        </w:rPr>
        <w:t>CNV</w:t>
      </w:r>
      <w:r>
        <w:t xml:space="preserve">: </w:t>
      </w:r>
      <w:r>
        <w:rPr>
          <w:rFonts w:ascii="Consolas" w:hAnsi="Consolas"/>
          <w:sz w:val="18"/>
        </w:rPr>
        <w:t>9 de 7.998</w:t>
      </w:r>
      <w:r>
        <w:t xml:space="preserve"> entidades con hechos en </w:t>
      </w:r>
      <w:r>
        <w:rPr>
          <w:rFonts w:ascii="Consolas" w:hAnsi="Consolas"/>
          <w:sz w:val="18"/>
        </w:rPr>
        <w:t>engine</w:t>
      </w:r>
      <w:r>
        <w:t xml:space="preserve"> [L-16] — la identidad</w:t>
      </w:r>
    </w:p>
    <w:p>
      <w:pPr>
        <w:spacing w:after="80"/>
      </w:pPr>
      <w:r>
        <w:t xml:space="preserve">  financiera real está distribuida; hay mucha identidad declarada sin hechos.</w:t>
      </w:r>
    </w:p>
    <w:p>
      <w:pPr>
        <w:pStyle w:val="ListBullet"/>
      </w:pPr>
      <w:r>
        <w:rPr>
          <w:b/>
        </w:rPr>
        <w:t>Falta de autoridad</w:t>
      </w:r>
      <w:r>
        <w:t>: cuando dos fuentes dicen cosas distintas, manda la</w:t>
      </w:r>
    </w:p>
    <w:p>
      <w:pPr>
        <w:spacing w:after="80"/>
      </w:pPr>
      <w:r>
        <w:t xml:space="preserve">  fuente de mayor jerarquía (principio: fuentes primarias &gt; secundarias &gt;</w:t>
      </w:r>
    </w:p>
    <w:p>
      <w:pPr>
        <w:spacing w:after="80"/>
      </w:pPr>
      <w:r>
        <w:t xml:space="preserve">  benchmarks).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"Sabemos exactamente a qué entidad e instrumento pertenece cada dato" cuando:</w:t>
      </w:r>
    </w:p>
    <w:p>
      <w:pPr>
        <w:spacing w:after="80"/>
      </w:pPr>
      <w:r>
        <w:t xml:space="preserve">toda entidad del universo tiene </w:t>
      </w:r>
      <w:r>
        <w:rPr>
          <w:rFonts w:ascii="Consolas" w:hAnsi="Consolas"/>
          <w:sz w:val="18"/>
        </w:rPr>
        <w:t>entity_id</w:t>
      </w:r>
      <w:r>
        <w:t xml:space="preserve"> canónico con identificadores de</w:t>
      </w:r>
    </w:p>
    <w:p>
      <w:pPr>
        <w:spacing w:after="80"/>
      </w:pPr>
      <w:r>
        <w:t>proveedor validados; todo instrumento tiene emisor resuelto; y no existen dos</w:t>
      </w:r>
    </w:p>
    <w:p>
      <w:pPr>
        <w:spacing w:after="80"/>
      </w:pPr>
      <w:r>
        <w:rPr>
          <w:rFonts w:ascii="Consolas" w:hAnsi="Consolas"/>
          <w:sz w:val="18"/>
        </w:rPr>
        <w:t>entity_id</w:t>
      </w:r>
      <w:r>
        <w:t xml:space="preserve"> para la misma empresa (verificable por auditoría de duplicados).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>RAW puede etiquetar cada descarga con su entidad/instrumento y, más adelante, los</w:t>
      </w:r>
    </w:p>
    <w:p>
      <w:pPr>
        <w:spacing w:after="80"/>
      </w:pPr>
      <w:r>
        <w:t>hechos económicos saben a quién pertenecen.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RAW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Preservar la </w:t>
      </w:r>
      <w:r>
        <w:rPr>
          <w:b/>
        </w:rPr>
        <w:t>evidencia original sin modificarla</w:t>
      </w:r>
      <w:r>
        <w:t>: una copia íntegra,</w:t>
      </w:r>
    </w:p>
    <w:p>
      <w:pPr>
        <w:spacing w:after="80"/>
      </w:pPr>
      <w:r>
        <w:t>versionada y reproducible de todo lo que se descargó.</w:t>
      </w:r>
    </w:p>
    <w:p>
      <w:pPr>
        <w:pStyle w:val="Heading3"/>
      </w:pPr>
      <w:r>
        <w:t>¿Qué es?</w:t>
      </w:r>
    </w:p>
    <w:p>
      <w:pPr>
        <w:spacing w:after="80"/>
      </w:pPr>
      <w:r>
        <w:t>Un almacenamiento inmutable de los archivos tal como vinieron de la fuente, con su</w:t>
      </w:r>
    </w:p>
    <w:p>
      <w:pPr>
        <w:spacing w:after="80"/>
      </w:pPr>
      <w:r>
        <w:t>hash (SHA256) y su metadato. Es la "caja fuerte" de la auditoría.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del </w:t>
      </w:r>
      <w:r>
        <w:rPr>
          <w:b/>
        </w:rPr>
        <w:t>estándar de oro de auditoría</w:t>
      </w:r>
      <w:r>
        <w:t>: si el sistema no guarda el</w:t>
      </w:r>
    </w:p>
    <w:p>
      <w:pPr>
        <w:spacing w:after="80"/>
      </w:pPr>
      <w:r>
        <w:t>original, ningún número posterior puede demostrarse contra su documento. RAW es lo</w:t>
      </w:r>
    </w:p>
    <w:p>
      <w:pPr>
        <w:spacing w:after="80"/>
      </w:pPr>
      <w:r>
        <w:t>que permite repetir un procesamiento años después con el mismo insumo y verificar</w:t>
      </w:r>
    </w:p>
    <w:p>
      <w:pPr>
        <w:spacing w:after="80"/>
      </w:pPr>
      <w:r>
        <w:t>que el resultado es el mismo (reproducibilidad).</w:t>
      </w:r>
    </w:p>
    <w:p>
      <w:pPr>
        <w:pStyle w:val="Heading3"/>
      </w:pPr>
      <w:r>
        <w:t>¿Cómo funciona?</w:t>
      </w:r>
    </w:p>
    <w:p>
      <w:pPr>
        <w:spacing w:after="80"/>
      </w:pPr>
      <w:r>
        <w:t>Solo escritura. Una vez depositado un archivo, no se edita: se versiona. La</w:t>
      </w:r>
    </w:p>
    <w:p>
      <w:pPr>
        <w:spacing w:after="80"/>
      </w:pPr>
      <w:r>
        <w:t>identidad del archivo es su hash; el metadato (</w:t>
      </w:r>
      <w:r>
        <w:rPr>
          <w:rFonts w:ascii="Consolas" w:hAnsi="Consolas"/>
          <w:sz w:val="18"/>
        </w:rPr>
        <w:t>documento</w:t>
      </w:r>
      <w:r>
        <w:t xml:space="preserve">, </w:t>
      </w:r>
      <w:r>
        <w:rPr>
          <w:rFonts w:ascii="Consolas" w:hAnsi="Consolas"/>
          <w:sz w:val="18"/>
        </w:rPr>
        <w:t>entidad</w:t>
      </w:r>
      <w:r>
        <w:t xml:space="preserve">, </w:t>
      </w:r>
      <w:r>
        <w:rPr>
          <w:rFonts w:ascii="Consolas" w:hAnsi="Consolas"/>
          <w:sz w:val="18"/>
        </w:rPr>
        <w:t>período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proveedor</w:t>
      </w:r>
      <w:r>
        <w:t>) vive en las tablas de ingesta, no dentro del archivo.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download → [hash SHA256] → store inmutable → registrar metadato (documento→hash) → [verificación de integridad]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DESCARGA</w:t>
      </w:r>
    </w:p>
    <w:p>
      <w:pPr>
        <w:pStyle w:val="ListBullet"/>
      </w:pPr>
      <w:r>
        <w:rPr>
          <w:b/>
        </w:rPr>
        <w:t>Qué es:</w:t>
      </w:r>
      <w:r>
        <w:t xml:space="preserve"> el acto de bajar (o recibir) el archivo.</w:t>
      </w:r>
    </w:p>
    <w:p>
      <w:pPr>
        <w:pStyle w:val="ListBullet"/>
      </w:pPr>
      <w:r>
        <w:rPr>
          <w:b/>
        </w:rPr>
        <w:t>Qué hace:</w:t>
      </w:r>
      <w:r>
        <w:t xml:space="preserve"> transferir + primera verificación de integridad.</w:t>
      </w:r>
    </w:p>
    <w:p>
      <w:pPr>
        <w:pStyle w:val="ListBullet"/>
      </w:pPr>
      <w:r>
        <w:rPr>
          <w:b/>
        </w:rPr>
        <w:t>Entrada:</w:t>
      </w:r>
      <w:r>
        <w:t xml:space="preserve"> URL/discovery de la fuente + identidad.</w:t>
      </w:r>
    </w:p>
    <w:p>
      <w:pPr>
        <w:pStyle w:val="ListBullet"/>
      </w:pPr>
      <w:r>
        <w:rPr>
          <w:b/>
        </w:rPr>
        <w:t>Salida:</w:t>
      </w:r>
      <w:r>
        <w:t xml:space="preserve"> archivo en disco + metadato de descarga (fecha, fuente, tamaño).</w:t>
      </w:r>
    </w:p>
    <w:p>
      <w:pPr>
        <w:pStyle w:val="ListBullet"/>
      </w:pPr>
      <w:r>
        <w:rPr>
          <w:b/>
        </w:rPr>
        <w:t>Cómo funciona:</w:t>
      </w:r>
      <w:r>
        <w:t xml:space="preserve"> por job de ingesta (S02, c3/c4 CNV, fetch de Market) con</w:t>
      </w:r>
    </w:p>
    <w:p>
      <w:pPr>
        <w:spacing w:after="80"/>
      </w:pPr>
      <w:r>
        <w:t xml:space="preserve">  reanudación e idempotencia.</w:t>
      </w:r>
    </w:p>
    <w:p>
      <w:pPr>
        <w:pStyle w:val="ListBullet"/>
      </w:pPr>
      <w:r>
        <w:rPr>
          <w:b/>
        </w:rPr>
        <w:t>Validaciones:</w:t>
      </w:r>
      <w:r>
        <w:t xml:space="preserve"> HTTP no-2xx → abort; el archivo debe existir y no estar</w:t>
      </w:r>
    </w:p>
    <w:p>
      <w:pPr>
        <w:spacing w:after="80"/>
      </w:pPr>
      <w:r>
        <w:t xml:space="preserve">  vacío.</w:t>
      </w:r>
    </w:p>
    <w:p>
      <w:pPr>
        <w:pStyle w:val="ListBullet"/>
      </w:pPr>
      <w:r>
        <w:rPr>
          <w:b/>
        </w:rPr>
        <w:t>DoD:</w:t>
      </w:r>
      <w:r>
        <w:t xml:space="preserve"> la descarga quedó registrada en el ledger y el archivo apunta a su copia</w:t>
      </w:r>
    </w:p>
    <w:p>
      <w:pPr>
        <w:spacing w:after="80"/>
      </w:pPr>
      <w:r>
        <w:t xml:space="preserve">  inmutable.</w:t>
      </w:r>
    </w:p>
    <w:p>
      <w:pPr>
        <w:pStyle w:val="Heading3"/>
      </w:pPr>
      <w:r>
        <w:t>RAW (almacenamiento)</w:t>
      </w:r>
    </w:p>
    <w:p>
      <w:pPr>
        <w:pStyle w:val="ListBullet"/>
      </w:pPr>
      <w:r>
        <w:rPr>
          <w:b/>
        </w:rPr>
        <w:t>Qué es:</w:t>
      </w:r>
      <w:r>
        <w:t xml:space="preserve"> el directorio/storage inmutable (HTML, JSON, PDF, …).</w:t>
      </w:r>
    </w:p>
    <w:p>
      <w:pPr>
        <w:pStyle w:val="ListBullet"/>
      </w:pPr>
      <w:r>
        <w:rPr>
          <w:b/>
        </w:rPr>
        <w:t>Qué hace:</w:t>
      </w:r>
      <w:r>
        <w:t xml:space="preserve"> guardar el archivo </w:t>
      </w:r>
      <w:r>
        <w:rPr>
          <w:b/>
        </w:rPr>
        <w:t>tal cual se descargó</w:t>
      </w:r>
      <w:r>
        <w:t>.</w:t>
      </w:r>
    </w:p>
    <w:p>
      <w:pPr>
        <w:pStyle w:val="ListBullet"/>
      </w:pPr>
      <w:r>
        <w:rPr>
          <w:b/>
        </w:rPr>
        <w:t>Entrada:</w:t>
      </w:r>
      <w:r>
        <w:t xml:space="preserve"> bytes originales.</w:t>
      </w:r>
    </w:p>
    <w:p>
      <w:pPr>
        <w:pStyle w:val="ListBullet"/>
      </w:pPr>
      <w:r>
        <w:rPr>
          <w:b/>
        </w:rPr>
        <w:t>Salida:</w:t>
      </w:r>
      <w:r>
        <w:t xml:space="preserve"> copia inmutable (nunca más manipulada).</w:t>
      </w:r>
    </w:p>
    <w:p>
      <w:pPr>
        <w:pStyle w:val="ListBullet"/>
      </w:pPr>
      <w:r>
        <w:rPr>
          <w:b/>
        </w:rPr>
        <w:t>Cómo funciona:</w:t>
      </w:r>
      <w:r>
        <w:t xml:space="preserve"> convención de ruta por (fuente, entidad, documento, período) y</w:t>
      </w:r>
    </w:p>
    <w:p>
      <w:pPr>
        <w:spacing w:after="80"/>
      </w:pPr>
      <w:r>
        <w:t xml:space="preserve">  hash; jamás se sobrescribe una ruta.</w:t>
      </w:r>
    </w:p>
    <w:p>
      <w:pPr>
        <w:pStyle w:val="ListBullet"/>
      </w:pPr>
      <w:r>
        <w:rPr>
          <w:b/>
        </w:rPr>
        <w:t>Validaciones:</w:t>
      </w:r>
      <w:r>
        <w:t xml:space="preserve"> si el archivo ya existe, se compara hash para decidir si es un</w:t>
      </w:r>
    </w:p>
    <w:p>
      <w:pPr>
        <w:spacing w:after="80"/>
      </w:pPr>
      <w:r>
        <w:t xml:space="preserve">  duplicado o una nueva versión.</w:t>
      </w:r>
    </w:p>
    <w:p>
      <w:pPr>
        <w:pStyle w:val="ListBullet"/>
      </w:pPr>
      <w:r>
        <w:rPr>
          <w:b/>
        </w:rPr>
        <w:t>DoD:</w:t>
      </w:r>
      <w:r>
        <w:t xml:space="preserve"> el archivo está en la ruta canónica con su hash.</w:t>
      </w:r>
    </w:p>
    <w:p>
      <w:pPr>
        <w:pStyle w:val="Heading3"/>
      </w:pPr>
      <w:r>
        <w:t>SHA256</w:t>
      </w:r>
    </w:p>
    <w:p>
      <w:pPr>
        <w:pStyle w:val="ListBullet"/>
      </w:pPr>
      <w:r>
        <w:rPr>
          <w:b/>
        </w:rPr>
        <w:t>Qué es:</w:t>
      </w:r>
      <w:r>
        <w:t xml:space="preserve"> la huella digital del archivo.</w:t>
      </w:r>
    </w:p>
    <w:p>
      <w:pPr>
        <w:pStyle w:val="ListBullet"/>
      </w:pPr>
      <w:r>
        <w:rPr>
          <w:b/>
        </w:rPr>
        <w:t>Qué hace:</w:t>
      </w:r>
      <w:r>
        <w:t xml:space="preserve"> dar identidad e integridad: dos descargas del mismo archivo dan el</w:t>
      </w:r>
    </w:p>
    <w:p>
      <w:pPr>
        <w:spacing w:after="80"/>
      </w:pPr>
      <w:r>
        <w:t xml:space="preserve">  mismo hash; un byte cambiado, otro hash.</w:t>
      </w:r>
    </w:p>
    <w:p>
      <w:pPr>
        <w:pStyle w:val="ListBullet"/>
      </w:pPr>
      <w:r>
        <w:rPr>
          <w:b/>
        </w:rPr>
        <w:t>Entrada:</w:t>
      </w:r>
      <w:r>
        <w:t xml:space="preserve"> bytes del archivo.</w:t>
      </w:r>
    </w:p>
    <w:p>
      <w:pPr>
        <w:pStyle w:val="ListBullet"/>
      </w:pPr>
      <w:r>
        <w:rPr>
          <w:b/>
        </w:rPr>
        <w:t>Salida:</w:t>
      </w:r>
      <w:r>
        <w:t xml:space="preserve"> hash de 64 caracteres registrado junto al metadato.</w:t>
      </w:r>
    </w:p>
    <w:p>
      <w:pPr>
        <w:pStyle w:val="ListBullet"/>
      </w:pPr>
      <w:r>
        <w:rPr>
          <w:b/>
        </w:rPr>
        <w:t>Cómo funciona:</w:t>
      </w:r>
      <w:r>
        <w:t xml:space="preserve"> cálculo local tras la descarga y verificación (re-hash) en la</w:t>
      </w:r>
    </w:p>
    <w:p>
      <w:pPr>
        <w:spacing w:after="80"/>
      </w:pPr>
      <w:r>
        <w:t xml:space="preserve">  lectura.</w:t>
      </w:r>
    </w:p>
    <w:p>
      <w:pPr>
        <w:pStyle w:val="ListBullet"/>
      </w:pPr>
      <w:r>
        <w:rPr>
          <w:b/>
        </w:rPr>
        <w:t>Validaciones:</w:t>
      </w:r>
      <w:r>
        <w:t xml:space="preserve"> hash coincide al descargar; el re-hash al procesar coincide con</w:t>
      </w:r>
    </w:p>
    <w:p>
      <w:pPr>
        <w:spacing w:after="80"/>
      </w:pPr>
      <w:r>
        <w:t xml:space="preserve">  el registrado.</w:t>
      </w:r>
    </w:p>
    <w:p>
      <w:pPr>
        <w:pStyle w:val="ListBullet"/>
      </w:pPr>
      <w:r>
        <w:rPr>
          <w:b/>
        </w:rPr>
        <w:t>DoD:</w:t>
      </w:r>
      <w:r>
        <w:t xml:space="preserve"> el hash registrado es verificado de nuevo en cada relectura.</w:t>
      </w:r>
    </w:p>
    <w:p>
      <w:pPr>
        <w:pStyle w:val="Heading3"/>
      </w:pPr>
      <w:r>
        <w:t>Versionado y duplicados</w:t>
      </w:r>
    </w:p>
    <w:p>
      <w:pPr>
        <w:pStyle w:val="ListBullet"/>
      </w:pPr>
      <w:r>
        <w:rPr>
          <w:b/>
        </w:rPr>
        <w:t>Qué es:</w:t>
      </w:r>
      <w:r>
        <w:t xml:space="preserve"> el manejo deliberado de "mismo documento, dos veces" (re-pull) y de</w:t>
      </w:r>
    </w:p>
    <w:p>
      <w:pPr>
        <w:spacing w:after="80"/>
      </w:pPr>
      <w:r>
        <w:t xml:space="preserve">  "documento corregido".</w:t>
      </w:r>
    </w:p>
    <w:p>
      <w:pPr>
        <w:pStyle w:val="ListBullet"/>
      </w:pPr>
      <w:r>
        <w:rPr>
          <w:b/>
        </w:rPr>
        <w:t>Qué hace:</w:t>
      </w:r>
      <w:r>
        <w:t xml:space="preserve"> si el archivo ya existe con el mismo hash → se ignora (dedup); si</w:t>
      </w:r>
    </w:p>
    <w:p>
      <w:pPr>
        <w:spacing w:after="80"/>
      </w:pPr>
      <w:r>
        <w:t xml:space="preserve">  tiene hash distinto → se registra como nueva versión con su propio hash, **sin</w:t>
      </w:r>
    </w:p>
    <w:p>
      <w:pPr>
        <w:spacing w:after="80"/>
      </w:pPr>
      <w:r>
        <w:t xml:space="preserve">  pisar la anterior**.</w:t>
      </w:r>
    </w:p>
    <w:p>
      <w:pPr>
        <w:pStyle w:val="ListBullet"/>
      </w:pPr>
      <w:r>
        <w:rPr>
          <w:b/>
        </w:rPr>
        <w:t>DoD:</w:t>
      </w:r>
      <w:r>
        <w:t xml:space="preserve"> el histórico de versiones es íntegro y consultable.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FUENTES (obtención) e IDENTIDAD (etiqueta el documento). No depende de</w:t>
      </w:r>
    </w:p>
    <w:p>
      <w:pPr>
        <w:spacing w:after="80"/>
      </w:pPr>
      <w:r>
        <w:t>PARSED: RAW existe aunque nadie lo parsea todavía.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CNV [HOY]:</w:t>
      </w:r>
      <w:r>
        <w:t xml:space="preserve"> el tramo legacy no calcula ni registra </w:t>
      </w:r>
      <w:r>
        <w:rPr>
          <w:rFonts w:ascii="Consolas" w:hAnsi="Consolas"/>
          <w:sz w:val="18"/>
        </w:rPr>
        <w:t>hash_cnv</w:t>
      </w:r>
      <w:r>
        <w:t xml:space="preserve"> (</w:t>
      </w:r>
      <w:r>
        <w:rPr>
          <w:rFonts w:ascii="Consolas" w:hAnsi="Consolas"/>
          <w:sz w:val="18"/>
        </w:rPr>
        <w:t>SG-02</w:t>
      </w:r>
      <w:r>
        <w:t xml:space="preserve"> en</w:t>
      </w:r>
    </w:p>
    <w:p>
      <w:pPr>
        <w:spacing w:after="80"/>
      </w:pPr>
      <w:r>
        <w:t xml:space="preserve">  4.005/4.005). Es el hueco más grave de integridad de todo el sistema: los</w:t>
      </w:r>
    </w:p>
    <w:p>
      <w:pPr>
        <w:spacing w:after="80"/>
      </w:pPr>
      <w:r>
        <w:t xml:space="preserve">  archivos que en teoría alimentan </w:t>
      </w:r>
      <w:r>
        <w:rPr>
          <w:rFonts w:ascii="Consolas" w:hAnsi="Consolas"/>
          <w:sz w:val="18"/>
        </w:rPr>
        <w:t>parsed.facts</w:t>
      </w:r>
      <w:r>
        <w:t xml:space="preserve"> no tienen huella verificable.</w:t>
      </w:r>
    </w:p>
    <w:p>
      <w:pPr>
        <w:pStyle w:val="ListBullet"/>
      </w:pPr>
      <w:r>
        <w:rPr>
          <w:b/>
        </w:rPr>
        <w:t>Archivos gigantes</w:t>
      </w:r>
      <w:r>
        <w:t xml:space="preserve"> (ZIP completos de EDGAR): hash incremental (streaming).</w:t>
      </w:r>
    </w:p>
    <w:p>
      <w:pPr>
        <w:pStyle w:val="ListBullet"/>
      </w:pPr>
      <w:r>
        <w:rPr>
          <w:b/>
        </w:rPr>
        <w:t>Codificación/encoding</w:t>
      </w:r>
      <w:r>
        <w:t xml:space="preserve"> raro en HTML CNV: montar a utf-8-normalizado con</w:t>
      </w:r>
    </w:p>
    <w:p>
      <w:pPr>
        <w:spacing w:after="80"/>
      </w:pPr>
      <w:r>
        <w:t xml:space="preserve">  warning, jamás reescribir el RAW.</w:t>
      </w:r>
    </w:p>
    <w:p>
      <w:pPr>
        <w:pStyle w:val="ListBullet"/>
      </w:pPr>
      <w:r>
        <w:rPr>
          <w:b/>
        </w:rPr>
        <w:t>Duplicados de re-pull:</w:t>
      </w:r>
      <w:r>
        <w:t xml:space="preserve"> resolver por hash, no por nombre de archivo.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"Tenemos una copia íntegra y reproducible de la evidencia original" cuando: **todo</w:t>
      </w:r>
    </w:p>
    <w:p>
      <w:pPr>
        <w:spacing w:after="80"/>
      </w:pPr>
      <w:r>
        <w:t>documento declarado en FUENTES está en RAW con SHA256 registrado y verificado, y</w:t>
      </w:r>
    </w:p>
    <w:p>
      <w:pPr>
        <w:spacing w:after="80"/>
      </w:pPr>
      <w:r>
        <w:t>un reprocesamiento de la fuente cae sobre los mismos archivos (mismos hashes) sin</w:t>
      </w:r>
    </w:p>
    <w:p>
      <w:pPr>
        <w:spacing w:after="80"/>
      </w:pPr>
      <w:r>
        <w:t xml:space="preserve">crear duplicados.** [HOY: no se cumple en CNV por </w:t>
      </w:r>
      <w:r>
        <w:rPr>
          <w:rFonts w:ascii="Consolas" w:hAnsi="Consolas"/>
          <w:sz w:val="18"/>
        </w:rPr>
        <w:t>SG-02</w:t>
      </w:r>
      <w:r>
        <w:t>.]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PARSED el insumo </w:t>
      </w:r>
      <w:r>
        <w:rPr>
          <w:b/>
        </w:rPr>
        <w:t>verificado</w:t>
      </w:r>
      <w:r>
        <w:t>: el parser puede citar "procesé el archivo</w:t>
      </w:r>
    </w:p>
    <w:p>
      <w:pPr>
        <w:spacing w:after="80"/>
      </w:pPr>
      <w:r>
        <w:t>X (hash Y)".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PARSED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Transformar documentos RAW en </w:t>
      </w:r>
      <w:r>
        <w:rPr>
          <w:b/>
        </w:rPr>
        <w:t>estructuras procesables por software</w:t>
      </w:r>
      <w:r>
        <w:t xml:space="preserve"> (datos</w:t>
      </w:r>
    </w:p>
    <w:p>
      <w:pPr>
        <w:spacing w:after="80"/>
      </w:pPr>
      <w:r>
        <w:t>extraídos), sin interpretarlos económicamente todavía.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"rompe" el documento: convierte el XBRL/HTML/JSON en </w:t>
      </w:r>
      <w:r>
        <w:rPr>
          <w:b/>
        </w:rPr>
        <w:t>facts</w:t>
      </w:r>
      <w:r>
        <w:t xml:space="preserve"> con su</w:t>
      </w:r>
    </w:p>
    <w:p>
      <w:pPr>
        <w:spacing w:after="80"/>
      </w:pPr>
      <w:r>
        <w:t xml:space="preserve">contexto y su unidad, y los guarda en </w:t>
      </w:r>
      <w:r>
        <w:rPr>
          <w:rFonts w:ascii="Consolas" w:hAnsi="Consolas"/>
          <w:sz w:val="18"/>
        </w:rPr>
        <w:t>parsed.facts</w:t>
      </w:r>
      <w:r>
        <w:t xml:space="preserve"> manteniendo la estructura de</w:t>
      </w:r>
    </w:p>
    <w:p>
      <w:pPr>
        <w:spacing w:after="80"/>
      </w:pPr>
      <w:r>
        <w:t>origen.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 la </w:t>
      </w:r>
      <w:r>
        <w:rPr>
          <w:b/>
        </w:rPr>
        <w:t>heterogeneidad bruta</w:t>
      </w:r>
      <w:r>
        <w:t>: los datos crudos no se pueden ofrecer</w:t>
      </w:r>
    </w:p>
    <w:p>
      <w:pPr>
        <w:spacing w:after="80"/>
      </w:pPr>
      <w:r>
        <w:t>tal cual; hay que extraerlos y estructurarlos para que las capas siguientes los</w:t>
      </w:r>
    </w:p>
    <w:p>
      <w:pPr>
        <w:spacing w:after="80"/>
      </w:pPr>
      <w:r>
        <w:t xml:space="preserve">consuman. PARSED separa el </w:t>
      </w:r>
      <w:r>
        <w:rPr>
          <w:i/>
        </w:rPr>
        <w:t>"qué dijo el documento"</w:t>
      </w:r>
      <w:r>
        <w:t xml:space="preserve"> del </w:t>
      </w:r>
      <w:r>
        <w:rPr>
          <w:i/>
        </w:rPr>
        <w:t>"qué significa"</w:t>
      </w:r>
      <w:r>
        <w:t>.</w:t>
      </w:r>
    </w:p>
    <w:p>
      <w:pPr>
        <w:pStyle w:val="Heading3"/>
      </w:pPr>
      <w:r>
        <w:t>¿Cómo funciona?</w:t>
      </w:r>
    </w:p>
    <w:p>
      <w:pPr>
        <w:spacing w:after="80"/>
      </w:pPr>
      <w:r>
        <w:t>Interpretación sintáctica (no semántica por línea de documento): línea</w:t>
      </w:r>
    </w:p>
    <w:p>
      <w:pPr>
        <w:pStyle w:val="CodeBlock"/>
        <w:spacing w:after="100"/>
        <w:ind w:left="288"/>
      </w:pPr>
      <w:r>
        <w:t>documento RAW → taxonomía → [fact, context, unit] → parsed.facts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RAW (con hash) → validación de formato → extracción → conformar facts → guardar en parsed.facts (idempotente)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FACTS</w:t>
      </w:r>
    </w:p>
    <w:p>
      <w:pPr>
        <w:pStyle w:val="ListBullet"/>
      </w:pPr>
      <w:r>
        <w:rPr>
          <w:b/>
        </w:rPr>
        <w:t>Qué es:</w:t>
      </w:r>
      <w:r>
        <w:t xml:space="preserve"> cada dato concreto declarado en el documento (un valor con su</w:t>
      </w:r>
    </w:p>
    <w:p>
      <w:pPr>
        <w:spacing w:after="80"/>
      </w:pPr>
      <w:r>
        <w:t xml:space="preserve">  concepto).</w:t>
      </w:r>
    </w:p>
    <w:p>
      <w:pPr>
        <w:pStyle w:val="ListBullet"/>
      </w:pPr>
      <w:r>
        <w:rPr>
          <w:b/>
        </w:rPr>
        <w:t>Qué representa:</w:t>
      </w:r>
      <w:r>
        <w:t xml:space="preserve"> una ocurrencia: "la Revenue del período 2024 fue 45.754</w:t>
      </w:r>
    </w:p>
    <w:p>
      <w:pPr>
        <w:spacing w:after="80"/>
      </w:pPr>
      <w:r>
        <w:t xml:space="preserve">  millones USD".</w:t>
      </w:r>
    </w:p>
    <w:p>
      <w:pPr>
        <w:pStyle w:val="ListBullet"/>
      </w:pPr>
      <w:r>
        <w:rPr>
          <w:b/>
        </w:rPr>
        <w:t>Entrada:</w:t>
      </w:r>
      <w:r>
        <w:t xml:space="preserve"> el dato del documento (para XBRL: el </w:t>
      </w:r>
      <w:r>
        <w:rPr>
          <w:rFonts w:ascii="Consolas" w:hAnsi="Consolas"/>
          <w:sz w:val="18"/>
        </w:rPr>
        <w:t>&lt;fact&gt;</w:t>
      </w:r>
      <w:r>
        <w:t>).</w:t>
      </w:r>
    </w:p>
    <w:p>
      <w:pPr>
        <w:pStyle w:val="ListBullet"/>
      </w:pPr>
      <w:r>
        <w:rPr>
          <w:b/>
        </w:rPr>
        <w:t>Salida:</w:t>
      </w:r>
      <w:r>
        <w:t xml:space="preserve"> fila en </w:t>
      </w:r>
      <w:r>
        <w:rPr>
          <w:rFonts w:ascii="Consolas" w:hAnsi="Consolas"/>
          <w:sz w:val="18"/>
        </w:rPr>
        <w:t>parsed.facts</w:t>
      </w:r>
      <w:r>
        <w:t>.</w:t>
      </w:r>
    </w:p>
    <w:p>
      <w:pPr>
        <w:pStyle w:val="ListBullet"/>
      </w:pPr>
      <w:r>
        <w:rPr>
          <w:b/>
        </w:rPr>
        <w:t>Cómo funciona:</w:t>
      </w:r>
      <w:r>
        <w:t xml:space="preserve"> el parser lee el documento y materializa cada hecho con su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fact_key</w:t>
      </w:r>
      <w:r>
        <w:t xml:space="preserve">. Tipos reportados por CNV: unidades reales como </w:t>
      </w:r>
      <w:r>
        <w:rPr>
          <w:rFonts w:ascii="Consolas" w:hAnsi="Consolas"/>
          <w:sz w:val="18"/>
        </w:rPr>
        <w:t>ars@1e6</w:t>
      </w:r>
      <w:r>
        <w:t xml:space="preserve"> (1.120),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ars@1e3</w:t>
      </w:r>
      <w:r>
        <w:t xml:space="preserve"> (915), </w:t>
      </w:r>
      <w:r>
        <w:rPr>
          <w:rFonts w:ascii="Consolas" w:hAnsi="Consolas"/>
          <w:sz w:val="18"/>
        </w:rPr>
        <w:t>pure</w:t>
      </w:r>
      <w:r>
        <w:t xml:space="preserve"> (576), </w:t>
      </w:r>
      <w:r>
        <w:rPr>
          <w:rFonts w:ascii="Consolas" w:hAnsi="Consolas"/>
          <w:sz w:val="18"/>
        </w:rPr>
        <w:t>ars-por-accion</w:t>
      </w:r>
      <w:r>
        <w:t xml:space="preserve"> (111), </w:t>
      </w:r>
      <w:r>
        <w:rPr>
          <w:rFonts w:ascii="Consolas" w:hAnsi="Consolas"/>
          <w:sz w:val="18"/>
        </w:rPr>
        <w:t>ars@1e0</w:t>
      </w:r>
      <w:r>
        <w:t xml:space="preserve"> (73).</w:t>
      </w:r>
    </w:p>
    <w:p>
      <w:pPr>
        <w:pStyle w:val="ListBullet"/>
      </w:pPr>
      <w:r>
        <w:rPr>
          <w:b/>
        </w:rPr>
        <w:t>Validaciones:</w:t>
      </w:r>
      <w:r>
        <w:t xml:space="preserve"> el fact no se pierde ni se duplica; doble pasada del parser</w:t>
      </w:r>
    </w:p>
    <w:p>
      <w:pPr>
        <w:spacing w:after="80"/>
      </w:pPr>
      <w:r>
        <w:t xml:space="preserve">  sobre el mismo documento debe dar el mismo conjunto de facts.</w:t>
      </w:r>
    </w:p>
    <w:p>
      <w:pPr>
        <w:pStyle w:val="ListBullet"/>
      </w:pPr>
      <w:r>
        <w:rPr>
          <w:b/>
        </w:rPr>
        <w:t>DoD:</w:t>
      </w:r>
      <w:r>
        <w:t xml:space="preserve"> el set de facts del documento es completo y estable frente a</w:t>
      </w:r>
    </w:p>
    <w:p>
      <w:pPr>
        <w:spacing w:after="80"/>
      </w:pPr>
      <w:r>
        <w:t xml:space="preserve">  re-ejecución (idempotencia del parser S03).</w:t>
      </w:r>
    </w:p>
    <w:p>
      <w:pPr>
        <w:pStyle w:val="Heading3"/>
      </w:pPr>
      <w:r>
        <w:t>CONTEXTS</w:t>
      </w:r>
    </w:p>
    <w:p>
      <w:pPr>
        <w:pStyle w:val="ListBullet"/>
      </w:pPr>
      <w:r>
        <w:rPr>
          <w:b/>
        </w:rPr>
        <w:t>Qué es:</w:t>
      </w:r>
      <w:r>
        <w:t xml:space="preserve"> el "marco" de un fact en XBRL: la combinación de entidad, período,</w:t>
      </w:r>
    </w:p>
    <w:p>
      <w:pPr>
        <w:spacing w:after="80"/>
      </w:pPr>
      <w:r>
        <w:t xml:space="preserve">  dimensiones, segmento y consolización que califica al valor.</w:t>
      </w:r>
    </w:p>
    <w:p>
      <w:pPr>
        <w:pStyle w:val="ListBullet"/>
      </w:pPr>
      <w:r>
        <w:rPr>
          <w:b/>
        </w:rPr>
        <w:t>Qué hace:</w:t>
      </w:r>
      <w:r>
        <w:t xml:space="preserve"> responder "¿a qué período, entidad, segmento y nivel de</w:t>
      </w:r>
    </w:p>
    <w:p>
      <w:pPr>
        <w:spacing w:after="80"/>
      </w:pPr>
      <w:r>
        <w:t xml:space="preserve">  consolidación pertenece este valor?".</w:t>
      </w:r>
    </w:p>
    <w:p>
      <w:pPr>
        <w:pStyle w:val="ListBullet"/>
      </w:pPr>
      <w:r>
        <w:rPr>
          <w:b/>
        </w:rPr>
        <w:t>Detalles que modela:</w:t>
      </w:r>
    </w:p>
    <w:p>
      <w:pPr>
        <w:pStyle w:val="ListBullet"/>
      </w:pPr>
      <w:r>
        <w:rPr>
          <w:b/>
        </w:rPr>
        <w:t>período:</w:t>
      </w:r>
      <w:r>
        <w:t xml:space="preserve"> instant (un momento) o duration (un lapso).</w:t>
      </w:r>
    </w:p>
    <w:p>
      <w:pPr>
        <w:pStyle w:val="ListBullet"/>
      </w:pPr>
      <w:r>
        <w:rPr>
          <w:b/>
        </w:rPr>
        <w:t>fecha:</w:t>
      </w:r>
      <w:r>
        <w:t xml:space="preserve"> </w:t>
      </w:r>
      <w:r>
        <w:rPr>
          <w:rFonts w:ascii="Consolas" w:hAnsi="Consolas"/>
          <w:sz w:val="18"/>
        </w:rPr>
        <w:t>start</w:t>
      </w:r>
      <w:r>
        <w:t>/</w:t>
      </w:r>
      <w:r>
        <w:rPr>
          <w:rFonts w:ascii="Consolas" w:hAnsi="Consolas"/>
          <w:sz w:val="18"/>
        </w:rPr>
        <w:t>end</w:t>
      </w:r>
      <w:r>
        <w:t xml:space="preserve"> (duration) o </w:t>
      </w:r>
      <w:r>
        <w:rPr>
          <w:rFonts w:ascii="Consolas" w:hAnsi="Consolas"/>
          <w:sz w:val="18"/>
        </w:rPr>
        <w:t>instant</w:t>
      </w:r>
      <w:r>
        <w:t xml:space="preserve"> (snapshot).</w:t>
      </w:r>
    </w:p>
    <w:p>
      <w:pPr>
        <w:pStyle w:val="ListBullet"/>
      </w:pPr>
      <w:r>
        <w:rPr>
          <w:b/>
        </w:rPr>
        <w:t>dimensiones:</w:t>
      </w:r>
      <w:r>
        <w:t xml:space="preserve"> ejes extra (segmento, moneda de reporte, etc.).</w:t>
      </w:r>
    </w:p>
    <w:p>
      <w:pPr>
        <w:pStyle w:val="ListBullet"/>
      </w:pPr>
      <w:r>
        <w:rPr>
          <w:b/>
        </w:rPr>
        <w:t>entidad:</w:t>
      </w:r>
      <w:r>
        <w:t xml:space="preserve"> el emisor que reporta.</w:t>
      </w:r>
    </w:p>
    <w:p>
      <w:pPr>
        <w:pStyle w:val="ListBullet"/>
      </w:pPr>
      <w:r>
        <w:rPr>
          <w:b/>
        </w:rPr>
        <w:t>segmento / consolidación:</w:t>
      </w:r>
      <w:r>
        <w:t xml:space="preserve"> p. ej. "MetroGas Distribution" vs. consolidado</w:t>
      </w:r>
    </w:p>
    <w:p>
      <w:pPr>
        <w:spacing w:after="80"/>
      </w:pPr>
      <w:r>
        <w:t xml:space="preserve">    (en METR el perímetro INDIVIDUAL es el segmento).</w:t>
      </w:r>
    </w:p>
    <w:p>
      <w:pPr>
        <w:pStyle w:val="ListBullet"/>
      </w:pPr>
      <w:r>
        <w:rPr>
          <w:b/>
        </w:rPr>
        <w:t>Entrada:</w:t>
      </w:r>
      <w:r>
        <w:t xml:space="preserve"> del documento XBRL (</w:t>
      </w:r>
      <w:r>
        <w:rPr>
          <w:rFonts w:ascii="Consolas" w:hAnsi="Consolas"/>
          <w:sz w:val="18"/>
        </w:rPr>
        <w:t>&lt;context&gt;</w:t>
      </w:r>
      <w:r>
        <w:t>).</w:t>
      </w:r>
    </w:p>
    <w:p>
      <w:pPr>
        <w:pStyle w:val="ListBullet"/>
      </w:pPr>
      <w:r>
        <w:rPr>
          <w:b/>
        </w:rPr>
        <w:t>Salida:</w:t>
      </w:r>
      <w:r>
        <w:t xml:space="preserve"> filas de contexto vinculadas a los facts.</w:t>
      </w:r>
    </w:p>
    <w:p>
      <w:pPr>
        <w:pStyle w:val="ListBullet"/>
      </w:pPr>
      <w:r>
        <w:rPr>
          <w:b/>
        </w:rPr>
        <w:t>Validaciones:</w:t>
      </w:r>
      <w:r>
        <w:t xml:space="preserve"> las fechas del contexto son consistentes (start ≤ end); el</w:t>
      </w:r>
    </w:p>
    <w:p>
      <w:pPr>
        <w:spacing w:after="80"/>
      </w:pPr>
      <w:r>
        <w:t xml:space="preserve">  contexto citado por cada fact existe.</w:t>
      </w:r>
    </w:p>
    <w:p>
      <w:pPr>
        <w:pStyle w:val="ListBullet"/>
      </w:pPr>
      <w:r>
        <w:rPr>
          <w:b/>
        </w:rPr>
        <w:t>DoD:</w:t>
      </w:r>
      <w:r>
        <w:t xml:space="preserve"> cada fact apunta a un contexto resuelto y completo.</w:t>
      </w:r>
    </w:p>
    <w:p>
      <w:pPr>
        <w:pStyle w:val="Heading3"/>
      </w:pPr>
      <w:r>
        <w:t>UNITS</w:t>
      </w:r>
    </w:p>
    <w:p>
      <w:pPr>
        <w:pStyle w:val="ListBullet"/>
      </w:pPr>
      <w:r>
        <w:rPr>
          <w:b/>
        </w:rPr>
        <w:t>Qué es:</w:t>
      </w:r>
      <w:r>
        <w:t xml:space="preserve"> la descripción de la unidad de medida del fact.</w:t>
      </w:r>
    </w:p>
    <w:p>
      <w:pPr>
        <w:pStyle w:val="ListBullet"/>
      </w:pPr>
      <w:r>
        <w:rPr>
          <w:b/>
        </w:rPr>
        <w:t>Qué hace:</w:t>
      </w:r>
      <w:r>
        <w:t xml:space="preserve"> definir cómo es el número: moneda (USD, ARS), acciones, </w:t>
      </w:r>
      <w:r>
        <w:rPr>
          <w:rFonts w:ascii="Consolas" w:hAnsi="Consolas"/>
          <w:sz w:val="18"/>
        </w:rPr>
        <w:t>pure</w:t>
      </w:r>
      <w:r>
        <w:t>,</w:t>
      </w:r>
    </w:p>
    <w:p>
      <w:pPr>
        <w:spacing w:after="80"/>
      </w:pPr>
      <w:r>
        <w:t xml:space="preserve">  o unit-by-unit con escala (</w:t>
      </w:r>
      <w:r>
        <w:rPr>
          <w:rFonts w:ascii="Consolas" w:hAnsi="Consolas"/>
          <w:sz w:val="18"/>
        </w:rPr>
        <w:t>ars@1e6</w:t>
      </w:r>
      <w:r>
        <w:t xml:space="preserve"> = millones de ARS).</w:t>
      </w:r>
    </w:p>
    <w:p>
      <w:pPr>
        <w:pStyle w:val="ListBullet"/>
      </w:pPr>
      <w:r>
        <w:rPr>
          <w:b/>
        </w:rPr>
        <w:t>Entrada:</w:t>
      </w:r>
      <w:r>
        <w:t xml:space="preserve"> declaración de unidad del documento.</w:t>
      </w:r>
    </w:p>
    <w:p>
      <w:pPr>
        <w:pStyle w:val="ListBullet"/>
      </w:pPr>
      <w:r>
        <w:rPr>
          <w:b/>
        </w:rPr>
        <w:t>Salida:</w:t>
      </w:r>
      <w:r>
        <w:t xml:space="preserve"> referencia de unidad en cada fact.</w:t>
      </w:r>
    </w:p>
    <w:p>
      <w:pPr>
        <w:pStyle w:val="ListBullet"/>
      </w:pPr>
      <w:r>
        <w:rPr>
          <w:b/>
        </w:rPr>
        <w:t>Validaciones:</w:t>
      </w:r>
      <w:r>
        <w:t xml:space="preserve"> codificar unidades conocidas; las desconocidas se marcan para</w:t>
      </w:r>
    </w:p>
    <w:p>
      <w:pPr>
        <w:spacing w:after="80"/>
      </w:pPr>
      <w:r>
        <w:t xml:space="preserve">  auditoría (no se cuelan en los cálculos).</w:t>
      </w:r>
    </w:p>
    <w:p>
      <w:pPr>
        <w:pStyle w:val="ListBullet"/>
      </w:pPr>
      <w:r>
        <w:rPr>
          <w:b/>
        </w:rPr>
        <w:t>DoD:</w:t>
      </w:r>
      <w:r>
        <w:t xml:space="preserve"> la unidad de todo fact está identificable y su escala es recuperable.</w:t>
      </w:r>
    </w:p>
    <w:p>
      <w:pPr>
        <w:pStyle w:val="Heading3"/>
      </w:pPr>
      <w:r>
        <w:t>QNAME</w:t>
      </w:r>
    </w:p>
    <w:p>
      <w:pPr>
        <w:pStyle w:val="ListBullet"/>
      </w:pPr>
      <w:r>
        <w:rPr>
          <w:b/>
        </w:rPr>
        <w:t>Qué es:</w:t>
      </w:r>
      <w:r>
        <w:t xml:space="preserve"> el nombre cualificado del concepto (prefijo + nombre) contra una</w:t>
      </w:r>
    </w:p>
    <w:p>
      <w:pPr>
        <w:spacing w:after="80"/>
      </w:pPr>
      <w:r>
        <w:t xml:space="preserve">  taxonomía (p. ej. </w:t>
      </w:r>
      <w:r>
        <w:rPr>
          <w:rFonts w:ascii="Consolas" w:hAnsi="Consolas"/>
          <w:sz w:val="18"/>
        </w:rPr>
        <w:t>us-gaap:Revenues</w:t>
      </w:r>
      <w:r>
        <w:t>).</w:t>
      </w:r>
    </w:p>
    <w:p>
      <w:pPr>
        <w:pStyle w:val="ListBullet"/>
      </w:pPr>
      <w:r>
        <w:rPr>
          <w:b/>
        </w:rPr>
        <w:t>Qué hace:</w:t>
      </w:r>
      <w:r>
        <w:t xml:space="preserve"> relacionar el concepto con la taxonomía de origen: "este fact es</w:t>
      </w:r>
    </w:p>
    <w:p>
      <w:pPr>
        <w:spacing w:after="80"/>
      </w:pPr>
      <w:r>
        <w:t xml:space="preserve">  el concepto X de la taxonomía Y de la fuente Z".</w:t>
      </w:r>
    </w:p>
    <w:p>
      <w:pPr>
        <w:pStyle w:val="ListBullet"/>
      </w:pPr>
      <w:r>
        <w:rPr>
          <w:b/>
        </w:rPr>
        <w:t>Entrada:</w:t>
      </w:r>
      <w:r>
        <w:t xml:space="preserve"> del documento (el </w:t>
      </w:r>
      <w:r>
        <w:rPr>
          <w:rFonts w:ascii="Consolas" w:hAnsi="Consolas"/>
          <w:sz w:val="18"/>
        </w:rPr>
        <w:t>concept</w:t>
      </w:r>
      <w:r>
        <w:t xml:space="preserve"> del fact).</w:t>
      </w:r>
    </w:p>
    <w:p>
      <w:pPr>
        <w:pStyle w:val="ListBullet"/>
      </w:pPr>
      <w:r>
        <w:rPr>
          <w:b/>
        </w:rPr>
        <w:t>Salida:</w:t>
      </w:r>
      <w:r>
        <w:t xml:space="preserve"> fact etiquetado con su qname y, cuando existe, con su mapeo a la</w:t>
      </w:r>
    </w:p>
    <w:p>
      <w:pPr>
        <w:spacing w:after="80"/>
      </w:pPr>
      <w:r>
        <w:t xml:space="preserve">  taxonomía común.</w:t>
      </w:r>
    </w:p>
    <w:p>
      <w:pPr>
        <w:pStyle w:val="ListBullet"/>
      </w:pPr>
      <w:r>
        <w:rPr>
          <w:b/>
        </w:rPr>
        <w:t>Validaciones:</w:t>
      </w:r>
      <w:r>
        <w:t xml:space="preserve"> el qname pertenece a una taxonomía conocida; los conceptos sin</w:t>
      </w:r>
    </w:p>
    <w:p>
      <w:pPr>
        <w:spacing w:after="80"/>
      </w:pPr>
      <w:r>
        <w:t xml:space="preserve">  reconocer se listan (conteo por filing).</w:t>
      </w:r>
    </w:p>
    <w:p>
      <w:pPr>
        <w:pStyle w:val="ListBullet"/>
      </w:pPr>
      <w:r>
        <w:rPr>
          <w:b/>
        </w:rPr>
        <w:t>DoD:</w:t>
      </w:r>
      <w:r>
        <w:t xml:space="preserve"> cada fact tiene su qname resuelto y a qué taxonomía pertenece.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RAW (documento íntegro) y, para CNV, de IDENTIDAD (a quién pertenece el</w:t>
      </w:r>
    </w:p>
    <w:p>
      <w:pPr>
        <w:spacing w:after="80"/>
      </w:pPr>
      <w:r>
        <w:t>documento). No depende de NORMALIZED: el parser no normaliza.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CXBRL vs CNV HTML:</w:t>
      </w:r>
      <w:r>
        <w:t xml:space="preserve"> en CNV no hay qname/unit declarados: el parser arma</w:t>
      </w:r>
    </w:p>
    <w:p>
      <w:pPr>
        <w:spacing w:after="80"/>
      </w:pPr>
      <w:r>
        <w:t xml:space="preserve">  unidades y períodos con la lectura de las plantillas (más riesgo; los conteos de</w:t>
      </w:r>
    </w:p>
    <w:p>
      <w:pPr>
        <w:spacing w:after="80"/>
      </w:pPr>
      <w:r>
        <w:t xml:space="preserve">  unidades CNV mostrados arriba son evidencia de que la lectura funciona pero con</w:t>
      </w:r>
    </w:p>
    <w:p>
      <w:pPr>
        <w:spacing w:after="80"/>
      </w:pPr>
      <w:r>
        <w:t xml:space="preserve">  ruido).</w:t>
      </w:r>
    </w:p>
    <w:p>
      <w:pPr>
        <w:pStyle w:val="ListBullet"/>
      </w:pPr>
      <w:r>
        <w:rPr>
          <w:b/>
        </w:rPr>
        <w:t>Duplicados de parsing:</w:t>
      </w:r>
      <w:r>
        <w:t xml:space="preserve"> el mismo filing parseado dos veces no debe duplicar</w:t>
      </w:r>
    </w:p>
    <w:p>
      <w:pPr>
        <w:spacing w:after="80"/>
      </w:pPr>
      <w:r>
        <w:t xml:space="preserve">  facts (idempotencia). [HOY: en SEC la reglamentación es re-parsear por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run_id</w:t>
      </w:r>
      <w:r>
        <w:t>/</w:t>
      </w:r>
      <w:r>
        <w:rPr>
          <w:rFonts w:ascii="Consolas" w:hAnsi="Consolas"/>
          <w:sz w:val="18"/>
        </w:rPr>
        <w:t>snapshot</w:t>
      </w:r>
      <w:r>
        <w:t>; "Paso 2 · S03 idempotencia" en la Parte IV.]</w:t>
      </w:r>
    </w:p>
    <w:p>
      <w:pPr>
        <w:pStyle w:val="ListBullet"/>
      </w:pPr>
      <w:r>
        <w:rPr>
          <w:b/>
        </w:rPr>
        <w:t>`is_custom` [HOY]:</w:t>
      </w:r>
      <w:r>
        <w:t xml:space="preserve"> bug P0 que contamina la distinción entre conceptos</w:t>
      </w:r>
    </w:p>
    <w:p>
      <w:pPr>
        <w:spacing w:after="80"/>
      </w:pPr>
      <w:r>
        <w:t xml:space="preserve">  estándar y extensiones de la empresa (Parte IV §3).</w:t>
      </w:r>
    </w:p>
    <w:p>
      <w:pPr>
        <w:pStyle w:val="ListBullet"/>
      </w:pPr>
      <w:r>
        <w:rPr>
          <w:b/>
        </w:rPr>
        <w:t>Contexts duplicados</w:t>
      </w:r>
      <w:r>
        <w:t xml:space="preserve"> dentro del mismo XBRL (ocurre en filings mal armados).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El documento fue correctamente parseado cuando: **todos los facts extraídos por</w:t>
      </w:r>
    </w:p>
    <w:p>
      <w:pPr>
        <w:spacing w:after="80"/>
      </w:pPr>
      <w:r>
        <w:t>taxonomía y por filing coinciden con el documento RAW (re-parsear da el mismo</w:t>
      </w:r>
    </w:p>
    <w:p>
      <w:pPr>
        <w:spacing w:after="80"/>
      </w:pPr>
      <w:r>
        <w:t>resultado), cada fact tiene su contexto y unidad resueltos, y no hay descartes</w:t>
      </w:r>
    </w:p>
    <w:p>
      <w:pPr>
        <w:spacing w:after="80"/>
      </w:pPr>
      <w:r>
        <w:t>silenciosos.**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NORMALIZED los </w:t>
      </w:r>
      <w:r>
        <w:rPr>
          <w:b/>
        </w:rPr>
        <w:t>datos extraídos</w:t>
      </w:r>
      <w:r>
        <w:t xml:space="preserve"> con su significado técnico: unidades,</w:t>
      </w:r>
    </w:p>
    <w:p>
      <w:pPr>
        <w:spacing w:after="80"/>
      </w:pPr>
      <w:r>
        <w:t>períodos, qnames — todavía no comparables entre empresas ni entre fuentes.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NORMALIZED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Convertir los datos extraídos en </w:t>
      </w:r>
      <w:r>
        <w:rPr>
          <w:b/>
        </w:rPr>
        <w:t>información técnicamente comparable</w:t>
      </w:r>
      <w:r>
        <w:t>: mismas</w:t>
      </w:r>
    </w:p>
    <w:p>
      <w:pPr>
        <w:spacing w:after="80"/>
      </w:pPr>
      <w:r>
        <w:t>unidades, mismas monedas, mismos períodos, mismo perímetro.</w:t>
      </w:r>
    </w:p>
    <w:p>
      <w:pPr>
        <w:pStyle w:val="Heading3"/>
      </w:pPr>
      <w:r>
        <w:t>¿Qué es?</w:t>
      </w:r>
    </w:p>
    <w:p>
      <w:pPr>
        <w:spacing w:after="80"/>
      </w:pPr>
      <w:r>
        <w:t>El puente entre la sintaxis (PARSED) y el sentido común (ECONOMIC FACTS). Toma el</w:t>
      </w:r>
    </w:p>
    <w:p>
      <w:pPr>
        <w:spacing w:after="80"/>
      </w:pPr>
      <w:r>
        <w:rPr>
          <w:rFonts w:ascii="Consolas" w:hAnsi="Consolas"/>
          <w:sz w:val="18"/>
        </w:rPr>
        <w:t>parsed.facts</w:t>
      </w:r>
      <w:r>
        <w:t xml:space="preserve"> y produce </w:t>
      </w:r>
      <w:r>
        <w:rPr>
          <w:rFonts w:ascii="Consolas" w:hAnsi="Consolas"/>
          <w:sz w:val="18"/>
        </w:rPr>
        <w:t>normalized.facts</w:t>
      </w:r>
      <w:r>
        <w:t xml:space="preserve"> con reglas uniformes: escala, moneda,</w:t>
      </w:r>
    </w:p>
    <w:p>
      <w:pPr>
        <w:spacing w:after="80"/>
      </w:pPr>
      <w:r>
        <w:t>período y perímetro.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 la </w:t>
      </w:r>
      <w:r>
        <w:rPr>
          <w:b/>
        </w:rPr>
        <w:t>comparabilidad</w:t>
      </w:r>
      <w:r>
        <w:t>: la Revenue de YPF viene en millones de USD,</w:t>
      </w:r>
    </w:p>
    <w:p>
      <w:pPr>
        <w:spacing w:after="80"/>
      </w:pPr>
      <w:r>
        <w:t>la de METROGAS en miles/ARS; un período puede ser FY, Q o YTD; un número puede ser</w:t>
      </w:r>
    </w:p>
    <w:p>
      <w:pPr>
        <w:spacing w:after="80"/>
      </w:pPr>
      <w:r>
        <w:t>instant o duration. Si no se normaliza, ningún ratio ni ninguna comparación tiene</w:t>
      </w:r>
    </w:p>
    <w:p>
      <w:pPr>
        <w:spacing w:after="80"/>
      </w:pPr>
      <w:r>
        <w:t>sentido.</w:t>
      </w:r>
    </w:p>
    <w:p>
      <w:pPr>
        <w:pStyle w:val="Heading3"/>
      </w:pPr>
      <w:r>
        <w:t>¿Cómo funciona?</w:t>
      </w:r>
    </w:p>
    <w:p>
      <w:pPr>
        <w:spacing w:after="80"/>
      </w:pPr>
      <w:r>
        <w:t>Mapeo de cada fact a un "vehículo" normalizado:</w:t>
      </w:r>
    </w:p>
    <w:p>
      <w:pPr>
        <w:pStyle w:val="ListBullet"/>
      </w:pPr>
      <w:r>
        <w:rPr>
          <w:b/>
        </w:rPr>
        <w:t>Escala y unidad</w:t>
      </w:r>
      <w:r>
        <w:t xml:space="preserve"> al estándar del modelo (p. ej. millones de la moneda base).</w:t>
      </w:r>
    </w:p>
    <w:p>
      <w:pPr>
        <w:pStyle w:val="ListBullet"/>
      </w:pPr>
      <w:r>
        <w:rPr>
          <w:b/>
        </w:rPr>
        <w:t>Moneda</w:t>
      </w:r>
      <w:r>
        <w:t xml:space="preserve"> a la moneda canónica de la entidad (ARS para CNV, USD para SEC) con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fx.rate</w:t>
      </w:r>
      <w:r>
        <w:t xml:space="preserve"> para lo que cruza.</w:t>
      </w:r>
    </w:p>
    <w:p>
      <w:pPr>
        <w:pStyle w:val="ListBullet"/>
      </w:pPr>
      <w:r>
        <w:rPr>
          <w:b/>
        </w:rPr>
        <w:t>Período</w:t>
      </w:r>
      <w:r>
        <w:t xml:space="preserve"> a un intervalo canónico (año fiscal de la entidad, trimestre, YTD).</w:t>
      </w:r>
    </w:p>
    <w:p>
      <w:pPr>
        <w:pStyle w:val="ListBullet"/>
      </w:pPr>
      <w:r>
        <w:rPr>
          <w:b/>
        </w:rPr>
        <w:t>Perímetro</w:t>
      </w:r>
      <w:r>
        <w:t xml:space="preserve"> a individual/consolidado declarado explícitamente.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parsed.facts → resolver unidad/escala → convertir moneda (fx) → mapear período → fijar perímetro → normalized.facts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UNIDADES / ESCALAS</w:t>
      </w:r>
    </w:p>
    <w:p>
      <w:pPr>
        <w:pStyle w:val="ListBullet"/>
      </w:pPr>
      <w:r>
        <w:rPr>
          <w:b/>
        </w:rPr>
        <w:t>Qué es:</w:t>
      </w:r>
      <w:r>
        <w:t xml:space="preserve"> llevar todo número a una unidad de referencia clara.</w:t>
      </w:r>
    </w:p>
    <w:p>
      <w:pPr>
        <w:pStyle w:val="ListBullet"/>
      </w:pPr>
      <w:r>
        <w:rPr>
          <w:b/>
        </w:rPr>
        <w:t>Qué hace:</w:t>
      </w:r>
      <w:r>
        <w:t xml:space="preserve"> despejar la escala reportada (</w:t>
      </w:r>
      <w:r>
        <w:rPr>
          <w:rFonts w:ascii="Consolas" w:hAnsi="Consolas"/>
          <w:sz w:val="18"/>
        </w:rPr>
        <w:t>ars@1e6</w:t>
      </w:r>
      <w:r>
        <w:t xml:space="preserve"> → millones), evitar</w:t>
      </w:r>
    </w:p>
    <w:p>
      <w:pPr>
        <w:spacing w:after="80"/>
      </w:pPr>
      <w:r>
        <w:t xml:space="preserve">  mezclar millones con unidades.</w:t>
      </w:r>
    </w:p>
    <w:p>
      <w:pPr>
        <w:pStyle w:val="ListBullet"/>
      </w:pPr>
      <w:r>
        <w:rPr>
          <w:b/>
        </w:rPr>
        <w:t>Entrada:</w:t>
      </w:r>
      <w:r>
        <w:t xml:space="preserve"> unidad y escala declaradas (o inferidas en CNV).</w:t>
      </w:r>
    </w:p>
    <w:p>
      <w:pPr>
        <w:pStyle w:val="ListBullet"/>
      </w:pPr>
      <w:r>
        <w:rPr>
          <w:b/>
        </w:rPr>
        <w:t>Salida:</w:t>
      </w:r>
      <w:r>
        <w:t xml:space="preserve"> todo fact con unidad/divisor explícito en el modelo.</w:t>
      </w:r>
    </w:p>
    <w:p>
      <w:pPr>
        <w:pStyle w:val="ListBullet"/>
      </w:pPr>
      <w:r>
        <w:rPr>
          <w:b/>
        </w:rPr>
        <w:t>Validaciones:</w:t>
      </w:r>
      <w:r>
        <w:t xml:space="preserve"> conversión reversible (se puede volver al valor original);</w:t>
      </w:r>
    </w:p>
    <w:p>
      <w:pPr>
        <w:spacing w:after="80"/>
      </w:pPr>
      <w:r>
        <w:t xml:space="preserve">  conteos de unidades por fuente (los 1.120 </w:t>
      </w:r>
      <w:r>
        <w:rPr>
          <w:rFonts w:ascii="Consolas" w:hAnsi="Consolas"/>
          <w:sz w:val="18"/>
        </w:rPr>
        <w:t>ars@1e6</w:t>
      </w:r>
      <w:r>
        <w:t xml:space="preserve"> de METR no pueden sumarse a</w:t>
      </w:r>
    </w:p>
    <w:p>
      <w:pPr>
        <w:spacing w:after="80"/>
      </w:pPr>
      <w:r>
        <w:t xml:space="preserve">  las 915 </w:t>
      </w:r>
      <w:r>
        <w:rPr>
          <w:rFonts w:ascii="Consolas" w:hAnsi="Consolas"/>
          <w:sz w:val="18"/>
        </w:rPr>
        <w:t>ars@1e3</w:t>
      </w:r>
      <w:r>
        <w:t xml:space="preserve"> sin convertir).</w:t>
      </w:r>
    </w:p>
    <w:p>
      <w:pPr>
        <w:pStyle w:val="ListBullet"/>
      </w:pPr>
      <w:r>
        <w:rPr>
          <w:b/>
        </w:rPr>
        <w:t>DoD:</w:t>
      </w:r>
      <w:r>
        <w:t xml:space="preserve"> ningún cálculo posterior depende de una escala "de memoria".</w:t>
      </w:r>
    </w:p>
    <w:p>
      <w:pPr>
        <w:pStyle w:val="Heading3"/>
      </w:pPr>
      <w:r>
        <w:t>MONEDA</w:t>
      </w:r>
    </w:p>
    <w:p>
      <w:pPr>
        <w:pStyle w:val="ListBullet"/>
      </w:pPr>
      <w:r>
        <w:rPr>
          <w:b/>
        </w:rPr>
        <w:t>Qué es:</w:t>
      </w:r>
      <w:r>
        <w:t xml:space="preserve"> uniformar la moneda de reporte.</w:t>
      </w:r>
    </w:p>
    <w:p>
      <w:pPr>
        <w:pStyle w:val="ListBullet"/>
      </w:pPr>
      <w:r>
        <w:rPr>
          <w:b/>
        </w:rPr>
        <w:t>Qué hace:</w:t>
      </w:r>
      <w:r>
        <w:t xml:space="preserve"> los facts en moneda extranjera se convierten a la moneda canónica</w:t>
      </w:r>
    </w:p>
    <w:p>
      <w:pPr>
        <w:spacing w:after="80"/>
      </w:pPr>
      <w:r>
        <w:t xml:space="preserve">  con tipo de cambio de la fecha correspondiente.</w:t>
      </w:r>
    </w:p>
    <w:p>
      <w:pPr>
        <w:pStyle w:val="ListBullet"/>
      </w:pPr>
      <w:r>
        <w:rPr>
          <w:b/>
        </w:rPr>
        <w:t>Entrada:</w:t>
      </w:r>
      <w:r>
        <w:t xml:space="preserve"> fact + </w:t>
      </w:r>
      <w:r>
        <w:rPr>
          <w:rFonts w:ascii="Consolas" w:hAnsi="Consolas"/>
          <w:sz w:val="18"/>
        </w:rPr>
        <w:t>fx.rate</w:t>
      </w:r>
      <w:r>
        <w:t xml:space="preserve"> con fecha.</w:t>
      </w:r>
    </w:p>
    <w:p>
      <w:pPr>
        <w:pStyle w:val="ListBullet"/>
      </w:pPr>
      <w:r>
        <w:rPr>
          <w:b/>
        </w:rPr>
        <w:t>Salida:</w:t>
      </w:r>
      <w:r>
        <w:t xml:space="preserve"> valor en moneda canónica, con el tipo de cambio usado registrado.</w:t>
      </w:r>
    </w:p>
    <w:p>
      <w:pPr>
        <w:pStyle w:val="ListBullet"/>
      </w:pPr>
      <w:r>
        <w:rPr>
          <w:b/>
        </w:rPr>
        <w:t>Validaciones:</w:t>
      </w:r>
      <w:r>
        <w:t xml:space="preserve"> el fx está dentro de un rango razonable (control de outliers);</w:t>
      </w:r>
    </w:p>
    <w:p>
      <w:pPr>
        <w:spacing w:after="80"/>
      </w:pPr>
      <w:r>
        <w:t xml:space="preserve">  nunca convertir "en seco" un número sin su fecha.</w:t>
      </w:r>
    </w:p>
    <w:p>
      <w:pPr>
        <w:pStyle w:val="ListBullet"/>
      </w:pPr>
      <w:r>
        <w:rPr>
          <w:b/>
        </w:rPr>
        <w:t>DoD:</w:t>
      </w:r>
      <w:r>
        <w:t xml:space="preserve"> todo fact monetario tiene moneda canónica y fx identificado.</w:t>
      </w:r>
    </w:p>
    <w:p>
      <w:pPr>
        <w:pStyle w:val="Heading3"/>
      </w:pPr>
      <w:r>
        <w:t>PERÍODO</w:t>
      </w:r>
    </w:p>
    <w:p>
      <w:pPr>
        <w:pStyle w:val="ListBullet"/>
      </w:pPr>
      <w:r>
        <w:rPr>
          <w:b/>
        </w:rPr>
        <w:t>Qué es:</w:t>
      </w:r>
      <w:r>
        <w:t xml:space="preserve"> interpretar y estandarizar el marco temporal.</w:t>
      </w:r>
    </w:p>
    <w:p>
      <w:pPr>
        <w:pStyle w:val="ListBullet"/>
      </w:pPr>
      <w:r>
        <w:rPr>
          <w:b/>
        </w:rPr>
        <w:t>Qué hace:</w:t>
      </w:r>
      <w:r>
        <w:t xml:space="preserve"> clasificar cada fact como </w:t>
      </w:r>
      <w:r>
        <w:rPr>
          <w:b/>
        </w:rPr>
        <w:t>instant</w:t>
      </w:r>
      <w:r>
        <w:t xml:space="preserve"> o </w:t>
      </w:r>
      <w:r>
        <w:rPr>
          <w:b/>
        </w:rPr>
        <w:t>duration</w:t>
      </w:r>
      <w:r>
        <w:t xml:space="preserve"> y mapear su</w:t>
      </w:r>
    </w:p>
    <w:p>
      <w:pPr>
        <w:spacing w:after="80"/>
      </w:pPr>
      <w:r>
        <w:t xml:space="preserve">  fecha al ejercicio fiscal de la entidad (año, trimestre, YTD).</w:t>
      </w:r>
    </w:p>
    <w:p>
      <w:pPr>
        <w:pStyle w:val="ListBullet"/>
      </w:pPr>
      <w:r>
        <w:rPr>
          <w:b/>
        </w:rPr>
        <w:t>Entrada:</w:t>
      </w:r>
      <w:r>
        <w:t xml:space="preserve"> contexto del fact (fechas, instant/duration).</w:t>
      </w:r>
    </w:p>
    <w:p>
      <w:pPr>
        <w:pStyle w:val="ListBullet"/>
      </w:pPr>
      <w:r>
        <w:rPr>
          <w:b/>
        </w:rPr>
        <w:t>Salida:</w:t>
      </w:r>
      <w:r>
        <w:t xml:space="preserve"> período canónico </w:t>
      </w:r>
      <w:r>
        <w:rPr>
          <w:i/>
        </w:rPr>
        <w:t>(end, duration?, FY/Q/YTD)</w:t>
      </w:r>
      <w:r>
        <w:t>.</w:t>
      </w:r>
    </w:p>
    <w:p>
      <w:pPr>
        <w:pStyle w:val="ListBullet"/>
      </w:pPr>
      <w:r>
        <w:rPr>
          <w:b/>
        </w:rPr>
        <w:t>Validaciones:</w:t>
      </w:r>
      <w:r>
        <w:t xml:space="preserve"> fechas reales (no futuras), duration = start..end coherente,</w:t>
      </w:r>
    </w:p>
    <w:p>
      <w:pPr>
        <w:spacing w:after="80"/>
      </w:pPr>
      <w:r>
        <w:t xml:space="preserve">  alineación con el ejercicio fiscal declarado.</w:t>
      </w:r>
    </w:p>
    <w:p>
      <w:pPr>
        <w:pStyle w:val="ListBullet"/>
      </w:pPr>
      <w:r>
        <w:rPr>
          <w:b/>
        </w:rPr>
        <w:t>DoD:</w:t>
      </w:r>
      <w:r>
        <w:t xml:space="preserve"> no hay fact sin período canónico resuelto.</w:t>
      </w:r>
    </w:p>
    <w:p>
      <w:pPr>
        <w:pStyle w:val="Heading3"/>
      </w:pPr>
      <w:r>
        <w:t>PERÍMETRO</w:t>
      </w:r>
    </w:p>
    <w:p>
      <w:pPr>
        <w:pStyle w:val="ListBullet"/>
      </w:pPr>
      <w:r>
        <w:rPr>
          <w:b/>
        </w:rPr>
        <w:t>Qué es:</w:t>
      </w:r>
      <w:r>
        <w:t xml:space="preserve"> fijar si el número es de la entidad individual o del consolidado.</w:t>
      </w:r>
    </w:p>
    <w:p>
      <w:pPr>
        <w:pStyle w:val="ListBullet"/>
      </w:pPr>
      <w:r>
        <w:rPr>
          <w:b/>
        </w:rPr>
        <w:t>Qué hace:</w:t>
      </w:r>
      <w:r>
        <w:t xml:space="preserve"> evitar sumar peras con manzanas (individual METROGAS vs. completo).</w:t>
      </w:r>
    </w:p>
    <w:p>
      <w:pPr>
        <w:pStyle w:val="ListBullet"/>
      </w:pPr>
      <w:r>
        <w:rPr>
          <w:b/>
        </w:rPr>
        <w:t>Entrada:</w:t>
      </w:r>
      <w:r>
        <w:t xml:space="preserve"> contexto/segmento.</w:t>
      </w:r>
    </w:p>
    <w:p>
      <w:pPr>
        <w:pStyle w:val="ListBullet"/>
      </w:pPr>
      <w:r>
        <w:rPr>
          <w:b/>
        </w:rPr>
        <w:t>Salida:</w:t>
      </w:r>
      <w:r>
        <w:t xml:space="preserve"> perímetro explícito en cada fact.</w:t>
      </w:r>
    </w:p>
    <w:p>
      <w:pPr>
        <w:pStyle w:val="ListBullet"/>
      </w:pPr>
      <w:r>
        <w:rPr>
          <w:b/>
        </w:rPr>
        <w:t>Validaciones:</w:t>
      </w:r>
      <w:r>
        <w:t xml:space="preserve"> coherencia con el registro de identidad del emisor.</w:t>
      </w:r>
    </w:p>
    <w:p>
      <w:pPr>
        <w:pStyle w:val="ListBullet"/>
      </w:pPr>
      <w:r>
        <w:rPr>
          <w:b/>
        </w:rPr>
        <w:t>DoD:</w:t>
      </w:r>
      <w:r>
        <w:t xml:space="preserve"> el perímetro de cada fact está explícito y correcto.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PARSED (datos extraídos), de IDENTIDAD (cuyo perímetro) y de MARKET/FX</w:t>
      </w:r>
    </w:p>
    <w:p>
      <w:pPr>
        <w:spacing w:after="80"/>
      </w:pPr>
      <w:r>
        <w:t>(para conversión de moneda de la fuente).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Escalas mezcladas</w:t>
      </w:r>
      <w:r>
        <w:t xml:space="preserve"> dentro de un mismo filing (METR cambia </w:t>
      </w:r>
      <w:r>
        <w:rPr>
          <w:rFonts w:ascii="Consolas" w:hAnsi="Consolas"/>
          <w:sz w:val="18"/>
        </w:rPr>
        <w:t>ars@1e6</w:t>
      </w:r>
      <w:r>
        <w:t xml:space="preserve"> a </w:t>
      </w:r>
      <w:r>
        <w:rPr>
          <w:rFonts w:ascii="Consolas" w:hAnsi="Consolas"/>
          <w:sz w:val="18"/>
        </w:rPr>
        <w:t>ars@1e3</w:t>
      </w:r>
    </w:p>
    <w:p>
      <w:pPr>
        <w:spacing w:after="80"/>
      </w:pPr>
      <w:r>
        <w:t xml:space="preserve">  entre formularios): la normalización debe ser </w:t>
      </w:r>
      <w:r>
        <w:rPr>
          <w:b/>
        </w:rPr>
        <w:t>por filing/contexto</w:t>
      </w:r>
      <w:r>
        <w:t>, no</w:t>
      </w:r>
    </w:p>
    <w:p>
      <w:pPr>
        <w:spacing w:after="80"/>
      </w:pPr>
      <w:r>
        <w:t xml:space="preserve">  global.</w:t>
      </w:r>
    </w:p>
    <w:p>
      <w:pPr>
        <w:pStyle w:val="ListBullet"/>
      </w:pPr>
      <w:r>
        <w:rPr>
          <w:b/>
        </w:rPr>
        <w:t>Instant vs duration</w:t>
      </w:r>
      <w:r>
        <w:t>: un número "tipo balance" (stock) no es comparable con</w:t>
      </w:r>
    </w:p>
    <w:p>
      <w:pPr>
        <w:spacing w:after="80"/>
      </w:pPr>
      <w:r>
        <w:t xml:space="preserve">  uno "tipo flujo" (flow) sin la etiqueta correcta.</w:t>
      </w:r>
    </w:p>
    <w:p>
      <w:pPr>
        <w:pStyle w:val="ListBullet"/>
      </w:pPr>
      <w:r>
        <w:rPr>
          <w:b/>
        </w:rPr>
        <w:t>YTD vs trimestral</w:t>
      </w:r>
      <w:r>
        <w:t>: sumar Q1+Q2+Q3 mientras el filing reporta YTD Q3 es</w:t>
      </w:r>
    </w:p>
    <w:p>
      <w:pPr>
        <w:spacing w:after="80"/>
      </w:pPr>
      <w:r>
        <w:t xml:space="preserve">  doble conteo.</w:t>
      </w:r>
    </w:p>
    <w:p>
      <w:pPr>
        <w:pStyle w:val="ListBullet"/>
      </w:pPr>
      <w:r>
        <w:rPr>
          <w:b/>
        </w:rPr>
        <w:t>Cambios de moneda de reporte</w:t>
      </w:r>
      <w:r>
        <w:t xml:space="preserve"> en el historial de la empresa.</w:t>
      </w:r>
    </w:p>
    <w:p>
      <w:pPr>
        <w:pStyle w:val="Heading3"/>
      </w:pPr>
      <w:r>
        <w:t>Diferencia PARSED vs NORMALIZED (regla de oro)</w:t>
      </w:r>
    </w:p>
    <w:p>
      <w:pPr>
        <w:spacing w:after="80"/>
      </w:pPr>
      <w:r>
        <w:t xml:space="preserve">PARSED responde </w:t>
      </w:r>
      <w:r>
        <w:rPr>
          <w:b/>
        </w:rPr>
        <w:t>"qué dice el documento"</w:t>
      </w:r>
      <w:r>
        <w:t>; NORMALIZED responde **"cómo lo decimos</w:t>
      </w:r>
    </w:p>
    <w:p>
      <w:pPr>
        <w:spacing w:after="80"/>
      </w:pPr>
      <w:r>
        <w:t>todos juntos"**. El parser jamás cambia un número; el normalizador sí (escala,</w:t>
      </w:r>
    </w:p>
    <w:p>
      <w:pPr>
        <w:spacing w:after="80"/>
      </w:pPr>
      <w:r>
        <w:t xml:space="preserve">moneda) pero SIEMPRE registrando la transformación. </w:t>
      </w:r>
      <w:r>
        <w:rPr>
          <w:b/>
        </w:rPr>
        <w:t>No se deben mezclar</w:t>
      </w:r>
      <w:r>
        <w:t>: si el</w:t>
      </w:r>
    </w:p>
    <w:p>
      <w:pPr>
        <w:spacing w:after="80"/>
      </w:pPr>
      <w:r>
        <w:t>parser normaliza, se pierde la evidencia del valor original; si el normalizador</w:t>
      </w:r>
    </w:p>
    <w:p>
      <w:pPr>
        <w:spacing w:after="80"/>
      </w:pPr>
      <w:r>
        <w:t>parsea, se rompe la comparabilidad de los cálculos.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dato está suficientemente normalizado cuando: **está expresado en la unidad,</w:t>
      </w:r>
    </w:p>
    <w:p>
      <w:pPr>
        <w:spacing w:after="80"/>
      </w:pPr>
      <w:r>
        <w:t>moneda, período y perímetro canónicos del modelo, su transformación es reversible</w:t>
      </w:r>
    </w:p>
    <w:p>
      <w:pPr>
        <w:spacing w:after="80"/>
      </w:pPr>
      <w:r>
        <w:t>y registrada, y es directamente comparable con otro dato normalizado de otra</w:t>
      </w:r>
    </w:p>
    <w:p>
      <w:pPr>
        <w:spacing w:after="80"/>
      </w:pPr>
      <w:r>
        <w:t>empresa/fuente.**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ECONOMIC FACTS los </w:t>
      </w:r>
      <w:r>
        <w:rPr>
          <w:b/>
        </w:rPr>
        <w:t>datos comparables</w:t>
      </w:r>
      <w:r>
        <w:t>: el dato puede ahora pasar a</w:t>
      </w:r>
    </w:p>
    <w:p>
      <w:pPr>
        <w:spacing w:after="80"/>
      </w:pPr>
      <w:r>
        <w:t>significar algo económico sin ambigüedades de escala/time.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ECONOMIC FACTS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Representar el </w:t>
      </w:r>
      <w:r>
        <w:rPr>
          <w:b/>
        </w:rPr>
        <w:t>hecho económico</w:t>
      </w:r>
      <w:r>
        <w:t>, independientemente de cómo aparezca en el</w:t>
      </w:r>
    </w:p>
    <w:p>
      <w:pPr>
        <w:spacing w:after="80"/>
      </w:pPr>
      <w:r>
        <w:t>documento técnico.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responde la pregunta del negocio: </w:t>
      </w:r>
      <w:r>
        <w:rPr>
          <w:b/>
        </w:rPr>
        <w:t>"¿qué pasó, económicamente?"</w:t>
      </w:r>
      <w:r>
        <w:t>. Un</w:t>
      </w:r>
    </w:p>
    <w:p>
      <w:pPr>
        <w:spacing w:after="80"/>
      </w:pPr>
      <w:r>
        <w:t>hecho económico es un dato con identidad económica canónica (</w:t>
      </w:r>
      <w:r>
        <w:rPr>
          <w:rFonts w:ascii="Consolas" w:hAnsi="Consolas"/>
          <w:sz w:val="18"/>
        </w:rPr>
        <w:t>econ_key</w:t>
      </w:r>
      <w:r>
        <w:t>), fecha</w:t>
      </w:r>
    </w:p>
    <w:p>
      <w:pPr>
        <w:spacing w:after="80"/>
      </w:pPr>
      <w:r>
        <w:t>económica (</w:t>
      </w:r>
      <w:r>
        <w:rPr>
          <w:rFonts w:ascii="Consolas" w:hAnsi="Consolas"/>
          <w:sz w:val="18"/>
        </w:rPr>
        <w:t>measurement_date</w:t>
      </w:r>
      <w:r>
        <w:t>), entidad, período y perímetro — derivado de uno o</w:t>
      </w:r>
    </w:p>
    <w:p>
      <w:pPr>
        <w:spacing w:after="80"/>
      </w:pPr>
      <w:r>
        <w:t>más facts técnicos.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</w:t>
      </w:r>
      <w:r>
        <w:rPr>
          <w:b/>
        </w:rPr>
        <w:t>mismo número, miles de formas</w:t>
      </w:r>
      <w:r>
        <w:t>: un mismo concepto aparece en US-GAAP, en</w:t>
      </w:r>
    </w:p>
    <w:p>
      <w:pPr>
        <w:spacing w:after="80"/>
      </w:pPr>
      <w:r>
        <w:t>IFRS, en distintos filings, con distintos qnames, re-expresados por inflación (IAS</w:t>
      </w:r>
    </w:p>
    <w:p>
      <w:pPr>
        <w:spacing w:after="80"/>
      </w:pPr>
      <w:r>
        <w:t>29), con segmentos distintos. Sin una identidad económica canónica, el sistema no</w:t>
      </w:r>
    </w:p>
    <w:p>
      <w:pPr>
        <w:spacing w:after="80"/>
      </w:pPr>
      <w:r>
        <w:t xml:space="preserve">puede juntarlos sin duplicar ni explicarlos sin contradicciones. </w:t>
      </w:r>
      <w:r>
        <w:rPr>
          <w:rFonts w:ascii="Consolas" w:hAnsi="Consolas"/>
          <w:sz w:val="18"/>
        </w:rPr>
        <w:t>economic_facts</w:t>
      </w:r>
      <w:r>
        <w:t xml:space="preserve"> y</w:t>
      </w:r>
    </w:p>
    <w:p>
      <w:pPr>
        <w:spacing w:after="80"/>
      </w:pPr>
      <w:r>
        <w:t xml:space="preserve">las migraciones </w:t>
      </w:r>
      <w:r>
        <w:rPr>
          <w:rFonts w:ascii="Consolas" w:hAnsi="Consolas"/>
          <w:sz w:val="18"/>
        </w:rPr>
        <w:t>034/035/036</w:t>
      </w:r>
      <w:r>
        <w:t xml:space="preserve"> (</w:t>
      </w:r>
      <w:r>
        <w:rPr>
          <w:rFonts w:ascii="Consolas" w:hAnsi="Consolas"/>
          <w:sz w:val="18"/>
        </w:rPr>
        <w:t>economic_facts</w:t>
      </w:r>
      <w:r>
        <w:t xml:space="preserve">, </w:t>
      </w:r>
      <w:r>
        <w:rPr>
          <w:rFonts w:ascii="Consolas" w:hAnsi="Consolas"/>
          <w:sz w:val="18"/>
        </w:rPr>
        <w:t>measurement_date</w:t>
      </w:r>
      <w:r>
        <w:t xml:space="preserve">, </w:t>
      </w:r>
      <w:r>
        <w:rPr>
          <w:rFonts w:ascii="Consolas" w:hAnsi="Consolas"/>
          <w:sz w:val="18"/>
        </w:rPr>
        <w:t>econ_key</w:t>
      </w:r>
      <w:r>
        <w:t>)</w:t>
      </w:r>
    </w:p>
    <w:p>
      <w:pPr>
        <w:spacing w:after="80"/>
      </w:pPr>
      <w:r>
        <w:t>son el corazón de esta capa (hoy en el worktree, D-1).</w:t>
      </w:r>
    </w:p>
    <w:p>
      <w:pPr>
        <w:pStyle w:val="Heading3"/>
      </w:pPr>
      <w:r>
        <w:t>¿Cómo funciona?</w:t>
      </w:r>
    </w:p>
    <w:p>
      <w:pPr>
        <w:spacing w:after="80"/>
      </w:pPr>
      <w:r>
        <w:t>Dos claves + una fecha: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normalized.facts → resolver conceptos → asignar econ_key → fijar measurement_date → deduplicar → economic_facts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FACT KEY</w:t>
      </w:r>
    </w:p>
    <w:p>
      <w:pPr>
        <w:pStyle w:val="ListBullet"/>
      </w:pPr>
      <w:r>
        <w:rPr>
          <w:b/>
        </w:rPr>
        <w:t>Qué es:</w:t>
      </w:r>
      <w:r>
        <w:t xml:space="preserve"> la </w:t>
      </w:r>
      <w:r>
        <w:rPr>
          <w:b/>
        </w:rPr>
        <w:t>identidad de la ocurrencia documental</w:t>
      </w:r>
      <w:r>
        <w:t>: *"este fact, de este</w:t>
      </w:r>
    </w:p>
    <w:p>
      <w:pPr>
        <w:spacing w:after="80"/>
      </w:pPr>
      <w:r>
        <w:t xml:space="preserve">  filing, de esta empresa, este contexto"*.</w:t>
      </w:r>
    </w:p>
    <w:p>
      <w:pPr>
        <w:pStyle w:val="ListBullet"/>
      </w:pPr>
      <w:r>
        <w:rPr>
          <w:b/>
        </w:rPr>
        <w:t>Qué hace:</w:t>
      </w:r>
      <w:r>
        <w:t xml:space="preserve"> ser el eslabón fino con PARSED: qué línea exacta del documento</w:t>
      </w:r>
    </w:p>
    <w:p>
      <w:pPr>
        <w:spacing w:after="80"/>
      </w:pPr>
      <w:r>
        <w:t xml:space="preserve">  original originó el hecho.</w:t>
      </w:r>
    </w:p>
    <w:p>
      <w:pPr>
        <w:pStyle w:val="ListBullet"/>
      </w:pPr>
      <w:r>
        <w:rPr>
          <w:b/>
        </w:rPr>
        <w:t>Entrada:</w:t>
      </w:r>
      <w:r>
        <w:t xml:space="preserve"> el par (filing, fact) del parsing.</w:t>
      </w:r>
    </w:p>
    <w:p>
      <w:pPr>
        <w:pStyle w:val="ListBullet"/>
      </w:pPr>
      <w:r>
        <w:rPr>
          <w:b/>
        </w:rPr>
        <w:t>Salida:</w:t>
      </w:r>
      <w:r>
        <w:t xml:space="preserve"> un identificador estable para auditoría fina.</w:t>
      </w:r>
    </w:p>
    <w:p>
      <w:pPr>
        <w:pStyle w:val="ListBullet"/>
      </w:pPr>
      <w:r>
        <w:rPr>
          <w:b/>
        </w:rPr>
        <w:t>DoD:</w:t>
      </w:r>
      <w:r>
        <w:t xml:space="preserve"> dado un fact_key, se puede volver al documento y al valor original.</w:t>
      </w:r>
    </w:p>
    <w:p>
      <w:pPr>
        <w:pStyle w:val="Heading3"/>
      </w:pPr>
      <w:r>
        <w:t>ECON KEY</w:t>
      </w:r>
    </w:p>
    <w:p>
      <w:pPr>
        <w:pStyle w:val="ListBullet"/>
      </w:pPr>
      <w:r>
        <w:rPr>
          <w:b/>
        </w:rPr>
        <w:t>Qué es:</w:t>
      </w:r>
      <w:r>
        <w:t xml:space="preserve"> la </w:t>
      </w:r>
      <w:r>
        <w:rPr>
          <w:b/>
        </w:rPr>
        <w:t>identidad económica normalizada</w:t>
      </w:r>
      <w:r>
        <w:t xml:space="preserve"> del concepto: el "concepto</w:t>
      </w:r>
    </w:p>
    <w:p>
      <w:pPr>
        <w:spacing w:after="80"/>
      </w:pPr>
      <w:r>
        <w:t xml:space="preserve">  canónico" del modelo (p. ej. </w:t>
      </w:r>
      <w:r>
        <w:rPr>
          <w:rFonts w:ascii="Consolas" w:hAnsi="Consolas"/>
          <w:sz w:val="18"/>
        </w:rPr>
        <w:t>revenue_consolidated_ttm</w:t>
      </w:r>
      <w:r>
        <w:t xml:space="preserve">, </w:t>
      </w:r>
      <w:r>
        <w:rPr>
          <w:rFonts w:ascii="Consolas" w:hAnsi="Consolas"/>
          <w:sz w:val="18"/>
        </w:rPr>
        <w:t>net_income_annual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equity_instant</w:t>
      </w:r>
      <w:r>
        <w:t>), agnóstico de la fuente y del régimen contable.</w:t>
      </w:r>
    </w:p>
    <w:p>
      <w:pPr>
        <w:pStyle w:val="ListBullet"/>
      </w:pPr>
      <w:r>
        <w:rPr>
          <w:b/>
        </w:rPr>
        <w:t>Qué hace:</w:t>
      </w:r>
      <w:r>
        <w:t xml:space="preserve"> decir "esto ES Revenue", sin importar si vino de US-GAAP, IFRS o</w:t>
      </w:r>
    </w:p>
    <w:p>
      <w:pPr>
        <w:spacing w:after="80"/>
      </w:pPr>
      <w:r>
        <w:t xml:space="preserve">  CNV.</w:t>
      </w:r>
    </w:p>
    <w:p>
      <w:pPr>
        <w:pStyle w:val="ListBullet"/>
      </w:pPr>
      <w:r>
        <w:rPr>
          <w:b/>
        </w:rPr>
        <w:t>Entrada:</w:t>
      </w:r>
      <w:r>
        <w:t xml:space="preserve"> qname + reglas de mapeo (semántica).</w:t>
      </w:r>
    </w:p>
    <w:p>
      <w:pPr>
        <w:pStyle w:val="ListBullet"/>
      </w:pPr>
      <w:r>
        <w:rPr>
          <w:b/>
        </w:rPr>
        <w:t>Salida:</w:t>
      </w:r>
      <w:r>
        <w:t xml:space="preserve"> cada fact técnico candidato etiquetado con un </w:t>
      </w:r>
      <w:r>
        <w:rPr>
          <w:rFonts w:ascii="Consolas" w:hAnsi="Consolas"/>
          <w:sz w:val="18"/>
        </w:rPr>
        <w:t>econ_key</w:t>
      </w:r>
      <w:r>
        <w:t>.</w:t>
      </w:r>
    </w:p>
    <w:p>
      <w:pPr>
        <w:pStyle w:val="ListBullet"/>
      </w:pPr>
      <w:r>
        <w:rPr>
          <w:b/>
        </w:rPr>
        <w:t>Validaciones:</w:t>
      </w:r>
      <w:r>
        <w:t xml:space="preserve"> el mapeo se audita (una regla mal puesta contamina todos los</w:t>
      </w:r>
    </w:p>
    <w:p>
      <w:pPr>
        <w:spacing w:after="80"/>
      </w:pPr>
      <w:r>
        <w:t xml:space="preserve">  ratios de abajo); los conceptos sin mapear quedan en estado "por mapear" y NO</w:t>
      </w:r>
    </w:p>
    <w:p>
      <w:pPr>
        <w:spacing w:after="80"/>
      </w:pPr>
      <w:r>
        <w:t xml:space="preserve">  entran a cálculos.</w:t>
      </w:r>
    </w:p>
    <w:p>
      <w:pPr>
        <w:pStyle w:val="ListBullet"/>
      </w:pPr>
      <w:r>
        <w:rPr>
          <w:b/>
        </w:rPr>
        <w:t>DoD:</w:t>
      </w:r>
      <w:r>
        <w:t xml:space="preserve"> el mapeo qname→econ_key está versionado y auditable.</w:t>
      </w:r>
    </w:p>
    <w:p>
      <w:pPr>
        <w:pStyle w:val="Heading3"/>
      </w:pPr>
      <w:r>
        <w:t>MEASUREMENT DATE</w:t>
      </w:r>
    </w:p>
    <w:p>
      <w:pPr>
        <w:pStyle w:val="ListBullet"/>
      </w:pPr>
      <w:r>
        <w:rPr>
          <w:b/>
        </w:rPr>
        <w:t>Qué es:</w:t>
      </w:r>
      <w:r>
        <w:t xml:space="preserve"> la </w:t>
      </w:r>
      <w:r>
        <w:rPr>
          <w:b/>
        </w:rPr>
        <w:t>fecha económica</w:t>
      </w:r>
      <w:r>
        <w:t xml:space="preserve"> a la que corresponde el hecho (no la fecha de</w:t>
      </w:r>
    </w:p>
    <w:p>
      <w:pPr>
        <w:spacing w:after="80"/>
      </w:pPr>
      <w:r>
        <w:t xml:space="preserve">  envío del documento).</w:t>
      </w:r>
    </w:p>
    <w:p>
      <w:pPr>
        <w:pStyle w:val="ListBullet"/>
      </w:pPr>
      <w:r>
        <w:rPr>
          <w:b/>
        </w:rPr>
        <w:t>Qué hace:</w:t>
      </w:r>
      <w:r>
        <w:t xml:space="preserve"> alinear todos los datos: dos filings de períodos distintos no se</w:t>
      </w:r>
    </w:p>
    <w:p>
      <w:pPr>
        <w:spacing w:after="80"/>
      </w:pPr>
      <w:r>
        <w:t xml:space="preserve">  comparan por su fecha de publicación sino por su </w:t>
      </w:r>
      <w:r>
        <w:rPr>
          <w:rFonts w:ascii="Consolas" w:hAnsi="Consolas"/>
          <w:sz w:val="18"/>
        </w:rPr>
        <w:t>measurement_date</w:t>
      </w:r>
      <w:r>
        <w:t>.</w:t>
      </w:r>
    </w:p>
    <w:p>
      <w:pPr>
        <w:pStyle w:val="ListBullet"/>
      </w:pPr>
      <w:r>
        <w:rPr>
          <w:b/>
        </w:rPr>
        <w:t>Entrada:</w:t>
      </w:r>
      <w:r>
        <w:t xml:space="preserve"> contexto del fact (instant/duration con sus fechas).</w:t>
      </w:r>
    </w:p>
    <w:p>
      <w:pPr>
        <w:pStyle w:val="ListBullet"/>
      </w:pPr>
      <w:r>
        <w:rPr>
          <w:b/>
        </w:rPr>
        <w:t>Salida:</w:t>
      </w:r>
      <w:r>
        <w:t xml:space="preserve"> fecha económica canónica (p. ej. cierre de ejercicio).</w:t>
      </w:r>
    </w:p>
    <w:p>
      <w:pPr>
        <w:pStyle w:val="ListBullet"/>
      </w:pPr>
      <w:r>
        <w:rPr>
          <w:b/>
        </w:rPr>
        <w:t>Validaciones:</w:t>
      </w:r>
      <w:r>
        <w:t xml:space="preserve"> sin fecha económica, el hecho no entra a series.</w:t>
      </w:r>
    </w:p>
    <w:p>
      <w:pPr>
        <w:pStyle w:val="ListBullet"/>
      </w:pPr>
      <w:r>
        <w:rPr>
          <w:b/>
        </w:rPr>
        <w:t>DoD:</w:t>
      </w:r>
      <w:r>
        <w:t xml:space="preserve"> todo </w:t>
      </w:r>
      <w:r>
        <w:rPr>
          <w:rFonts w:ascii="Consolas" w:hAnsi="Consolas"/>
          <w:sz w:val="18"/>
        </w:rPr>
        <w:t>economic_fact</w:t>
      </w:r>
      <w:r>
        <w:t xml:space="preserve"> tiene </w:t>
      </w:r>
      <w:r>
        <w:rPr>
          <w:rFonts w:ascii="Consolas" w:hAnsi="Consolas"/>
          <w:sz w:val="18"/>
        </w:rPr>
        <w:t>measurement_date</w:t>
      </w:r>
      <w:r>
        <w:t xml:space="preserve"> resuelta.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NORMALIZED (dato comparable) y de IDENTIDAD (a qué entidad). También de</w:t>
      </w:r>
    </w:p>
    <w:p>
      <w:pPr>
        <w:spacing w:after="80"/>
      </w:pPr>
      <w:r>
        <w:t>las migraciones del worktree (</w:t>
      </w:r>
      <w:r>
        <w:rPr>
          <w:rFonts w:ascii="Consolas" w:hAnsi="Consolas"/>
          <w:sz w:val="18"/>
        </w:rPr>
        <w:t>034–036</w:t>
      </w:r>
      <w:r>
        <w:t>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Misma cosa, varios filings</w:t>
      </w:r>
      <w:r>
        <w:t xml:space="preserve">: duplicado se resuelve por (entidad, </w:t>
      </w:r>
      <w:r>
        <w:rPr>
          <w:rFonts w:ascii="Consolas" w:hAnsi="Consolas"/>
          <w:sz w:val="18"/>
        </w:rPr>
        <w:t>econ_key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measurement_date</w:t>
      </w:r>
      <w:r>
        <w:t>, perímetro, moneda) — y se conserva la lista de facts que lo</w:t>
      </w:r>
    </w:p>
    <w:p>
      <w:pPr>
        <w:spacing w:after="80"/>
      </w:pPr>
      <w:r>
        <w:t xml:space="preserve">  alimentan (provenance).</w:t>
      </w:r>
    </w:p>
    <w:p>
      <w:pPr>
        <w:pStyle w:val="ListBullet"/>
      </w:pPr>
      <w:r>
        <w:rPr>
          <w:b/>
        </w:rPr>
        <w:t>Re-expresados por IAS 29</w:t>
      </w:r>
      <w:r>
        <w:t>: los números de períodos comparativos vienen</w:t>
      </w:r>
    </w:p>
    <w:p>
      <w:pPr>
        <w:spacing w:after="80"/>
      </w:pPr>
      <w:r>
        <w:t xml:space="preserve">  reexpresados a moneda de cierre (factor 1.3155 en METR FY2025). El </w:t>
      </w:r>
      <w:r>
        <w:rPr>
          <w:rFonts w:ascii="Consolas" w:hAnsi="Consolas"/>
          <w:sz w:val="18"/>
        </w:rPr>
        <w:t>econ_key</w:t>
      </w:r>
      <w:r>
        <w:t xml:space="preserve"> es</w:t>
      </w:r>
    </w:p>
    <w:p>
      <w:pPr>
        <w:spacing w:after="80"/>
      </w:pPr>
      <w:r>
        <w:t xml:space="preserve">  el mismo; la </w:t>
      </w:r>
      <w:r>
        <w:rPr>
          <w:b/>
        </w:rPr>
        <w:t>versión del dato</w:t>
      </w:r>
      <w:r>
        <w:t xml:space="preserve"> cambia y se registra.</w:t>
      </w:r>
    </w:p>
    <w:p>
      <w:pPr>
        <w:pStyle w:val="ListBullet"/>
      </w:pPr>
      <w:r>
        <w:rPr>
          <w:b/>
        </w:rPr>
        <w:t>Concepto sin mapear</w:t>
      </w:r>
      <w:r>
        <w:t>: se marca, no se inventa.</w:t>
      </w:r>
    </w:p>
    <w:p>
      <w:pPr>
        <w:pStyle w:val="ListBullet"/>
      </w:pPr>
      <w:r>
        <w:rPr>
          <w:b/>
        </w:rPr>
        <w:t>`is_custom` [HOY]</w:t>
      </w:r>
      <w:r>
        <w:t xml:space="preserve"> (parte IV): sin corregir, el mapeo está contaminado para</w:t>
      </w:r>
    </w:p>
    <w:p>
      <w:pPr>
        <w:spacing w:after="80"/>
      </w:pPr>
      <w:r>
        <w:t xml:space="preserve">  conceptos de la empresa.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fact técnico está correctamente convertido en hecho económico cuando: **existe</w:t>
      </w:r>
    </w:p>
    <w:p>
      <w:pPr>
        <w:spacing w:after="80"/>
      </w:pPr>
      <w:r>
        <w:t xml:space="preserve">un </w:t>
      </w:r>
      <w:r>
        <w:rPr>
          <w:rFonts w:ascii="Consolas" w:hAnsi="Consolas"/>
          <w:sz w:val="18"/>
        </w:rPr>
        <w:t>economic_fact</w:t>
      </w:r>
      <w:r>
        <w:t xml:space="preserve"> con </w:t>
      </w:r>
      <w:r>
        <w:rPr>
          <w:rFonts w:ascii="Consolas" w:hAnsi="Consolas"/>
          <w:sz w:val="18"/>
        </w:rPr>
        <w:t>econ_key</w:t>
      </w:r>
      <w:r>
        <w:t xml:space="preserve"> canónico, </w:t>
      </w:r>
      <w:r>
        <w:rPr>
          <w:rFonts w:ascii="Consolas" w:hAnsi="Consolas"/>
          <w:sz w:val="18"/>
        </w:rPr>
        <w:t>measurement_date</w:t>
      </w:r>
      <w:r>
        <w:t xml:space="preserve"> resuelta, entidad y</w:t>
      </w:r>
    </w:p>
    <w:p>
      <w:pPr>
        <w:spacing w:after="80"/>
      </w:pPr>
      <w:r>
        <w:t xml:space="preserve">perímetro correctos, deduplicado contra equivalentes, y con su </w:t>
      </w:r>
      <w:r>
        <w:rPr>
          <w:rFonts w:ascii="Consolas" w:hAnsi="Consolas"/>
          <w:sz w:val="18"/>
        </w:rPr>
        <w:t>fact_key</w:t>
      </w:r>
      <w:r>
        <w:t xml:space="preserve"> de</w:t>
      </w:r>
    </w:p>
    <w:p>
      <w:pPr>
        <w:spacing w:after="80"/>
      </w:pPr>
      <w:r>
        <w:t>origen conservado.**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FINANCIAL MODEL los </w:t>
      </w:r>
      <w:r>
        <w:rPr>
          <w:b/>
        </w:rPr>
        <w:t>hechos económicos homogéneos</w:t>
      </w:r>
      <w:r>
        <w:t xml:space="preserve"> para armar series</w:t>
      </w:r>
    </w:p>
    <w:p>
      <w:pPr>
        <w:spacing w:after="80"/>
      </w:pPr>
      <w:r>
        <w:t>(tiempo, TTM, stocks/flows).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FINANCIAL MODEL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Construir </w:t>
      </w:r>
      <w:r>
        <w:rPr>
          <w:b/>
        </w:rPr>
        <w:t>series financieras coherentes</w:t>
      </w:r>
      <w:r>
        <w:t xml:space="preserve"> a partir de los Economic Facts: un</w:t>
      </w:r>
    </w:p>
    <w:p>
      <w:pPr>
        <w:spacing w:after="80"/>
      </w:pPr>
      <w:r>
        <w:t>modelo cronológico por entidad donde cada concepto tiene su serie histórica bien</w:t>
      </w:r>
    </w:p>
    <w:p>
      <w:pPr>
        <w:spacing w:after="80"/>
      </w:pPr>
      <w:r>
        <w:t>formada (FY, Q, YTD, TTM/LTM, stocks y flows).</w:t>
      </w:r>
    </w:p>
    <w:p>
      <w:pPr>
        <w:pStyle w:val="Heading3"/>
      </w:pPr>
      <w:r>
        <w:t>¿Qué es?</w:t>
      </w:r>
    </w:p>
    <w:p>
      <w:pPr>
        <w:spacing w:after="80"/>
      </w:pPr>
      <w:r>
        <w:t>La capa que responde "¿cómo se ve el estado de resultados/balance/flujo de esta</w:t>
      </w:r>
    </w:p>
    <w:p>
      <w:pPr>
        <w:spacing w:after="80"/>
      </w:pPr>
      <w:r>
        <w:t>empresa a lo largo del tiempo, con períodos alineados?" — antes de calcular</w:t>
      </w:r>
    </w:p>
    <w:p>
      <w:pPr>
        <w:spacing w:after="80"/>
      </w:pPr>
      <w:r>
        <w:t>métricas. Vive en el worktree con Financial Model (</w:t>
      </w:r>
      <w:r>
        <w:rPr>
          <w:rFonts w:ascii="Consolas" w:hAnsi="Consolas"/>
          <w:sz w:val="18"/>
        </w:rPr>
        <w:t>034–036</w:t>
      </w:r>
      <w:r>
        <w:t>), pendiente D-1.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del </w:t>
      </w:r>
      <w:r>
        <w:rPr>
          <w:b/>
        </w:rPr>
        <w:t>doble conteo y del desfase de períodos</w:t>
      </w:r>
      <w:r>
        <w:t>: los filings reportan</w:t>
      </w:r>
    </w:p>
    <w:p>
      <w:pPr>
        <w:spacing w:after="80"/>
      </w:pPr>
      <w:r>
        <w:t>en distintos formatos (alguna YTD acumulada, otra trimestral, otra anual). Sin</w:t>
      </w:r>
    </w:p>
    <w:p>
      <w:pPr>
        <w:spacing w:after="80"/>
      </w:pPr>
      <w:r>
        <w:t>series construidas con reglas, TTM y ratios se calculan mal.</w:t>
      </w:r>
    </w:p>
    <w:p>
      <w:pPr>
        <w:pStyle w:val="Heading3"/>
      </w:pPr>
      <w:r>
        <w:t>¿Cómo funciona?</w:t>
      </w:r>
    </w:p>
    <w:p>
      <w:pPr>
        <w:pStyle w:val="ListBullet"/>
      </w:pPr>
      <w:r>
        <w:rPr>
          <w:b/>
        </w:rPr>
        <w:t>FY (fiscal year):</w:t>
      </w:r>
      <w:r>
        <w:t xml:space="preserve"> el ejercicio de la entidad (no necesariamente el año</w:t>
      </w:r>
    </w:p>
    <w:p>
      <w:pPr>
        <w:spacing w:after="80"/>
      </w:pPr>
      <w:r>
        <w:t xml:space="preserve">  calendario).</w:t>
      </w:r>
    </w:p>
    <w:p>
      <w:pPr>
        <w:pStyle w:val="ListBullet"/>
      </w:pPr>
      <w:r>
        <w:rPr>
          <w:b/>
        </w:rPr>
        <w:t>Q (quarter):</w:t>
      </w:r>
      <w:r>
        <w:t xml:space="preserve"> trimestres del ejercicio.</w:t>
      </w:r>
    </w:p>
    <w:p>
      <w:pPr>
        <w:pStyle w:val="ListBullet"/>
      </w:pPr>
      <w:r>
        <w:rPr>
          <w:b/>
        </w:rPr>
        <w:t>YTD (year-to-date):</w:t>
      </w:r>
      <w:r>
        <w:t xml:space="preserve"> acumulado del año a la fecha del documento.</w:t>
      </w:r>
    </w:p>
    <w:p>
      <w:pPr>
        <w:pStyle w:val="ListBullet"/>
      </w:pPr>
      <w:r>
        <w:rPr>
          <w:b/>
        </w:rPr>
        <w:t>TTM / LTM (trailing/last twelve months):</w:t>
      </w:r>
      <w:r>
        <w:t xml:space="preserve"> los últimos doce meses, construidos</w:t>
      </w:r>
    </w:p>
    <w:p>
      <w:pPr>
        <w:spacing w:after="80"/>
      </w:pPr>
      <w:r>
        <w:t xml:space="preserve">  combinando el año vigente y el anterior.</w:t>
      </w:r>
    </w:p>
    <w:p>
      <w:pPr>
        <w:pStyle w:val="Heading3"/>
      </w:pPr>
      <w:r>
        <w:t>Flujo interno (ejemplo: Revenue TTM)</w:t>
      </w:r>
    </w:p>
    <w:p>
      <w:pPr>
        <w:pStyle w:val="CodeBlock"/>
        <w:spacing w:after="100"/>
        <w:ind w:left="288"/>
      </w:pPr>
      <w:r>
        <w:t>FY Q3 [YTD Q3 reportado] + FY anterior [YTD Q3 anterior] − (si hace falta) → Revenue TTM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FY / QUARTER / YTD</w:t>
      </w:r>
    </w:p>
    <w:p>
      <w:pPr>
        <w:pStyle w:val="ListBullet"/>
      </w:pPr>
      <w:r>
        <w:rPr>
          <w:b/>
        </w:rPr>
        <w:t>Qué es:</w:t>
      </w:r>
      <w:r>
        <w:t xml:space="preserve"> los períodos canónicos del modelo.</w:t>
      </w:r>
    </w:p>
    <w:p>
      <w:pPr>
        <w:pStyle w:val="ListBullet"/>
      </w:pPr>
      <w:r>
        <w:rPr>
          <w:b/>
        </w:rPr>
        <w:t>Qué hace:</w:t>
      </w:r>
      <w:r>
        <w:t xml:space="preserve"> normalizar a un solo "reloj" por entidad: ejercicio fiscal, sus</w:t>
      </w:r>
    </w:p>
    <w:p>
      <w:pPr>
        <w:spacing w:after="80"/>
      </w:pPr>
      <w:r>
        <w:t xml:space="preserve">  trimestres y los YTD parciales.</w:t>
      </w:r>
    </w:p>
    <w:p>
      <w:pPr>
        <w:pStyle w:val="ListBullet"/>
      </w:pPr>
      <w:r>
        <w:rPr>
          <w:b/>
        </w:rPr>
        <w:t>Cómo funciona:</w:t>
      </w:r>
      <w:r>
        <w:t xml:space="preserve"> a partir del </w:t>
      </w:r>
      <w:r>
        <w:rPr>
          <w:rFonts w:ascii="Consolas" w:hAnsi="Consolas"/>
          <w:sz w:val="18"/>
        </w:rPr>
        <w:t>measurement_date</w:t>
      </w:r>
      <w:r>
        <w:t xml:space="preserve"> y del identitario fiscal de la</w:t>
      </w:r>
    </w:p>
    <w:p>
      <w:pPr>
        <w:spacing w:after="80"/>
      </w:pPr>
      <w:r>
        <w:t xml:space="preserve">  entidad, cada </w:t>
      </w:r>
      <w:r>
        <w:rPr>
          <w:rFonts w:ascii="Consolas" w:hAnsi="Consolas"/>
          <w:sz w:val="18"/>
        </w:rPr>
        <w:t>economic_fact</w:t>
      </w:r>
      <w:r>
        <w:t xml:space="preserve"> ca en su celda (ejercicio, trimestre, periodo).</w:t>
      </w:r>
    </w:p>
    <w:p>
      <w:pPr>
        <w:pStyle w:val="ListBullet"/>
      </w:pPr>
      <w:r>
        <w:rPr>
          <w:b/>
        </w:rPr>
        <w:t>Validaciones:</w:t>
      </w:r>
      <w:r>
        <w:t xml:space="preserve"> alineación temporal: Q3 ≤ Q2 ≤ Q1 del mismo ejercicio; YTD(t)</w:t>
      </w:r>
    </w:p>
    <w:p>
      <w:pPr>
        <w:spacing w:after="80"/>
      </w:pPr>
      <w:r>
        <w:t xml:space="preserve">  ≥ YTD(t−1).</w:t>
      </w:r>
    </w:p>
    <w:p>
      <w:pPr>
        <w:pStyle w:val="ListBullet"/>
      </w:pPr>
      <w:r>
        <w:rPr>
          <w:b/>
        </w:rPr>
        <w:t>DoD:</w:t>
      </w:r>
      <w:r>
        <w:t xml:space="preserve"> todo fact está en una celda del modelo y las celdas son monótonas.</w:t>
      </w:r>
    </w:p>
    <w:p>
      <w:pPr>
        <w:pStyle w:val="Heading3"/>
      </w:pPr>
      <w:r>
        <w:t>INSTANT / DURATION</w:t>
      </w:r>
    </w:p>
    <w:p>
      <w:pPr>
        <w:pStyle w:val="ListBullet"/>
      </w:pPr>
      <w:r>
        <w:rPr>
          <w:b/>
        </w:rPr>
        <w:t>Qué es:</w:t>
      </w:r>
      <w:r>
        <w:t xml:space="preserve"> la naturaleza temporal del número.</w:t>
      </w:r>
    </w:p>
    <w:p>
      <w:pPr>
        <w:pStyle w:val="ListBullet"/>
      </w:pPr>
      <w:r>
        <w:rPr>
          <w:b/>
        </w:rPr>
        <w:t>Qué hace:</w:t>
      </w:r>
      <w:r>
        <w:t xml:space="preserve"> mantener separados </w:t>
      </w:r>
      <w:r>
        <w:rPr>
          <w:b/>
        </w:rPr>
        <w:t>stocks</w:t>
      </w:r>
      <w:r>
        <w:t xml:space="preserve"> (balances: instantáneo al cierre) de</w:t>
      </w:r>
    </w:p>
    <w:p>
      <w:pPr>
        <w:spacing w:after="80"/>
      </w:pPr>
      <w:r>
        <w:t xml:space="preserve">  </w:t>
      </w:r>
      <w:r>
        <w:rPr>
          <w:b/>
        </w:rPr>
        <w:t>flows</w:t>
      </w:r>
      <w:r>
        <w:t xml:space="preserve"> (resultados: acumulan en el período).</w:t>
      </w:r>
    </w:p>
    <w:p>
      <w:pPr>
        <w:pStyle w:val="ListBullet"/>
      </w:pPr>
      <w:r>
        <w:t xml:space="preserve">instant: ejemplo </w:t>
      </w:r>
      <w:r>
        <w:rPr>
          <w:i/>
        </w:rPr>
        <w:t>Equity (Total)</w:t>
      </w:r>
      <w:r>
        <w:t xml:space="preserve"> al 31/12.</w:t>
      </w:r>
    </w:p>
    <w:p>
      <w:pPr>
        <w:pStyle w:val="ListBullet"/>
      </w:pPr>
      <w:r>
        <w:t xml:space="preserve">duration: ejemplo </w:t>
      </w:r>
      <w:r>
        <w:rPr>
          <w:i/>
        </w:rPr>
        <w:t>Revenue del trimestre</w:t>
      </w:r>
      <w:r>
        <w:t>.</w:t>
      </w:r>
    </w:p>
    <w:p>
      <w:pPr>
        <w:pStyle w:val="ListBullet"/>
      </w:pPr>
      <w:r>
        <w:rPr>
          <w:b/>
        </w:rPr>
        <w:t>Cómo funciona:</w:t>
      </w:r>
      <w:r>
        <w:t xml:space="preserve"> los stocks se comparan en el cierre; los flows se suman por</w:t>
      </w:r>
    </w:p>
    <w:p>
      <w:pPr>
        <w:spacing w:after="80"/>
      </w:pPr>
      <w:r>
        <w:t xml:space="preserve">  período. Nunca se mezclan.</w:t>
      </w:r>
    </w:p>
    <w:p>
      <w:pPr>
        <w:pStyle w:val="ListBullet"/>
      </w:pPr>
      <w:r>
        <w:rPr>
          <w:b/>
        </w:rPr>
        <w:t>Validaciones:</w:t>
      </w:r>
      <w:r>
        <w:t xml:space="preserve"> un flow nunca se "salda" en un instant y viceversa.</w:t>
      </w:r>
    </w:p>
    <w:p>
      <w:pPr>
        <w:pStyle w:val="ListBullet"/>
      </w:pPr>
      <w:r>
        <w:rPr>
          <w:b/>
        </w:rPr>
        <w:t>DoD:</w:t>
      </w:r>
      <w:r>
        <w:t xml:space="preserve"> etiqueta temporal explícita y consistente en toda la serie.</w:t>
      </w:r>
    </w:p>
    <w:p>
      <w:pPr>
        <w:pStyle w:val="Heading3"/>
      </w:pPr>
      <w:r>
        <w:t>TTM / LTM y construcción de series</w:t>
      </w:r>
    </w:p>
    <w:p>
      <w:pPr>
        <w:pStyle w:val="ListBullet"/>
      </w:pPr>
      <w:r>
        <w:rPr>
          <w:b/>
        </w:rPr>
        <w:t>Qué es:</w:t>
      </w:r>
      <w:r>
        <w:t xml:space="preserve"> la serie de "últimos doce meses".</w:t>
      </w:r>
    </w:p>
    <w:p>
      <w:pPr>
        <w:pStyle w:val="ListBullet"/>
      </w:pPr>
      <w:r>
        <w:rPr>
          <w:b/>
        </w:rPr>
        <w:t>Qué hace:</w:t>
      </w:r>
      <w:r>
        <w:t xml:space="preserve"> dá un nivel anual comparable aun mid-periodos.</w:t>
      </w:r>
    </w:p>
    <w:p>
      <w:pPr>
        <w:pStyle w:val="ListBullet"/>
      </w:pPr>
      <w:r>
        <w:rPr>
          <w:b/>
        </w:rPr>
        <w:t>Cómo funciona (Revenue TTM):</w:t>
      </w:r>
    </w:p>
    <w:p>
      <w:pPr>
        <w:pStyle w:val="ListNumber"/>
      </w:pPr>
      <w:r>
        <w:t>Tomo Revenue del año vigente hasta el trimestre más reciente (YTD o suma de</w:t>
      </w:r>
    </w:p>
    <w:p>
      <w:pPr>
        <w:spacing w:after="80"/>
      </w:pPr>
      <w:r>
        <w:t xml:space="preserve">     Qs).</w:t>
      </w:r>
    </w:p>
    <w:p>
      <w:pPr>
        <w:pStyle w:val="ListNumber"/>
      </w:pPr>
      <w:r>
        <w:t>Tomo Revenue del año anterior en el mismo tramo.</w:t>
      </w:r>
    </w:p>
    <w:p>
      <w:pPr>
        <w:pStyle w:val="ListNumber"/>
      </w:pPr>
      <w:r>
        <w:t>⟹ TTM = YTD vigente + (FY anterior − YTD anterior).</w:t>
      </w:r>
    </w:p>
    <w:p>
      <w:pPr>
        <w:spacing w:after="80"/>
      </w:pPr>
      <w:r>
        <w:t xml:space="preserve">  Si la fuente reporta exclusivamente YTD, no hay que sumar Qs (evita doble</w:t>
      </w:r>
    </w:p>
    <w:p>
      <w:pPr>
        <w:spacing w:after="80"/>
      </w:pPr>
      <w:r>
        <w:t xml:space="preserve">  conteo). Si reporta Qs individuales, TTM = Q1+Q2+Q3+Q4 del tramo correspondiente.</w:t>
      </w:r>
    </w:p>
    <w:p>
      <w:pPr>
        <w:pStyle w:val="ListBullet"/>
      </w:pPr>
      <w:r>
        <w:rPr>
          <w:b/>
        </w:rPr>
        <w:t>Validaciones:</w:t>
      </w:r>
      <w:r>
        <w:t xml:space="preserve"> identidad de TTM = siempre 12 meses; chequeo contra el periodo</w:t>
      </w:r>
    </w:p>
    <w:p>
      <w:pPr>
        <w:spacing w:after="80"/>
      </w:pPr>
      <w:r>
        <w:t xml:space="preserve">  del cierre anual.</w:t>
      </w:r>
    </w:p>
    <w:p>
      <w:pPr>
        <w:pStyle w:val="ListBullet"/>
      </w:pPr>
      <w:r>
        <w:rPr>
          <w:b/>
        </w:rPr>
        <w:t>DoD:</w:t>
      </w:r>
      <w:r>
        <w:t xml:space="preserve"> la serie TTM es continua para todo trimestre con datos.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ECONOMIC FACTS (hechos homogéneos) y de IDENTIDAD (ejercicio fiscal de</w:t>
      </w:r>
    </w:p>
    <w:p>
      <w:pPr>
        <w:spacing w:after="80"/>
      </w:pPr>
      <w:r>
        <w:t>la entidad, perímetro de cada serie).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Doble conteo YTD:</w:t>
      </w:r>
      <w:r>
        <w:t xml:space="preserve"> sumar Q1+Q2+Q3 cuando el filing ya reporta YTD Q3 → la</w:t>
      </w:r>
    </w:p>
    <w:p>
      <w:pPr>
        <w:spacing w:after="80"/>
      </w:pPr>
      <w:r>
        <w:t xml:space="preserve">  regla es "YTD llega como YTD": dado que venga, se usa directo.</w:t>
      </w:r>
    </w:p>
    <w:p>
      <w:pPr>
        <w:pStyle w:val="ListBullet"/>
      </w:pPr>
      <w:r>
        <w:rPr>
          <w:b/>
        </w:rPr>
        <w:t>Cambio de ejercicio fiscal</w:t>
      </w:r>
      <w:r>
        <w:t xml:space="preserve"> (la entidad cambia su cierre): versionar las</w:t>
      </w:r>
    </w:p>
    <w:p>
      <w:pPr>
        <w:spacing w:after="80"/>
      </w:pPr>
      <w:r>
        <w:t xml:space="preserve">  series y no mezclar.</w:t>
      </w:r>
    </w:p>
    <w:p>
      <w:pPr>
        <w:pStyle w:val="ListBullet"/>
      </w:pPr>
      <w:r>
        <w:rPr>
          <w:b/>
        </w:rPr>
        <w:t>Períodos no calendario:</w:t>
      </w:r>
      <w:r>
        <w:t xml:space="preserve"> el TTM se calcula sobre el ejercicio fiscal, no el</w:t>
      </w:r>
    </w:p>
    <w:p>
      <w:pPr>
        <w:spacing w:after="80"/>
      </w:pPr>
      <w:r>
        <w:t xml:space="preserve">  año de enero.</w:t>
      </w:r>
    </w:p>
    <w:p>
      <w:pPr>
        <w:pStyle w:val="ListBullet"/>
      </w:pPr>
      <w:r>
        <w:rPr>
          <w:b/>
        </w:rPr>
        <w:t>Datos faltantes en el medio (filing perdido):</w:t>
      </w:r>
      <w:r>
        <w:t xml:space="preserve"> la serie debe señalar el hueco</w:t>
      </w:r>
    </w:p>
    <w:p>
      <w:pPr>
        <w:spacing w:after="80"/>
      </w:pPr>
      <w:r>
        <w:t xml:space="preserve">  (</w:t>
      </w:r>
      <w:r>
        <w:rPr>
          <w:rFonts w:ascii="Consolas" w:hAnsi="Consolas"/>
          <w:sz w:val="18"/>
        </w:rPr>
        <w:t>GAP</w:t>
      </w:r>
      <w:r>
        <w:t>) y no "inventar" el trimestre.</w:t>
      </w:r>
    </w:p>
    <w:p>
      <w:pPr>
        <w:pStyle w:val="ListBullet"/>
      </w:pPr>
      <w:r>
        <w:rPr>
          <w:b/>
        </w:rPr>
        <w:t>Individual vs consolidado:</w:t>
      </w:r>
      <w:r>
        <w:t xml:space="preserve"> no combinar en una misma serie el perímetro</w:t>
      </w:r>
    </w:p>
    <w:p>
      <w:pPr>
        <w:spacing w:after="80"/>
      </w:pPr>
      <w:r>
        <w:t xml:space="preserve">  INDIVIDUAL (segmento) con el consolidado.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El Financial Model está suficientemente construido cuando: **para cada entidad y</w:t>
      </w:r>
    </w:p>
    <w:p>
      <w:pPr>
        <w:spacing w:after="80"/>
      </w:pPr>
      <w:r>
        <w:t>econ_key existe una serie homogénea (FY/Q/YTD, instant/duration, perímetro</w:t>
      </w:r>
    </w:p>
    <w:p>
      <w:pPr>
        <w:spacing w:after="80"/>
      </w:pPr>
      <w:r>
        <w:t>consistente) con TTM/LTM derivables sin doble conteo y con huecos señalan.**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RATIOS </w:t>
      </w:r>
      <w:r>
        <w:rPr>
          <w:b/>
        </w:rPr>
        <w:t>series listas</w:t>
      </w:r>
      <w:r>
        <w:t>: el ratio ya no piensa "de qué período", solo</w:t>
      </w:r>
    </w:p>
    <w:p>
      <w:pPr>
        <w:spacing w:after="80"/>
      </w:pPr>
      <w:r>
        <w:t>"con qué fórmula".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RATIOS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Transformar series financieras en </w:t>
      </w:r>
      <w:r>
        <w:rPr>
          <w:b/>
        </w:rPr>
        <w:t>métricas analíticas</w:t>
      </w:r>
      <w:r>
        <w:t xml:space="preserve"> (ratios) matemática y</w:t>
      </w:r>
    </w:p>
    <w:p>
      <w:pPr>
        <w:spacing w:after="80"/>
      </w:pPr>
      <w:r>
        <w:t>económicamente válidas.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define los </w:t>
      </w:r>
      <w:r>
        <w:rPr>
          <w:b/>
        </w:rPr>
        <w:t>contratos de cálculo</w:t>
      </w:r>
      <w:r>
        <w:t>: cada ratio es una especificación</w:t>
      </w:r>
    </w:p>
    <w:p>
      <w:pPr>
        <w:spacing w:after="80"/>
      </w:pPr>
      <w:r>
        <w:t>formal (fórmula, inputs, frecuencia, unidad, validaciones) que se ejecuta contra el</w:t>
      </w:r>
    </w:p>
    <w:p>
      <w:pPr>
        <w:spacing w:after="80"/>
      </w:pPr>
      <w:r>
        <w:t xml:space="preserve">Financial Model. Persistencia: </w:t>
      </w:r>
      <w:r>
        <w:rPr>
          <w:rFonts w:ascii="Consolas" w:hAnsi="Consolas"/>
          <w:sz w:val="18"/>
        </w:rPr>
        <w:t>derived.ratio</w:t>
      </w:r>
      <w:r>
        <w:t xml:space="preserve"> (con </w:t>
      </w:r>
      <w:r>
        <w:rPr>
          <w:rFonts w:ascii="Consolas" w:hAnsi="Consolas"/>
          <w:sz w:val="18"/>
        </w:rPr>
        <w:t>ratio_id</w:t>
      </w:r>
      <w:r>
        <w:t xml:space="preserve">, </w:t>
      </w:r>
      <w:r>
        <w:rPr>
          <w:rFonts w:ascii="Consolas" w:hAnsi="Consolas"/>
          <w:sz w:val="18"/>
        </w:rPr>
        <w:t>value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metadata</w:t>
      </w:r>
      <w:r>
        <w:t xml:space="preserve"> e </w:t>
      </w:r>
      <w:r>
        <w:rPr>
          <w:rFonts w:ascii="Consolas" w:hAnsi="Consolas"/>
          <w:sz w:val="18"/>
        </w:rPr>
        <w:t>inputs</w:t>
      </w:r>
      <w:r>
        <w:t>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Convertir los datos en </w:t>
      </w:r>
      <w:r>
        <w:rPr>
          <w:b/>
        </w:rPr>
        <w:t>respuestas</w:t>
      </w:r>
      <w:r>
        <w:t>: "¿está cara o barata? ¿qué tan rentable?"</w:t>
      </w:r>
    </w:p>
    <w:p>
      <w:pPr>
        <w:spacing w:after="80"/>
      </w:pPr>
      <w:r>
        <w:t>sin que cada análisis reinvente la fórmula. Además, centraliza el tratamiento de</w:t>
      </w:r>
    </w:p>
    <w:p>
      <w:pPr>
        <w:spacing w:after="80"/>
      </w:pPr>
      <w:r>
        <w:t>los casos límite.</w:t>
      </w:r>
    </w:p>
    <w:p>
      <w:pPr>
        <w:pStyle w:val="Heading3"/>
      </w:pPr>
      <w:r>
        <w:t>¿Cómo funciona?</w:t>
      </w:r>
    </w:p>
    <w:p>
      <w:pPr>
        <w:pStyle w:val="CodeBlock"/>
        <w:spacing w:after="100"/>
        <w:ind w:left="288"/>
      </w:pPr>
      <w:r>
        <w:t>series del Financial Model + inputs de Market → contrato de cálculo (ratio_defs) → ejecución → derived.ratio (value, status, metadata)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P/E / EPS</w:t>
      </w:r>
    </w:p>
    <w:p>
      <w:pPr>
        <w:pStyle w:val="ListBullet"/>
      </w:pPr>
      <w:r>
        <w:rPr>
          <w:b/>
        </w:rPr>
        <w:t>Fórmula:</w:t>
      </w:r>
      <w:r>
        <w:t xml:space="preserve"> P/E = Price ÷ EPS; EPS = NetIncome de los últimos 12 meses ÷</w:t>
      </w:r>
    </w:p>
    <w:p>
      <w:pPr>
        <w:spacing w:after="80"/>
      </w:pPr>
      <w:r>
        <w:t xml:space="preserve">  Shares (promedio o de cierre, según definición).</w:t>
      </w:r>
    </w:p>
    <w:p>
      <w:pPr>
        <w:pStyle w:val="ListBullet"/>
      </w:pPr>
      <w:r>
        <w:rPr>
          <w:b/>
        </w:rPr>
        <w:t>Inputs:</w:t>
      </w:r>
      <w:r>
        <w:t xml:space="preserve"> Price (Market, en ARS/USD según convención), Net Income (econ_key de</w:t>
      </w:r>
    </w:p>
    <w:p>
      <w:pPr>
        <w:spacing w:after="80"/>
      </w:pPr>
      <w:r>
        <w:t xml:space="preserve">  la serie), Shares.</w:t>
      </w:r>
    </w:p>
    <w:p>
      <w:pPr>
        <w:pStyle w:val="ListBullet"/>
      </w:pPr>
      <w:r>
        <w:rPr>
          <w:b/>
        </w:rPr>
        <w:t>Período/Unidad:</w:t>
      </w:r>
      <w:r>
        <w:t xml:space="preserve"> TTM/instant; EPS en la moneda del precio.</w:t>
      </w:r>
    </w:p>
    <w:p>
      <w:pPr>
        <w:pStyle w:val="ListBullet"/>
      </w:pPr>
      <w:r>
        <w:rPr>
          <w:b/>
        </w:rPr>
        <w:t>Dependencias:</w:t>
      </w:r>
      <w:r>
        <w:t xml:space="preserve"> Market + Financial Model.</w:t>
      </w:r>
    </w:p>
    <w:p>
      <w:pPr>
        <w:pStyle w:val="ListBullet"/>
      </w:pPr>
      <w:r>
        <w:rPr>
          <w:b/>
        </w:rPr>
        <w:t>Bordes:</w:t>
      </w:r>
      <w:r>
        <w:t xml:space="preserve"> EPS = 0 → </w:t>
      </w:r>
      <w:r>
        <w:rPr>
          <w:rFonts w:ascii="Consolas" w:hAnsi="Consolas"/>
          <w:sz w:val="18"/>
        </w:rPr>
        <w:t>NOT_CALCULABLE</w:t>
      </w:r>
      <w:r>
        <w:t>; EPS negativo → se publica (P/E negativo</w:t>
      </w:r>
    </w:p>
    <w:p>
      <w:pPr>
        <w:spacing w:after="80"/>
      </w:pPr>
      <w:r>
        <w:t xml:space="preserve">  significa pérdida, no error) con metadata; denominador inválido → </w:t>
      </w:r>
      <w:r>
        <w:rPr>
          <w:rFonts w:ascii="Consolas" w:hAnsi="Consolas"/>
          <w:sz w:val="18"/>
        </w:rPr>
        <w:t>NOT_CALCULABLE</w:t>
      </w:r>
      <w:r>
        <w:t>.</w:t>
      </w:r>
    </w:p>
    <w:p>
      <w:pPr>
        <w:pStyle w:val="Heading3"/>
      </w:pPr>
      <w:r>
        <w:t>P/B / P/S</w:t>
      </w:r>
    </w:p>
    <w:p>
      <w:pPr>
        <w:pStyle w:val="ListBullet"/>
      </w:pPr>
      <w:r>
        <w:t>P/B = Price ÷ Book value per share (Equity ÷ Shares, instant).</w:t>
      </w:r>
    </w:p>
    <w:p>
      <w:pPr>
        <w:pStyle w:val="ListBullet"/>
      </w:pPr>
      <w:r>
        <w:t>P/S = Price ÷ Sales per share (Revenue TTM ÷ Shares).</w:t>
      </w:r>
    </w:p>
    <w:p>
      <w:pPr>
        <w:pStyle w:val="ListBullet"/>
      </w:pPr>
      <w:r>
        <w:rPr>
          <w:b/>
        </w:rPr>
        <w:t>Lógica idéntica</w:t>
      </w:r>
      <w:r>
        <w:t xml:space="preserve"> al P/E.</w:t>
      </w:r>
    </w:p>
    <w:p>
      <w:pPr>
        <w:pStyle w:val="Heading3"/>
      </w:pPr>
      <w:r>
        <w:t>ROE / ROA</w:t>
      </w:r>
    </w:p>
    <w:p>
      <w:pPr>
        <w:pStyle w:val="ListBullet"/>
      </w:pPr>
      <w:r>
        <w:t>ROE = Net Income ÷ Average Equity (o Equity de cierre, según contrato).</w:t>
      </w:r>
    </w:p>
    <w:p>
      <w:pPr>
        <w:pStyle w:val="ListBullet"/>
      </w:pPr>
      <w:r>
        <w:t>ROA = Net Income ÷ Average Assets.</w:t>
      </w:r>
    </w:p>
    <w:p>
      <w:pPr>
        <w:pStyle w:val="ListBullet"/>
      </w:pPr>
      <w:r>
        <w:rPr>
          <w:b/>
        </w:rPr>
        <w:t>Bordes:</w:t>
      </w:r>
      <w:r>
        <w:t xml:space="preserve"> Equity/Assets = 0 o negativos → </w:t>
      </w:r>
      <w:r>
        <w:rPr>
          <w:rFonts w:ascii="Consolas" w:hAnsi="Consolas"/>
          <w:sz w:val="18"/>
        </w:rPr>
        <w:t>NOT_CALCULABLE</w:t>
      </w:r>
      <w:r>
        <w:t xml:space="preserve"> o flag; los ratios</w:t>
      </w:r>
    </w:p>
    <w:p>
      <w:pPr>
        <w:spacing w:after="80"/>
      </w:pPr>
      <w:r>
        <w:t xml:space="preserve">  negativos (patrimonio negativo) se marcan como anomalía.</w:t>
      </w:r>
    </w:p>
    <w:p>
      <w:pPr>
        <w:pStyle w:val="Heading3"/>
      </w:pPr>
      <w:r>
        <w:t>LIQUIDEZ / DEUDA</w:t>
      </w:r>
    </w:p>
    <w:p>
      <w:pPr>
        <w:pStyle w:val="ListBullet"/>
      </w:pPr>
      <w:r>
        <w:t>Current Ratio = Current Assets ÷ Current Liabilities; Deuda/Patrimonio,</w:t>
      </w:r>
    </w:p>
    <w:p>
      <w:pPr>
        <w:spacing w:after="80"/>
      </w:pPr>
      <w:r>
        <w:t xml:space="preserve">  Cobertura de intereses = EBIT ÷ Intereses.</w:t>
      </w:r>
    </w:p>
    <w:p>
      <w:pPr>
        <w:pStyle w:val="ListBullet"/>
      </w:pPr>
      <w:r>
        <w:rPr>
          <w:b/>
        </w:rPr>
        <w:t>Bordes:</w:t>
      </w:r>
      <w:r>
        <w:t xml:space="preserve"> denominador cero → </w:t>
      </w:r>
      <w:r>
        <w:rPr>
          <w:rFonts w:ascii="Consolas" w:hAnsi="Consolas"/>
          <w:sz w:val="18"/>
        </w:rPr>
        <w:t>NOT_CALCULABLE</w:t>
      </w:r>
      <w:r>
        <w:t>; pasivos muy grandes se</w:t>
      </w:r>
    </w:p>
    <w:p>
      <w:pPr>
        <w:spacing w:after="80"/>
      </w:pPr>
      <w:r>
        <w:t xml:space="preserve">  mantienen con su valor.</w:t>
      </w:r>
    </w:p>
    <w:p>
      <w:pPr>
        <w:pStyle w:val="Heading3"/>
      </w:pPr>
      <w:r>
        <w:t>EV / EBITDA</w:t>
      </w:r>
    </w:p>
    <w:p>
      <w:pPr>
        <w:pStyle w:val="ListBullet"/>
      </w:pPr>
      <w:r>
        <w:rPr>
          <w:b/>
        </w:rPr>
        <w:t>Fórmula:</w:t>
      </w:r>
      <w:r>
        <w:t xml:space="preserve"> EV = Market Cap + Deuda total − Caja; EV/EBITDA.</w:t>
      </w:r>
    </w:p>
    <w:p>
      <w:pPr>
        <w:pStyle w:val="ListBullet"/>
      </w:pPr>
      <w:r>
        <w:rPr>
          <w:b/>
        </w:rPr>
        <w:t>Inputs:</w:t>
      </w:r>
      <w:r>
        <w:t xml:space="preserve"> Market Cap (Market), Deuda neta (Financial Model), EBITDA (serie).</w:t>
      </w:r>
    </w:p>
    <w:p>
      <w:pPr>
        <w:pStyle w:val="ListBullet"/>
      </w:pPr>
      <w:r>
        <w:rPr>
          <w:b/>
        </w:rPr>
        <w:t>Bordes:</w:t>
      </w:r>
      <w:r>
        <w:t xml:space="preserve"> EBITDA = 0 o negativo → </w:t>
      </w:r>
      <w:r>
        <w:rPr>
          <w:rFonts w:ascii="Consolas" w:hAnsi="Consolas"/>
          <w:sz w:val="18"/>
        </w:rPr>
        <w:t>NOT_CALCULABLE</w:t>
      </w:r>
      <w:r>
        <w:t>/flag.</w:t>
      </w:r>
    </w:p>
    <w:p>
      <w:pPr>
        <w:pStyle w:val="Heading3"/>
      </w:pPr>
      <w:r>
        <w:t>Diferencia clave</w:t>
      </w:r>
    </w:p>
    <w:p>
      <w:pPr>
        <w:pStyle w:val="ListBullet"/>
      </w:pPr>
      <w:r>
        <w:rPr>
          <w:b/>
        </w:rPr>
        <w:t>dato financiero</w:t>
      </w:r>
      <w:r>
        <w:t xml:space="preserve"> = el hecho (Revenue, Equity).</w:t>
      </w:r>
    </w:p>
    <w:p>
      <w:pPr>
        <w:pStyle w:val="ListBullet"/>
      </w:pPr>
      <w:r>
        <w:rPr>
          <w:b/>
        </w:rPr>
        <w:t>métrica calculada</w:t>
      </w:r>
      <w:r>
        <w:t xml:space="preserve"> = el resultado del contrato (P/E = 12,4).</w:t>
      </w:r>
    </w:p>
    <w:p>
      <w:pPr>
        <w:pStyle w:val="ListBullet"/>
      </w:pPr>
      <w:r>
        <w:rPr>
          <w:b/>
        </w:rPr>
        <w:t>ratio</w:t>
      </w:r>
      <w:r>
        <w:t xml:space="preserve"> = la métrica </w:t>
      </w:r>
      <w:r>
        <w:rPr>
          <w:b/>
        </w:rPr>
        <w:t>más su metadata</w:t>
      </w:r>
      <w:r>
        <w:t xml:space="preserve"> (fórmula/versión, inputs, período,</w:t>
      </w:r>
    </w:p>
    <w:p>
      <w:pPr>
        <w:spacing w:after="80"/>
      </w:pPr>
      <w:r>
        <w:t xml:space="preserve">  unidad, status): el ratio es self-describing.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FINANCIAL MODEL (series) y de MARKET (precios, acciones). Depende de</w:t>
      </w:r>
    </w:p>
    <w:p>
      <w:pPr>
        <w:spacing w:after="80"/>
      </w:pPr>
      <w:r>
        <w:t>que la normalización de unidades/monedas sea correcta: un P/E con precio en ARS y</w:t>
      </w:r>
    </w:p>
    <w:p>
      <w:pPr>
        <w:spacing w:after="80"/>
      </w:pPr>
      <w:r>
        <w:t>EPS en USD es un error de unidades.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Falta de inputs:</w:t>
      </w:r>
      <w:r>
        <w:t xml:space="preserve"> la regla es </w:t>
      </w:r>
      <w:r>
        <w:rPr>
          <w:rFonts w:ascii="Consolas" w:hAnsi="Consolas"/>
          <w:sz w:val="18"/>
        </w:rPr>
        <w:t>NOT_CALCULABLE</w:t>
      </w:r>
      <w:r>
        <w:t>, nunca un 0 fabricado ni un</w:t>
      </w:r>
    </w:p>
    <w:p>
      <w:pPr>
        <w:spacing w:after="80"/>
      </w:pPr>
      <w:r>
        <w:t xml:space="preserve">  promedio "a ojo". [En la homologación TIKR, 43,4% de las métricas quedaron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CATALAXIA_MISSING_INPUT</w:t>
      </w:r>
      <w:r>
        <w:t>: falta insumo, no calidad.]</w:t>
      </w:r>
    </w:p>
    <w:p>
      <w:pPr>
        <w:pStyle w:val="ListBullet"/>
      </w:pPr>
      <w:r>
        <w:rPr>
          <w:b/>
        </w:rPr>
        <w:t>Cero como producto válido</w:t>
      </w:r>
      <w:r>
        <w:t xml:space="preserve"> (renta cero) vs. </w:t>
      </w:r>
      <w:r>
        <w:rPr>
          <w:b/>
        </w:rPr>
        <w:t>cero como denom suspenso</w:t>
      </w:r>
      <w:r>
        <w:t>:</w:t>
      </w:r>
    </w:p>
    <w:p>
      <w:pPr>
        <w:spacing w:after="80"/>
      </w:pPr>
      <w:r>
        <w:t xml:space="preserve">  dos tratamientos distintos.</w:t>
      </w:r>
    </w:p>
    <w:p>
      <w:pPr>
        <w:pStyle w:val="ListBullet"/>
      </w:pPr>
      <w:r>
        <w:rPr>
          <w:b/>
        </w:rPr>
        <w:t>Negativos:</w:t>
      </w:r>
      <w:r>
        <w:t xml:space="preserve"> se publican con status (p. ej. P/E negativo), salvo que el</w:t>
      </w:r>
    </w:p>
    <w:p>
      <w:pPr>
        <w:spacing w:after="80"/>
      </w:pPr>
      <w:r>
        <w:t xml:space="preserve">  contrato diga lo contrario.</w:t>
      </w:r>
    </w:p>
    <w:p>
      <w:pPr>
        <w:pStyle w:val="ListBullet"/>
      </w:pPr>
      <w:r>
        <w:rPr>
          <w:b/>
        </w:rPr>
        <w:t>[HOY]</w:t>
      </w:r>
      <w:r>
        <w:t xml:space="preserve"> </w:t>
      </w:r>
      <w:r>
        <w:rPr>
          <w:rFonts w:ascii="Consolas" w:hAnsi="Consolas"/>
          <w:sz w:val="18"/>
        </w:rPr>
        <w:t>derived.ratio</w:t>
      </w:r>
      <w:r>
        <w:t xml:space="preserve"> tiene 36 filas / 9 emisores sobre 584 instrumentos;</w:t>
      </w:r>
    </w:p>
    <w:p>
      <w:pPr>
        <w:spacing w:after="80"/>
      </w:pPr>
      <w:r>
        <w:t xml:space="preserve">  solo 4 métricas canónicas persisten (</w:t>
      </w:r>
      <w:r>
        <w:rPr>
          <w:rFonts w:ascii="Consolas" w:hAnsi="Consolas"/>
          <w:sz w:val="18"/>
        </w:rPr>
        <w:t>eps</w:t>
      </w:r>
      <w:r>
        <w:t xml:space="preserve">, </w:t>
      </w:r>
      <w:r>
        <w:rPr>
          <w:rFonts w:ascii="Consolas" w:hAnsi="Consolas"/>
          <w:sz w:val="18"/>
        </w:rPr>
        <w:t>pe</w:t>
      </w:r>
      <w:r>
        <w:t xml:space="preserve">, </w:t>
      </w:r>
      <w:r>
        <w:rPr>
          <w:rFonts w:ascii="Consolas" w:hAnsi="Consolas"/>
          <w:sz w:val="18"/>
        </w:rPr>
        <w:t>pb</w:t>
      </w:r>
      <w:r>
        <w:t xml:space="preserve">, </w:t>
      </w:r>
      <w:r>
        <w:rPr>
          <w:rFonts w:ascii="Consolas" w:hAnsi="Consolas"/>
          <w:sz w:val="18"/>
        </w:rPr>
        <w:t>ev_sales</w:t>
      </w:r>
      <w:r>
        <w:t>); las 14</w:t>
      </w:r>
    </w:p>
    <w:p>
      <w:pPr>
        <w:spacing w:after="80"/>
      </w:pPr>
      <w:r>
        <w:t xml:space="preserve">  contables no se persisten todavía (</w:t>
      </w:r>
      <w:r>
        <w:rPr>
          <w:rFonts w:ascii="Consolas" w:hAnsi="Consolas"/>
          <w:sz w:val="18"/>
        </w:rPr>
        <w:t>SG-03</w:t>
      </w:r>
      <w:r>
        <w:t>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ratio es válido cuando: **el contrato (fórmula, inputs, período, unidad) está</w:t>
      </w:r>
    </w:p>
    <w:p>
      <w:pPr>
        <w:spacing w:after="80"/>
      </w:pPr>
      <w:r>
        <w:t>definido y versionado, se ejecutó contra el modelo y Market, el resultado respetó</w:t>
      </w:r>
    </w:p>
    <w:p>
      <w:pPr>
        <w:spacing w:after="80"/>
      </w:pPr>
      <w:r>
        <w:t xml:space="preserve">las reglas de bordes, y </w:t>
      </w:r>
      <w:r>
        <w:rPr>
          <w:rFonts w:ascii="Consolas" w:hAnsi="Consolas"/>
          <w:sz w:val="18"/>
        </w:rPr>
        <w:t>derived.ratio</w:t>
      </w:r>
      <w:r>
        <w:t xml:space="preserve"> quedó con </w:t>
      </w:r>
      <w:r>
        <w:rPr>
          <w:rFonts w:ascii="Consolas" w:hAnsi="Consolas"/>
          <w:sz w:val="18"/>
        </w:rPr>
        <w:t>value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 y </w:t>
      </w:r>
      <w:r>
        <w:rPr>
          <w:rFonts w:ascii="Consolas" w:hAnsi="Consolas"/>
          <w:sz w:val="18"/>
        </w:rPr>
        <w:t>metadata</w:t>
      </w:r>
    </w:p>
    <w:p>
      <w:pPr>
        <w:spacing w:after="80"/>
      </w:pPr>
      <w:r>
        <w:t>(incluidos los inputs usados).** Probar siempre con casos de referencia (YPF, KO,</w:t>
      </w:r>
    </w:p>
    <w:p>
      <w:pPr>
        <w:spacing w:after="80"/>
      </w:pPr>
      <w:r>
        <w:t>METR).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PROVENANCE el </w:t>
      </w:r>
      <w:r>
        <w:rPr>
          <w:b/>
        </w:rPr>
        <w:t>extremo final del rastro</w:t>
      </w:r>
      <w:r>
        <w:t xml:space="preserve"> y a VALIDACIÓN el objeto que</w:t>
      </w:r>
    </w:p>
    <w:p>
      <w:pPr>
        <w:spacing w:after="80"/>
      </w:pPr>
      <w:r>
        <w:t>auditar.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PROVENANCE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Permitir </w:t>
      </w:r>
      <w:r>
        <w:rPr>
          <w:b/>
        </w:rPr>
        <w:t>reconstruir el origen completo de cualquier número publicado</w:t>
      </w:r>
      <w:r>
        <w:t>, en un</w:t>
      </w:r>
    </w:p>
    <w:p>
      <w:pPr>
        <w:spacing w:after="80"/>
      </w:pPr>
      <w:r>
        <w:t>solo "¿de dónde salió?"</w:t>
      </w:r>
    </w:p>
    <w:p>
      <w:pPr>
        <w:pStyle w:val="Heading3"/>
      </w:pPr>
      <w:r>
        <w:t>¿Qué es?</w:t>
      </w:r>
    </w:p>
    <w:p>
      <w:pPr>
        <w:spacing w:after="80"/>
      </w:pPr>
      <w:r>
        <w:t>La cadena de linaje que enlaza cada salida con su origen:</w:t>
      </w:r>
    </w:p>
    <w:p>
      <w:pPr>
        <w:pStyle w:val="CodeBlock"/>
        <w:spacing w:after="100"/>
        <w:ind w:left="288"/>
      </w:pPr>
      <w:r>
        <w:t>RATIO → FORMULA → INPUT → FACT → FILING / RAW → SHA256</w:t>
      </w:r>
    </w:p>
    <w:p>
      <w:pPr>
        <w:spacing w:after="80"/>
      </w:pPr>
      <w:r>
        <w:t>También los metadatos de transformación (reglas aplicadas, versión de la regla,</w:t>
      </w:r>
    </w:p>
    <w:p>
      <w:pPr>
        <w:spacing w:after="80"/>
      </w:pPr>
      <w:r>
        <w:t xml:space="preserve">fecha). Existe como capa real (Parte X · </w:t>
      </w:r>
      <w:r>
        <w:rPr>
          <w:rFonts w:ascii="Consolas" w:hAnsi="Consolas"/>
          <w:sz w:val="18"/>
        </w:rPr>
        <w:t>06_PROVENANCE.md</w:t>
      </w:r>
      <w:r>
        <w:t>), con límites</w:t>
      </w:r>
    </w:p>
    <w:p>
      <w:pPr>
        <w:spacing w:after="80"/>
      </w:pPr>
      <w:r>
        <w:t>conocidos.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La </w:t>
      </w:r>
      <w:r>
        <w:rPr>
          <w:b/>
        </w:rPr>
        <w:t>auditabilidad</w:t>
      </w:r>
      <w:r>
        <w:t>: para Catalaxia, la confianza es el producto. Un número sin</w:t>
      </w:r>
    </w:p>
    <w:p>
      <w:pPr>
        <w:spacing w:after="80"/>
      </w:pPr>
      <w:r>
        <w:t>origen no es un número: es una opinión.</w:t>
      </w:r>
    </w:p>
    <w:p>
      <w:pPr>
        <w:pStyle w:val="Heading3"/>
      </w:pPr>
      <w:r>
        <w:t>¿Cómo funciona?</w:t>
      </w:r>
    </w:p>
    <w:p>
      <w:pPr>
        <w:spacing w:after="80"/>
      </w:pPr>
      <w:r>
        <w:t>Cada etapa persistente apunta al origen de la anterior por id y versión:</w:t>
      </w:r>
    </w:p>
    <w:p>
      <w:pPr>
        <w:pStyle w:val="ListBullet"/>
      </w:pPr>
      <w:r>
        <w:rPr>
          <w:rFonts w:ascii="Consolas" w:hAnsi="Consolas"/>
          <w:sz w:val="18"/>
        </w:rPr>
        <w:t>derived.ratio</w:t>
      </w:r>
      <w:r>
        <w:t xml:space="preserve"> guarda </w:t>
      </w:r>
      <w:r>
        <w:rPr>
          <w:rFonts w:ascii="Consolas" w:hAnsi="Consolas"/>
          <w:sz w:val="18"/>
        </w:rPr>
        <w:t>ratio_id</w:t>
      </w:r>
      <w:r>
        <w:t xml:space="preserve">, </w:t>
      </w:r>
      <w:r>
        <w:rPr>
          <w:rFonts w:ascii="Consolas" w:hAnsi="Consolas"/>
          <w:sz w:val="18"/>
        </w:rPr>
        <w:t>value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metadata</w:t>
      </w:r>
      <w:r>
        <w:t xml:space="preserve"> e **</w:t>
      </w:r>
      <w:r>
        <w:rPr>
          <w:rFonts w:ascii="Consolas" w:hAnsi="Consolas"/>
          <w:sz w:val="18"/>
        </w:rPr>
        <w:t>inputs</w:t>
      </w:r>
    </w:p>
    <w:p>
      <w:pPr>
        <w:spacing w:after="80"/>
      </w:pPr>
      <w:r>
        <w:t xml:space="preserve">  (identificadores de los facts/series)**.</w:t>
      </w:r>
    </w:p>
    <w:p>
      <w:pPr>
        <w:pStyle w:val="ListBullet"/>
      </w:pPr>
      <w:r>
        <w:t xml:space="preserve">Los inputs apuntan a </w:t>
      </w:r>
      <w:r>
        <w:rPr>
          <w:rFonts w:ascii="Consolas" w:hAnsi="Consolas"/>
          <w:sz w:val="18"/>
        </w:rPr>
        <w:t>economic_facts</w:t>
      </w:r>
      <w:r>
        <w:t xml:space="preserve"> (o </w:t>
      </w:r>
      <w:r>
        <w:rPr>
          <w:rFonts w:ascii="Consolas" w:hAnsi="Consolas"/>
          <w:sz w:val="18"/>
        </w:rPr>
        <w:t>normalized.facts</w:t>
      </w:r>
      <w:r>
        <w:t xml:space="preserve"> donde no hay</w:t>
      </w:r>
    </w:p>
    <w:p>
      <w:pPr>
        <w:spacing w:after="80"/>
      </w:pPr>
      <w:r>
        <w:t xml:space="preserve">  economy), con su </w:t>
      </w:r>
      <w:r>
        <w:rPr>
          <w:rFonts w:ascii="Consolas" w:hAnsi="Consolas"/>
          <w:sz w:val="18"/>
        </w:rPr>
        <w:t>fact_key</w:t>
      </w:r>
      <w:r>
        <w:t>.</w:t>
      </w:r>
    </w:p>
    <w:p>
      <w:pPr>
        <w:pStyle w:val="ListBullet"/>
      </w:pPr>
      <w:r>
        <w:t xml:space="preserve">El </w:t>
      </w:r>
      <w:r>
        <w:rPr>
          <w:rFonts w:ascii="Consolas" w:hAnsi="Consolas"/>
          <w:sz w:val="18"/>
        </w:rPr>
        <w:t>fact_key</w:t>
      </w:r>
      <w:r>
        <w:t xml:space="preserve"> apunta al filing/documento; el documento apunta al RAW y su hash.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derived.ratio.inputs → economic_facts.fact_key → parsed.facts.metadata (filing) → RAW (hash) + reglas/versión de cada transformación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RATIO (el extremo)</w:t>
      </w:r>
    </w:p>
    <w:p>
      <w:pPr>
        <w:pStyle w:val="ListBullet"/>
      </w:pPr>
      <w:r>
        <w:t>Qué es: el número publicado con su identidad y status.</w:t>
      </w:r>
    </w:p>
    <w:p>
      <w:pPr>
        <w:pStyle w:val="ListBullet"/>
      </w:pPr>
      <w:r>
        <w:t>Qué hace: exponer el punto de partida del rastro.</w:t>
      </w:r>
    </w:p>
    <w:p>
      <w:pPr>
        <w:pStyle w:val="Heading3"/>
      </w:pPr>
      <w:r>
        <w:t>FÓRMULA / CONTRATO (versión)</w:t>
      </w:r>
    </w:p>
    <w:p>
      <w:pPr>
        <w:pStyle w:val="ListBullet"/>
      </w:pPr>
      <w:r>
        <w:t>Qué es: la especificación del cálculo (con su versión).</w:t>
      </w:r>
    </w:p>
    <w:p>
      <w:pPr>
        <w:pStyle w:val="ListBullet"/>
      </w:pPr>
      <w:r>
        <w:t>Qué hace: responder "¿con qué regla se calculó este número?" (ratio_defs</w:t>
      </w:r>
    </w:p>
    <w:p>
      <w:pPr>
        <w:spacing w:after="80"/>
      </w:pPr>
      <w:r>
        <w:t xml:space="preserve">  versionado).</w:t>
      </w:r>
    </w:p>
    <w:p>
      <w:pPr>
        <w:pStyle w:val="Heading3"/>
      </w:pPr>
      <w:r>
        <w:t>INPUT</w:t>
      </w:r>
    </w:p>
    <w:p>
      <w:pPr>
        <w:pStyle w:val="ListBullet"/>
      </w:pPr>
      <w:r>
        <w:t>Qué es: cada serie/fact que alimentó el cálculo.</w:t>
      </w:r>
    </w:p>
    <w:p>
      <w:pPr>
        <w:pStyle w:val="ListBullet"/>
      </w:pPr>
      <w:r>
        <w:t>Qué hace: dar el valor crudo y su identidad.</w:t>
      </w:r>
    </w:p>
    <w:p>
      <w:pPr>
        <w:pStyle w:val="Heading3"/>
      </w:pPr>
      <w:r>
        <w:t>FACT / FILING / RAW / SHA256</w:t>
      </w:r>
    </w:p>
    <w:p>
      <w:pPr>
        <w:pStyle w:val="ListBullet"/>
      </w:pPr>
      <w:r>
        <w:t>Qué es: el eslabón documental.</w:t>
      </w:r>
    </w:p>
    <w:p>
      <w:pPr>
        <w:pStyle w:val="ListBullet"/>
      </w:pPr>
      <w:r>
        <w:t>Qué hace: llevar hasta el archivo original con su huella de integridad.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todas las capas anteriores: sin fact_key bien armado ni filing con</w:t>
      </w:r>
    </w:p>
    <w:p>
      <w:pPr>
        <w:spacing w:after="80"/>
      </w:pPr>
      <w:r>
        <w:t xml:space="preserve">hash, el rastro se corta. </w:t>
      </w:r>
      <w:r>
        <w:rPr>
          <w:b/>
        </w:rPr>
        <w:t>[HOY:</w:t>
      </w:r>
      <w:r>
        <w:t xml:space="preserve"> en CNV el tramo legacy no tiene ledger ni</w:t>
      </w:r>
    </w:p>
    <w:p>
      <w:pPr>
        <w:spacing w:after="80"/>
      </w:pPr>
      <w:r>
        <w:rPr>
          <w:rFonts w:ascii="Consolas" w:hAnsi="Consolas"/>
          <w:sz w:val="18"/>
        </w:rPr>
        <w:t>hash_cnv</w:t>
      </w:r>
      <w:r>
        <w:t xml:space="preserve"> (</w:t>
      </w:r>
      <w:r>
        <w:rPr>
          <w:rFonts w:ascii="Consolas" w:hAnsi="Consolas"/>
          <w:sz w:val="18"/>
        </w:rPr>
        <w:t>SG-02</w:t>
      </w:r>
      <w:r>
        <w:t xml:space="preserve">), y </w:t>
      </w:r>
      <w:r>
        <w:rPr>
          <w:rFonts w:ascii="Consolas" w:hAnsi="Consolas"/>
          <w:sz w:val="18"/>
        </w:rPr>
        <w:t>9 de 7.998</w:t>
      </w:r>
      <w:r>
        <w:t xml:space="preserve"> entidades tienen hechos en engine (</w:t>
      </w:r>
      <w:r>
        <w:rPr>
          <w:rFonts w:ascii="Consolas" w:hAnsi="Consolas"/>
          <w:sz w:val="18"/>
        </w:rPr>
        <w:t>L-16</w:t>
      </w:r>
      <w:r>
        <w:t>) —</w:t>
      </w:r>
    </w:p>
    <w:p>
      <w:pPr>
        <w:spacing w:after="80"/>
      </w:pPr>
      <w:r>
        <w:t>la trazabilidad completa solo existe donde la identidad y el hash existen.]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t>Rastros que se cortan: se exponen como "sin origen" y **no se publican como</w:t>
      </w:r>
    </w:p>
    <w:p>
      <w:pPr>
        <w:spacing w:after="80"/>
      </w:pPr>
      <w:r>
        <w:t xml:space="preserve">  trazables**.</w:t>
      </w:r>
    </w:p>
    <w:p>
      <w:pPr>
        <w:pStyle w:val="ListBullet"/>
      </w:pPr>
      <w:r>
        <w:t>Cambio de reglas: el "contaminado" versionado es obligatorio (si la fórmula de</w:t>
      </w:r>
    </w:p>
    <w:p>
      <w:pPr>
        <w:spacing w:after="80"/>
      </w:pPr>
      <w:r>
        <w:t xml:space="preserve">  un ratio cambia, los números viejos deben saber bajo qué versión se hicieron).</w:t>
      </w:r>
    </w:p>
    <w:p>
      <w:pPr>
        <w:pStyle w:val="ListBullet"/>
      </w:pPr>
      <w:r>
        <w:t>Re-procesos: la cadena debe apuntar al re-run exacto (</w:t>
      </w:r>
      <w:r>
        <w:rPr>
          <w:rFonts w:ascii="Consolas" w:hAnsi="Consolas"/>
          <w:sz w:val="18"/>
        </w:rPr>
        <w:t>run_id</w:t>
      </w:r>
      <w:r>
        <w:t>), no al</w:t>
      </w:r>
    </w:p>
    <w:p>
      <w:pPr>
        <w:spacing w:after="80"/>
      </w:pPr>
      <w:r>
        <w:t xml:space="preserve">  "última vez que corrió todo".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dato es completamente trazable cuando, dado su id publicado, **se puede</w:t>
      </w:r>
    </w:p>
    <w:p>
      <w:pPr>
        <w:spacing w:after="80"/>
      </w:pPr>
      <w:r>
        <w:t>recorrer ratio → fórmula → inputs → facts → filing → RAW → hash → versión de cada</w:t>
      </w:r>
    </w:p>
    <w:p>
      <w:pPr>
        <w:spacing w:after="80"/>
      </w:pPr>
      <w:r>
        <w:t>transformación sin cortes, y cada paso está documentado con su versión y su</w:t>
      </w:r>
    </w:p>
    <w:p>
      <w:pPr>
        <w:spacing w:after="80"/>
      </w:pPr>
      <w:r>
        <w:rPr>
          <w:rFonts w:ascii="Consolas" w:hAnsi="Consolas"/>
          <w:sz w:val="18"/>
        </w:rPr>
        <w:t>run_id</w:t>
      </w:r>
      <w:r>
        <w:t>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VALIDACIÓN </w:t>
      </w:r>
      <w:r>
        <w:rPr>
          <w:b/>
        </w:rPr>
        <w:t>el material que validar</w:t>
      </w:r>
      <w:r>
        <w:t xml:space="preserve"> (lineage consistente) y a</w:t>
      </w:r>
    </w:p>
    <w:p>
      <w:pPr>
        <w:spacing w:after="80"/>
      </w:pPr>
      <w:r>
        <w:t xml:space="preserve">CERTIFICACIÓN </w:t>
      </w:r>
      <w:r>
        <w:rPr>
          <w:b/>
        </w:rPr>
        <w:t>la evidencia</w:t>
      </w:r>
      <w:r>
        <w:t xml:space="preserve"> para decidir PASS/BLOCK.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VALIDACIÓN</w:t>
      </w:r>
    </w:p>
    <w:p>
      <w:pPr>
        <w:pStyle w:val="Heading3"/>
      </w:pPr>
      <w:r>
        <w:t>Objetivo</w:t>
      </w:r>
    </w:p>
    <w:p>
      <w:pPr>
        <w:spacing w:after="80"/>
      </w:pPr>
      <w:r>
        <w:rPr>
          <w:b/>
        </w:rPr>
        <w:t>Demostrar</w:t>
      </w:r>
      <w:r>
        <w:t xml:space="preserve"> que el sistema produjo datos coherentes (no solo que "corrió").</w:t>
      </w:r>
    </w:p>
    <w:p>
      <w:pPr>
        <w:pStyle w:val="Heading3"/>
      </w:pPr>
      <w:r>
        <w:t>¿Qué es?</w:t>
      </w:r>
    </w:p>
    <w:p>
      <w:pPr>
        <w:spacing w:after="80"/>
      </w:pPr>
      <w:r>
        <w:t>El conjunto de checks técnicos, estructurales, financieros, matemáticos y de</w:t>
      </w:r>
    </w:p>
    <w:p>
      <w:pPr>
        <w:spacing w:after="80"/>
      </w:pPr>
      <w:r>
        <w:t>negocio que comparan lo esperado contra lo publicado. Produce evidencia; no decide</w:t>
      </w:r>
    </w:p>
    <w:p>
      <w:pPr>
        <w:spacing w:after="80"/>
      </w:pPr>
      <w:r>
        <w:t>estados (eso lo hace CERTIFICACIÓN).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riesgo de que un dato </w:t>
      </w:r>
      <w:r>
        <w:rPr>
          <w:b/>
        </w:rPr>
        <w:t>parezca</w:t>
      </w:r>
      <w:r>
        <w:t xml:space="preserve"> correcto y no lo sea (doble conteo, unidades</w:t>
      </w:r>
    </w:p>
    <w:p>
      <w:pPr>
        <w:spacing w:after="80"/>
      </w:pPr>
      <w:r>
        <w:t>cruzadas, huecos temporales, rastros rotos).</w:t>
      </w:r>
    </w:p>
    <w:p>
      <w:pPr>
        <w:pStyle w:val="Heading3"/>
      </w:pPr>
      <w:r>
        <w:t>¿Cómo funciona?</w:t>
      </w:r>
    </w:p>
    <w:p>
      <w:pPr>
        <w:pStyle w:val="ListBullet"/>
      </w:pPr>
      <w:r>
        <w:rPr>
          <w:b/>
        </w:rPr>
        <w:t>COMPLETITUD:</w:t>
      </w:r>
      <w:r>
        <w:t xml:space="preserve"> expected → published. Para cada celda del modelo (entidad,</w:t>
      </w:r>
    </w:p>
    <w:p>
      <w:pPr>
        <w:spacing w:after="80"/>
      </w:pPr>
      <w:r>
        <w:t xml:space="preserve">  período, concepto) comparo qué debía existir frente a qué existe; los faltantes</w:t>
      </w:r>
    </w:p>
    <w:p>
      <w:pPr>
        <w:spacing w:after="80"/>
      </w:pPr>
      <w:r>
        <w:t xml:space="preserve">  se listan.</w:t>
      </w:r>
    </w:p>
    <w:p>
      <w:pPr>
        <w:pStyle w:val="ListBullet"/>
      </w:pPr>
      <w:r>
        <w:rPr>
          <w:b/>
        </w:rPr>
        <w:t>UNIDADES:</w:t>
      </w:r>
      <w:r>
        <w:t xml:space="preserve"> consistencia de unidades en cada cálculo (P/E con precio y EPS en</w:t>
      </w:r>
    </w:p>
    <w:p>
      <w:pPr>
        <w:spacing w:after="80"/>
      </w:pPr>
      <w:r>
        <w:t xml:space="preserve">  la misma moneda), y entre períodos de una misma serie.</w:t>
      </w:r>
    </w:p>
    <w:p>
      <w:pPr>
        <w:pStyle w:val="ListBullet"/>
      </w:pPr>
      <w:r>
        <w:rPr>
          <w:b/>
        </w:rPr>
        <w:t>PERÍODOS:</w:t>
      </w:r>
      <w:r>
        <w:t xml:space="preserve"> alineación temporal: no mezclar Q con FY, YTD con TTM, instant con</w:t>
      </w:r>
    </w:p>
    <w:p>
      <w:pPr>
        <w:spacing w:after="80"/>
      </w:pPr>
      <w:r>
        <w:t xml:space="preserve">  duration en el mismo análisis.</w:t>
      </w:r>
    </w:p>
    <w:p>
      <w:pPr>
        <w:pStyle w:val="ListBullet"/>
      </w:pPr>
      <w:r>
        <w:rPr>
          <w:b/>
        </w:rPr>
        <w:t>PROVENANCE:</w:t>
      </w:r>
      <w:r>
        <w:t xml:space="preserve"> el character existe y es consistente (no hay fact_key sin</w:t>
      </w:r>
    </w:p>
    <w:p>
      <w:pPr>
        <w:spacing w:after="80"/>
      </w:pPr>
      <w:r>
        <w:t xml:space="preserve">  filing, no hay ratio sin inputs).</w:t>
      </w:r>
    </w:p>
    <w:p>
      <w:pPr>
        <w:pStyle w:val="ListBullet"/>
      </w:pPr>
      <w:r>
        <w:rPr>
          <w:b/>
        </w:rPr>
        <w:t>IDEMPOTENCIA:</w:t>
      </w:r>
      <w:r>
        <w:t xml:space="preserve"> **re-ejecutar el procesamiento no debe cambiar los</w:t>
      </w:r>
    </w:p>
    <w:p>
      <w:pPr>
        <w:spacing w:after="80"/>
      </w:pPr>
      <w:r>
        <w:t xml:space="preserve">  resultados** (ni duplicar). Medible corriendo dos veces y comparando.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dataset esperado (modelo) vs dataset publicado → ejecutar checks → reporte de validación (evidencia)</w:t>
      </w:r>
    </w:p>
    <w:p>
      <w:pPr>
        <w:pStyle w:val="Heading3"/>
      </w:pPr>
      <w:r>
        <w:t>Objetos / subetapas</w:t>
      </w:r>
    </w:p>
    <w:p>
      <w:pPr>
        <w:pStyle w:val="ListBullet"/>
      </w:pPr>
      <w:r>
        <w:rPr>
          <w:b/>
        </w:rPr>
        <w:t>Checks técnicos</w:t>
      </w:r>
      <w:r>
        <w:t xml:space="preserve"> (tipos, nulos, encodings) — los más baratos.</w:t>
      </w:r>
    </w:p>
    <w:p>
      <w:pPr>
        <w:pStyle w:val="ListBullet"/>
      </w:pPr>
      <w:r>
        <w:rPr>
          <w:b/>
        </w:rPr>
        <w:t>Estructurales</w:t>
      </w:r>
      <w:r>
        <w:t xml:space="preserve"> (claves, filas por filing, esquema).</w:t>
      </w:r>
    </w:p>
    <w:p>
      <w:pPr>
        <w:pStyle w:val="ListBullet"/>
      </w:pPr>
      <w:r>
        <w:rPr>
          <w:b/>
        </w:rPr>
        <w:t>Financieros</w:t>
      </w:r>
      <w:r>
        <w:t xml:space="preserve"> (sumas de sub-partidas = totales, coherencia de partidas).</w:t>
      </w:r>
    </w:p>
    <w:p>
      <w:pPr>
        <w:pStyle w:val="ListBullet"/>
      </w:pPr>
      <w:r>
        <w:rPr>
          <w:b/>
        </w:rPr>
        <w:t>Matemáticos</w:t>
      </w:r>
      <w:r>
        <w:t xml:space="preserve"> (unidades/equivalencias, porcentajes dentro de rango).</w:t>
      </w:r>
    </w:p>
    <w:p>
      <w:pPr>
        <w:pStyle w:val="ListBullet"/>
      </w:pPr>
      <w:r>
        <w:rPr>
          <w:b/>
        </w:rPr>
        <w:t>De negocio</w:t>
      </w:r>
      <w:r>
        <w:t xml:space="preserve"> (perímetro, contabilidad de la entidad, homologación externa</w:t>
      </w:r>
    </w:p>
    <w:p>
      <w:pPr>
        <w:spacing w:after="80"/>
      </w:pPr>
      <w:r>
        <w:t xml:space="preserve">  p. ej. TIKR).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PROVENANCE (para auditar el rastro) y del modelo esperado (definido por</w:t>
      </w:r>
    </w:p>
    <w:p>
      <w:pPr>
        <w:spacing w:after="80"/>
      </w:pPr>
      <w:r>
        <w:t>los contratos). Depende de que las corridas sean rastreables (</w:t>
      </w:r>
      <w:r>
        <w:rPr>
          <w:rFonts w:ascii="Consolas" w:hAnsi="Consolas"/>
          <w:sz w:val="18"/>
        </w:rPr>
        <w:t>run_id</w:t>
      </w:r>
      <w:r>
        <w:t>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Falsa completitud:</w:t>
      </w:r>
      <w:r>
        <w:t xml:space="preserve"> llenar huecos con inventos "para pasar el check": se</w:t>
      </w:r>
    </w:p>
    <w:p>
      <w:pPr>
        <w:spacing w:after="80"/>
      </w:pPr>
      <w:r>
        <w:t xml:space="preserve">  prohibe explícitamente.</w:t>
      </w:r>
    </w:p>
    <w:p>
      <w:pPr>
        <w:pStyle w:val="ListBullet"/>
      </w:pPr>
      <w:r>
        <w:rPr>
          <w:b/>
        </w:rPr>
        <w:t>F-038 [HOY]:</w:t>
      </w:r>
      <w:r>
        <w:t xml:space="preserve"> 3 tests pre-existentes fallan; se conocen, se declaran y no se</w:t>
      </w:r>
    </w:p>
    <w:p>
      <w:pPr>
        <w:spacing w:after="80"/>
      </w:pPr>
      <w:r>
        <w:t xml:space="preserve">  esconden.</w:t>
      </w:r>
    </w:p>
    <w:p>
      <w:pPr>
        <w:pStyle w:val="ListBullet"/>
      </w:pPr>
      <w:r>
        <w:rPr>
          <w:b/>
        </w:rPr>
        <w:t>Idempotencia no garantizada:</w:t>
      </w:r>
      <w:r>
        <w:t xml:space="preserve"> [HOY] S00/S02 y el </w:t>
      </w:r>
      <w:r>
        <w:rPr>
          <w:rFonts w:ascii="Consolas" w:hAnsi="Consolas"/>
          <w:sz w:val="18"/>
        </w:rPr>
        <w:t>is_custom</w:t>
      </w:r>
      <w:r>
        <w:t xml:space="preserve"> (P0) aún no</w:t>
      </w:r>
    </w:p>
    <w:p>
      <w:pPr>
        <w:spacing w:after="80"/>
      </w:pPr>
      <w:r>
        <w:t xml:space="preserve">  garantizan re-ejecución sin duplicados (Parte XI).</w:t>
      </w:r>
    </w:p>
    <w:p>
      <w:pPr>
        <w:pStyle w:val="ListBullet"/>
      </w:pPr>
      <w:r>
        <w:rPr>
          <w:b/>
        </w:rPr>
        <w:t>Homologación externa como oracle:</w:t>
      </w:r>
      <w:r>
        <w:t xml:space="preserve"> TIKR es referencia, no verdad absoluta;</w:t>
      </w:r>
    </w:p>
    <w:p>
      <w:pPr>
        <w:spacing w:after="80"/>
      </w:pPr>
      <w:r>
        <w:t xml:space="preserve">  las diferencias se explican (definición, perímetro, inputs).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dataset pasó VALIDACIÓN cuando: **todos los checks de la batería pasaron o sus</w:t>
      </w:r>
    </w:p>
    <w:p>
      <w:pPr>
        <w:spacing w:after="80"/>
      </w:pPr>
      <w:r>
        <w:t>excepciones están listadas y justificadas, la completitud está calculada sobre el</w:t>
      </w:r>
    </w:p>
    <w:p>
      <w:pPr>
        <w:spacing w:after="80"/>
      </w:pPr>
      <w:r>
        <w:t>modelo esperado, las unidades/períodos/provenance están coherentes y la</w:t>
      </w:r>
    </w:p>
    <w:p>
      <w:pPr>
        <w:spacing w:after="80"/>
      </w:pPr>
      <w:r>
        <w:t>re-ejecución no produce cambios (idempotencia verificada).**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CERTIFICACIÓN </w:t>
      </w:r>
      <w:r>
        <w:rPr>
          <w:b/>
        </w:rPr>
        <w:t>la evidencia</w:t>
      </w:r>
      <w:r>
        <w:t xml:space="preserve"> (sin validación no hay certificación</w:t>
      </w:r>
    </w:p>
    <w:p>
      <w:pPr>
        <w:spacing w:after="80"/>
      </w:pPr>
      <w:r>
        <w:t>posible).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CERTIFICACIÓN</w:t>
      </w:r>
    </w:p>
    <w:p>
      <w:pPr>
        <w:pStyle w:val="Heading3"/>
      </w:pPr>
      <w:r>
        <w:t>Objetivo</w:t>
      </w:r>
    </w:p>
    <w:p>
      <w:pPr>
        <w:spacing w:after="80"/>
      </w:pPr>
      <w:r>
        <w:t>Decidir, con la evidencia de VALIDACIÓN, si la información puede pasar a</w:t>
      </w:r>
    </w:p>
    <w:p>
      <w:pPr>
        <w:spacing w:after="80"/>
      </w:pPr>
      <w:r>
        <w:t>publicación — y registrarlo.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</w:t>
      </w:r>
      <w:r>
        <w:rPr>
          <w:b/>
        </w:rPr>
        <w:t>consume</w:t>
      </w:r>
      <w:r>
        <w:t xml:space="preserve"> validación y emite un </w:t>
      </w:r>
      <w:r>
        <w:rPr>
          <w:b/>
        </w:rPr>
        <w:t>estado</w:t>
      </w:r>
      <w:r>
        <w:t xml:space="preserve"> por dato/dataset: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PASS_WITH_WARNINGS</w:t>
      </w:r>
      <w:r>
        <w:t xml:space="preserve">, </w:t>
      </w:r>
      <w:r>
        <w:rPr>
          <w:rFonts w:ascii="Consolas" w:hAnsi="Consolas"/>
          <w:sz w:val="18"/>
        </w:rPr>
        <w:t>BLOCKED</w:t>
      </w:r>
      <w:r>
        <w:t>. Es el "último portero".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Que la decisión de publicar sea </w:t>
      </w:r>
      <w:r>
        <w:rPr>
          <w:b/>
        </w:rPr>
        <w:t>objetiva y rastreable</w:t>
      </w:r>
      <w:r>
        <w:t>, no la opinión del día.</w:t>
      </w:r>
    </w:p>
    <w:p>
      <w:pPr>
        <w:pStyle w:val="Heading3"/>
      </w:pPr>
      <w:r>
        <w:t>¿Cómo funciona?</w:t>
      </w:r>
    </w:p>
    <w:p>
      <w:pPr>
        <w:spacing w:after="80"/>
      </w:pPr>
      <w:r>
        <w:t xml:space="preserve">Reglas de gates (el engine ya tiene estados y gates </w:t>
      </w:r>
      <w:r>
        <w:rPr>
          <w:rFonts w:ascii="Consolas" w:hAnsi="Consolas"/>
          <w:sz w:val="18"/>
        </w:rPr>
        <w:t>PASS / WARNING / BLOCK</w:t>
      </w:r>
      <w:r>
        <w:t>).</w:t>
      </w:r>
    </w:p>
    <w:p>
      <w:pPr>
        <w:spacing w:after="80"/>
      </w:pPr>
      <w:r>
        <w:t>El certificador aplica las reglas a la evidencia de validación y escribe el</w:t>
      </w:r>
    </w:p>
    <w:p>
      <w:pPr>
        <w:spacing w:after="80"/>
      </w:pPr>
      <w:r>
        <w:t xml:space="preserve">resultado de certificación con su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evidencia de VALIDACIÓN → reglas de gate → estado (PASS / PASS_WITH_WARNINGS / BLOCKED) → registro de certificación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PASS</w:t>
      </w:r>
    </w:p>
    <w:p>
      <w:pPr>
        <w:pStyle w:val="ListBullet"/>
      </w:pPr>
      <w:r>
        <w:rPr>
          <w:b/>
        </w:rPr>
        <w:t>Qué es:</w:t>
      </w:r>
      <w:r>
        <w:t xml:space="preserve"> todas las validaciones superadas sin advertencias relevantes.</w:t>
      </w:r>
    </w:p>
    <w:p>
      <w:pPr>
        <w:pStyle w:val="ListBullet"/>
      </w:pPr>
      <w:r>
        <w:rPr>
          <w:b/>
        </w:rPr>
        <w:t>Qué produce:</w:t>
      </w:r>
      <w:r>
        <w:t xml:space="preserve"> autorización plena.</w:t>
      </w:r>
    </w:p>
    <w:p>
      <w:pPr>
        <w:pStyle w:val="Heading3"/>
      </w:pPr>
      <w:r>
        <w:t>PASS_WITH_WARNINGS</w:t>
      </w:r>
    </w:p>
    <w:p>
      <w:pPr>
        <w:pStyle w:val="ListBullet"/>
      </w:pPr>
      <w:r>
        <w:rPr>
          <w:b/>
        </w:rPr>
        <w:t>Qué es:</w:t>
      </w:r>
      <w:r>
        <w:t xml:space="preserve"> hay advertencias conocidas y explicadas que no invalidan el dato.</w:t>
      </w:r>
    </w:p>
    <w:p>
      <w:pPr>
        <w:pStyle w:val="ListBullet"/>
      </w:pPr>
      <w:r>
        <w:rPr>
          <w:b/>
        </w:rPr>
        <w:t>Qué produce:</w:t>
      </w:r>
      <w:r>
        <w:t xml:space="preserve"> publicación permitida con las advertencias **visibles y</w:t>
      </w:r>
    </w:p>
    <w:p>
      <w:pPr>
        <w:spacing w:after="80"/>
      </w:pPr>
      <w:r>
        <w:t xml:space="preserve">  guardadas**.</w:t>
      </w:r>
    </w:p>
    <w:p>
      <w:pPr>
        <w:pStyle w:val="Heading3"/>
      </w:pPr>
      <w:r>
        <w:t>BLOCKED</w:t>
      </w:r>
    </w:p>
    <w:p>
      <w:pPr>
        <w:pStyle w:val="ListBullet"/>
      </w:pPr>
      <w:r>
        <w:rPr>
          <w:b/>
        </w:rPr>
        <w:t>Qué es:</w:t>
      </w:r>
      <w:r>
        <w:t xml:space="preserve"> hay un error o inconsistencia bloqueante.</w:t>
      </w:r>
    </w:p>
    <w:p>
      <w:pPr>
        <w:pStyle w:val="ListBullet"/>
      </w:pPr>
      <w:r>
        <w:rPr>
          <w:b/>
        </w:rPr>
        <w:t>Qué produce:</w:t>
      </w:r>
      <w:r>
        <w:t xml:space="preserve"> prohibición de publicar hasta corregir y reprocesar.</w:t>
      </w:r>
    </w:p>
    <w:p>
      <w:pPr>
        <w:pStyle w:val="Heading3"/>
      </w:pPr>
      <w:r>
        <w:t>Diferencia warning vs error</w:t>
      </w:r>
    </w:p>
    <w:p>
      <w:pPr>
        <w:pStyle w:val="ListBullet"/>
      </w:pPr>
      <w:r>
        <w:rPr>
          <w:b/>
        </w:rPr>
        <w:t>Warning (advertencia):</w:t>
      </w:r>
      <w:r>
        <w:t xml:space="preserve"> se conoce, se explica, no rompe la coherencia (una</w:t>
      </w:r>
    </w:p>
    <w:p>
      <w:pPr>
        <w:spacing w:after="80"/>
      </w:pPr>
      <w:r>
        <w:t xml:space="preserve">  revisión manual dice "ok, es esperable").</w:t>
      </w:r>
    </w:p>
    <w:p>
      <w:pPr>
        <w:pStyle w:val="ListBullet"/>
      </w:pPr>
      <w:r>
        <w:rPr>
          <w:b/>
        </w:rPr>
        <w:t>Error:</w:t>
      </w:r>
      <w:r>
        <w:t xml:space="preserve"> rompe la producción del dato: no se publica hasta que se re-procesa.</w:t>
      </w:r>
    </w:p>
    <w:p>
      <w:pPr>
        <w:pStyle w:val="Heading3"/>
      </w:pPr>
      <w:r>
        <w:t>¿Quién determina? / ¿cómo queda registrado?</w:t>
      </w:r>
    </w:p>
    <w:p>
      <w:pPr>
        <w:pStyle w:val="ListBullet"/>
      </w:pPr>
      <w:r>
        <w:t xml:space="preserve">Determinan las </w:t>
      </w:r>
      <w:r>
        <w:rPr>
          <w:b/>
        </w:rPr>
        <w:t>reglas del gate</w:t>
      </w:r>
      <w:r>
        <w:t xml:space="preserve"> (no una persona: el resultado es reproducible</w:t>
      </w:r>
    </w:p>
    <w:p>
      <w:pPr>
        <w:spacing w:after="80"/>
      </w:pPr>
      <w:r>
        <w:t xml:space="preserve">  con el mismo insumo).</w:t>
      </w:r>
    </w:p>
    <w:p>
      <w:pPr>
        <w:pStyle w:val="ListBullet"/>
      </w:pPr>
      <w:r>
        <w:t xml:space="preserve">Queda en el </w:t>
      </w:r>
      <w:r>
        <w:rPr>
          <w:b/>
        </w:rPr>
        <w:t>registro de certificación</w:t>
      </w:r>
      <w:r>
        <w:t xml:space="preserve"> (tabla/ledger con </w:t>
      </w:r>
      <w:r>
        <w:rPr>
          <w:rFonts w:ascii="Consolas" w:hAnsi="Consolas"/>
          <w:sz w:val="18"/>
        </w:rPr>
        <w:t>run_id</w:t>
      </w:r>
      <w:r>
        <w:t>, estado,</w:t>
      </w:r>
    </w:p>
    <w:p>
      <w:pPr>
        <w:spacing w:after="80"/>
      </w:pPr>
      <w:r>
        <w:t xml:space="preserve">  versión de reglas y evidencia adjunta).</w:t>
      </w:r>
    </w:p>
    <w:p>
      <w:pPr>
        <w:pStyle w:val="Heading3"/>
      </w:pPr>
      <w:r>
        <w:t>Matriz de certificación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Significado</w:t>
            </w:r>
          </w:p>
        </w:tc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¿Publicable?</w:t>
            </w:r>
          </w:p>
        </w:tc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Acción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7"/>
              </w:rPr>
              <w:t>**PASS**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Todas las validaciones superadas, sin advertencias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Sí, sin restricción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Publicar + registrar evidencia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7"/>
              </w:rPr>
              <w:t>**PASS WITH WARNINGS**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Validaciones con advertencias conocidas y explicadas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Sí, con advertencias visibles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Publicar marcado; revisar advertencias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7"/>
              </w:rPr>
              <w:t>**BLOCKED**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Error o inconsistencia bloqueante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No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Corregir, reprocesar, re-certificar</w:t>
            </w:r>
          </w:p>
        </w:tc>
      </w:tr>
    </w:tbl>
    <w:p/>
    <w:p>
      <w:pPr>
        <w:pStyle w:val="Heading3"/>
      </w:pPr>
      <w:r>
        <w:t>Dependencias</w:t>
      </w:r>
    </w:p>
    <w:p>
      <w:pPr>
        <w:spacing w:after="80"/>
      </w:pPr>
      <w:r>
        <w:t>Depende de VALIDACIÓN (evidencia) y de que existan las **certificaciones</w:t>
      </w:r>
    </w:p>
    <w:p>
      <w:pPr>
        <w:spacing w:after="80"/>
      </w:pPr>
      <w:r>
        <w:t>pendientes**: C-1 (entorno desde cero), C-2 (Economic Facts/Financial Model), C-3</w:t>
      </w:r>
    </w:p>
    <w:p>
      <w:pPr>
        <w:spacing w:after="80"/>
      </w:pPr>
      <w:r>
        <w:t>(KO), C-4 (tramo C CNV/homologación), C-5 (idempotencia job5), C-6 (Market E2E).</w:t>
      </w:r>
    </w:p>
    <w:p>
      <w:pPr>
        <w:spacing w:after="80"/>
      </w:pPr>
      <w:r>
        <w:t xml:space="preserve">[HOY: no existe un </w:t>
      </w:r>
      <w:r>
        <w:rPr>
          <w:i/>
        </w:rPr>
        <w:t>gate agregado</w:t>
      </w:r>
      <w:r>
        <w:t xml:space="preserve"> que certifique un dataset completo de una vez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L-4</w:t>
      </w:r>
      <w:r>
        <w:t>).]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Warning repetido</w:t>
      </w:r>
      <w:r>
        <w:t xml:space="preserve"> que se normaliza: no grite; se documenta y se deja de</w:t>
      </w:r>
    </w:p>
    <w:p>
      <w:pPr>
        <w:spacing w:after="80"/>
      </w:pPr>
      <w:r>
        <w:t xml:space="preserve">  marcar como excepción.</w:t>
      </w:r>
    </w:p>
    <w:p>
      <w:pPr>
        <w:pStyle w:val="ListBullet"/>
      </w:pPr>
      <w:r>
        <w:rPr>
          <w:b/>
        </w:rPr>
        <w:t>Certificación sin evidencia:</w:t>
      </w:r>
      <w:r>
        <w:t xml:space="preserve"> prohibido (no hay certificación por confianza).</w:t>
      </w:r>
    </w:p>
    <w:p>
      <w:pPr>
        <w:pStyle w:val="ListBullet"/>
      </w:pPr>
      <w:r>
        <w:rPr>
          <w:b/>
        </w:rPr>
        <w:t>Dato viejísimo que se certifica con reglas nuevas:</w:t>
      </w:r>
      <w:r>
        <w:t xml:space="preserve"> se certifica bajo la</w:t>
      </w:r>
    </w:p>
    <w:p>
      <w:pPr>
        <w:spacing w:after="80"/>
      </w:pPr>
      <w:r>
        <w:t xml:space="preserve">  versión de reglas de su corrida.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Una información puede pasar oficialmente a publicación cuando: **existe un estado</w:t>
      </w:r>
    </w:p>
    <w:p>
      <w:pPr>
        <w:spacing w:after="80"/>
      </w:pPr>
      <w:r>
        <w:t>de certificación objetivamente derivado de la evidencia de validación, con reglas</w:t>
      </w:r>
    </w:p>
    <w:p>
      <w:pPr>
        <w:spacing w:after="80"/>
      </w:pPr>
      <w:r>
        <w:t xml:space="preserve">versionadas, y registrado con su </w:t>
      </w:r>
      <w:r>
        <w:rPr>
          <w:rFonts w:ascii="Consolas" w:hAnsi="Consolas"/>
          <w:sz w:val="18"/>
        </w:rPr>
        <w:t>run_id</w:t>
      </w:r>
      <w:r>
        <w:t xml:space="preserve">.** Si es </w:t>
      </w:r>
      <w:r>
        <w:rPr>
          <w:rFonts w:ascii="Consolas" w:hAnsi="Consolas"/>
          <w:sz w:val="18"/>
        </w:rPr>
        <w:t>BLOCKED</w:t>
      </w:r>
      <w:r>
        <w:t>, la publicación está</w:t>
      </w:r>
    </w:p>
    <w:p>
      <w:pPr>
        <w:spacing w:after="80"/>
      </w:pPr>
      <w:r>
        <w:t>prohibida.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PUBLICACIÓN </w:t>
      </w:r>
      <w:r>
        <w:rPr>
          <w:b/>
        </w:rPr>
        <w:t>el permiso</w:t>
      </w:r>
      <w:r>
        <w:t>: el pub solo acepta datos con certificación</w:t>
      </w:r>
    </w:p>
    <w:p>
      <w:pPr>
        <w:spacing w:after="80"/>
      </w:pPr>
      <w:r>
        <w:t>válida.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PUBLICACIÓN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Exponer </w:t>
      </w:r>
      <w:r>
        <w:rPr>
          <w:b/>
        </w:rPr>
        <w:t>únicamente</w:t>
      </w:r>
      <w:r>
        <w:t xml:space="preserve"> información que atravesó correctamente las capas</w:t>
      </w:r>
    </w:p>
    <w:p>
      <w:pPr>
        <w:spacing w:after="80"/>
      </w:pPr>
      <w:r>
        <w:t>anteriores y está certificada.</w:t>
      </w:r>
    </w:p>
    <w:p>
      <w:pPr>
        <w:pStyle w:val="Heading3"/>
      </w:pPr>
      <w:r>
        <w:t>¿Qué es?</w:t>
      </w:r>
    </w:p>
    <w:p>
      <w:pPr>
        <w:spacing w:after="80"/>
      </w:pPr>
      <w:r>
        <w:t>La capa de salida: los habilitadores para que el usuario final consulte, filtre y</w:t>
      </w:r>
    </w:p>
    <w:p>
      <w:pPr>
        <w:spacing w:after="80"/>
      </w:pPr>
      <w:r>
        <w:t xml:space="preserve">reciba los datos: DATABASE (PostgreSQL y/o </w:t>
      </w:r>
      <w:r>
        <w:rPr>
          <w:rFonts w:ascii="Consolas" w:hAnsi="Consolas"/>
          <w:sz w:val="18"/>
        </w:rPr>
        <w:t>screener.db</w:t>
      </w:r>
      <w:r>
        <w:t>), API, SCREENER</w:t>
      </w:r>
    </w:p>
    <w:p>
      <w:pPr>
        <w:spacing w:after="80"/>
      </w:pPr>
      <w:r>
        <w:t>(dashboard) y REPORTES (Excel/PDF).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</w:t>
      </w:r>
      <w:r>
        <w:rPr>
          <w:b/>
        </w:rPr>
        <w:t>desacople consumo vs. producción</w:t>
      </w:r>
      <w:r>
        <w:t>: el usuario que consulta no puede</w:t>
      </w:r>
    </w:p>
    <w:p>
      <w:pPr>
        <w:spacing w:after="80"/>
      </w:pPr>
      <w:r>
        <w:t>depender nunca de re-correr el ETL ni de re-leer las fuentes. PUBLICACIÓN sirve</w:t>
      </w:r>
    </w:p>
    <w:p>
      <w:pPr>
        <w:spacing w:after="80"/>
      </w:pPr>
      <w:r>
        <w:t>datos ya certificados.</w:t>
      </w:r>
    </w:p>
    <w:p>
      <w:pPr>
        <w:pStyle w:val="Heading3"/>
      </w:pPr>
      <w:r>
        <w:t>¿Cómo funciona?</w:t>
      </w:r>
    </w:p>
    <w:p>
      <w:pPr>
        <w:spacing w:after="80"/>
      </w:pPr>
      <w:r>
        <w:t xml:space="preserve">Creación de </w:t>
      </w:r>
      <w:r>
        <w:rPr>
          <w:b/>
        </w:rPr>
        <w:t>vistas/dataset de publicación</w:t>
      </w:r>
      <w:r>
        <w:t xml:space="preserve"> (solo datos PASS /</w:t>
      </w:r>
    </w:p>
    <w:p>
      <w:pPr>
        <w:spacing w:after="80"/>
      </w:pPr>
      <w:r>
        <w:t>PASS_WITH_WARNINGS), con la trazabilidad adjunta. El screener consulta esas</w:t>
      </w:r>
    </w:p>
    <w:p>
      <w:pPr>
        <w:spacing w:after="80"/>
      </w:pPr>
      <w:r>
        <w:t>vistas; los reportes salen de ellas.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datos certificados → dataset de publicación → API/screener/reportes (con provenance accesible)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DATABASE</w:t>
      </w:r>
    </w:p>
    <w:p>
      <w:pPr>
        <w:pStyle w:val="ListBullet"/>
      </w:pPr>
      <w:r>
        <w:rPr>
          <w:b/>
        </w:rPr>
        <w:t>Qué es:</w:t>
      </w:r>
      <w:r>
        <w:t xml:space="preserve"> la fuente de verdad de publicación (tablas </w:t>
      </w:r>
      <w:r>
        <w:rPr>
          <w:rFonts w:ascii="Consolas" w:hAnsi="Consolas"/>
          <w:sz w:val="18"/>
        </w:rPr>
        <w:t>derived.ratio</w:t>
      </w:r>
      <w:r>
        <w:t>,</w:t>
      </w:r>
    </w:p>
    <w:p>
      <w:pPr>
        <w:spacing w:after="80"/>
      </w:pPr>
      <w:r>
        <w:t xml:space="preserve">  vistas, </w:t>
      </w:r>
      <w:r>
        <w:rPr>
          <w:rFonts w:ascii="Consolas" w:hAnsi="Consolas"/>
          <w:sz w:val="18"/>
        </w:rPr>
        <w:t>market_*</w:t>
      </w:r>
      <w:r>
        <w:t xml:space="preserve">, </w:t>
      </w:r>
      <w:r>
        <w:rPr>
          <w:rFonts w:ascii="Consolas" w:hAnsi="Consolas"/>
          <w:sz w:val="18"/>
        </w:rPr>
        <w:t>economic_facts</w:t>
      </w:r>
      <w:r>
        <w:t xml:space="preserve">, </w:t>
      </w:r>
      <w:r>
        <w:rPr>
          <w:rFonts w:ascii="Consolas" w:hAnsi="Consolas"/>
          <w:sz w:val="18"/>
        </w:rPr>
        <w:t>financial_model</w:t>
      </w:r>
      <w:r>
        <w:t xml:space="preserve"> en producción).</w:t>
      </w:r>
    </w:p>
    <w:p>
      <w:pPr>
        <w:pStyle w:val="ListBullet"/>
      </w:pPr>
      <w:r>
        <w:rPr>
          <w:b/>
        </w:rPr>
        <w:t>Qué hace:</w:t>
      </w:r>
      <w:r>
        <w:t xml:space="preserve"> persistir únicamente datos certificados y sus metadatos.</w:t>
      </w:r>
    </w:p>
    <w:p>
      <w:pPr>
        <w:pStyle w:val="ListBullet"/>
      </w:pPr>
      <w:r>
        <w:rPr>
          <w:b/>
        </w:rPr>
        <w:t>Validaciones:</w:t>
      </w:r>
      <w:r>
        <w:t xml:space="preserve"> no se inyecta a producción nada sin certificación.</w:t>
      </w:r>
    </w:p>
    <w:p>
      <w:pPr>
        <w:pStyle w:val="Heading3"/>
      </w:pPr>
      <w:r>
        <w:t>API</w:t>
      </w:r>
    </w:p>
    <w:p>
      <w:pPr>
        <w:pStyle w:val="ListBullet"/>
      </w:pPr>
      <w:r>
        <w:rPr>
          <w:b/>
        </w:rPr>
        <w:t>Qué es:</w:t>
      </w:r>
      <w:r>
        <w:t xml:space="preserve"> la capa de servicio (contrato REST, p. ej. FastAPI).</w:t>
      </w:r>
    </w:p>
    <w:p>
      <w:pPr>
        <w:pStyle w:val="ListBullet"/>
      </w:pPr>
      <w:r>
        <w:rPr>
          <w:b/>
        </w:rPr>
        <w:t>Qué hace:</w:t>
      </w:r>
      <w:r>
        <w:t xml:space="preserve"> exponer los datos por contrato (entidad, período, métrica) con</w:t>
      </w:r>
    </w:p>
    <w:p>
      <w:pPr>
        <w:spacing w:after="80"/>
      </w:pPr>
      <w:r>
        <w:t xml:space="preserve">  metadata de trazabilidad, control de acceso y versionado.</w:t>
      </w:r>
    </w:p>
    <w:p>
      <w:pPr>
        <w:pStyle w:val="ListBullet"/>
      </w:pPr>
      <w:r>
        <w:rPr>
          <w:b/>
        </w:rPr>
        <w:t>Validaciones / DoD:</w:t>
      </w:r>
      <w:r>
        <w:t xml:space="preserve"> cada respuesta lleva su provenance accesible.</w:t>
      </w:r>
    </w:p>
    <w:p>
      <w:pPr>
        <w:pStyle w:val="Heading3"/>
      </w:pPr>
      <w:r>
        <w:t>SCREENER</w:t>
      </w:r>
    </w:p>
    <w:p>
      <w:pPr>
        <w:pStyle w:val="ListBullet"/>
      </w:pPr>
      <w:r>
        <w:rPr>
          <w:b/>
        </w:rPr>
        <w:t>Qué es:</w:t>
      </w:r>
      <w:r>
        <w:t xml:space="preserve"> el dashboard del usuario final (el encargo del cliente:</w:t>
      </w:r>
    </w:p>
    <w:p>
      <w:pPr>
        <w:spacing w:after="80"/>
      </w:pPr>
      <w:r>
        <w:t xml:space="preserve">  "implementación de dashboard para Catalaxia").</w:t>
      </w:r>
    </w:p>
    <w:p>
      <w:pPr>
        <w:pStyle w:val="ListBullet"/>
      </w:pPr>
      <w:r>
        <w:rPr>
          <w:b/>
        </w:rPr>
        <w:t>Qué hace:</w:t>
      </w:r>
      <w:r>
        <w:t xml:space="preserve"> consultar el API/vistas para filtrar por entidad, calidad,</w:t>
      </w:r>
    </w:p>
    <w:p>
      <w:pPr>
        <w:spacing w:after="80"/>
      </w:pPr>
      <w:r>
        <w:t xml:space="preserve">  ratios, series; mostrar el estado (PASS/BLOCK) y la trazabilidad de cada dato.</w:t>
      </w:r>
    </w:p>
    <w:p>
      <w:pPr>
        <w:pStyle w:val="ListBullet"/>
      </w:pPr>
      <w:r>
        <w:rPr>
          <w:b/>
        </w:rPr>
        <w:t>DoD:</w:t>
      </w:r>
      <w:r>
        <w:t xml:space="preserve"> para cada número mostrado, existe un "ver origen".</w:t>
      </w:r>
    </w:p>
    <w:p>
      <w:pPr>
        <w:pStyle w:val="Heading3"/>
      </w:pPr>
      <w:r>
        <w:t>REPORTES</w:t>
      </w:r>
    </w:p>
    <w:p>
      <w:pPr>
        <w:pStyle w:val="ListBullet"/>
      </w:pPr>
      <w:r>
        <w:rPr>
          <w:b/>
        </w:rPr>
        <w:t>Qué es:</w:t>
      </w:r>
      <w:r>
        <w:t xml:space="preserve"> exportaciones Excel/PDF.</w:t>
      </w:r>
    </w:p>
    <w:p>
      <w:pPr>
        <w:pStyle w:val="ListBullet"/>
      </w:pPr>
      <w:r>
        <w:rPr>
          <w:b/>
        </w:rPr>
        <w:t>Qué hace:</w:t>
      </w:r>
      <w:r>
        <w:t xml:space="preserve"> materializar cortes del dataset de publicación con su metadata.</w:t>
      </w:r>
    </w:p>
    <w:p>
      <w:pPr>
        <w:pStyle w:val="ListBullet"/>
      </w:pPr>
      <w:r>
        <w:rPr>
          <w:b/>
        </w:rPr>
        <w:t>DoD:</w:t>
      </w:r>
      <w:r>
        <w:t xml:space="preserve"> cada reporte incluye origen y versión de los datos.</w:t>
      </w:r>
    </w:p>
    <w:p>
      <w:pPr>
        <w:pStyle w:val="Heading3"/>
      </w:pPr>
      <w:r>
        <w:t>¿Por qué PUBLICACIÓN debe estar desacoplada de las fuentes?</w:t>
      </w:r>
    </w:p>
    <w:p>
      <w:pPr>
        <w:spacing w:after="80"/>
      </w:pPr>
      <w:r>
        <w:t xml:space="preserve">Porque el </w:t>
      </w:r>
      <w:r>
        <w:rPr>
          <w:b/>
        </w:rPr>
        <w:t>dispendio de publicación puede servir, comparar y certificar</w:t>
      </w:r>
      <w:r>
        <w:t xml:space="preserve"> sin</w:t>
      </w:r>
    </w:p>
    <w:p>
      <w:pPr>
        <w:spacing w:after="80"/>
      </w:pPr>
      <w:r>
        <w:t>tocar nunca el pipeline. Si la publicación re-lee la fuente, una caída de la SEC</w:t>
      </w:r>
    </w:p>
    <w:p>
      <w:pPr>
        <w:spacing w:after="80"/>
      </w:pPr>
      <w:r>
        <w:t>rompe el dashboard y se pierde la separación "dato publicado vs. dato nuevo".</w:t>
      </w:r>
    </w:p>
    <w:p>
      <w:pPr>
        <w:spacing w:after="80"/>
      </w:pPr>
      <w:r>
        <w:t>Regla operativa: **el pub nunca escribe en las tablas de ingesta y nunca se corre</w:t>
      </w:r>
    </w:p>
    <w:p>
      <w:pPr>
        <w:spacing w:after="80"/>
      </w:pPr>
      <w:r>
        <w:t>como pipeline de fuentes** (regla N-2 / la regla de los 374).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CERTIFICACIÓN (permiso), de PROVENANCE (trazabilidad mostrable) y de</w:t>
      </w:r>
    </w:p>
    <w:p>
      <w:pPr>
        <w:spacing w:after="80"/>
      </w:pPr>
      <w:r>
        <w:t>las capas de presentación (API/dashboard) que en general están EN DESARROLLO.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Publicar data sin certificar</w:t>
      </w:r>
      <w:r>
        <w:t xml:space="preserve"> (hoy hay datos CNV publicados por el tramo</w:t>
      </w:r>
    </w:p>
    <w:p>
      <w:pPr>
        <w:spacing w:after="80"/>
      </w:pPr>
      <w:r>
        <w:t xml:space="preserve">  legacy sin ledger ni certificación: son </w:t>
      </w:r>
      <w:r>
        <w:rPr>
          <w:rFonts w:ascii="Consolas" w:hAnsi="Consolas"/>
          <w:sz w:val="18"/>
        </w:rPr>
        <w:t>KNOWN_LIMITATION</w:t>
      </w:r>
      <w:r>
        <w:t>, ver Parte XVII).</w:t>
      </w:r>
    </w:p>
    <w:p>
      <w:pPr>
        <w:pStyle w:val="ListBullet"/>
      </w:pPr>
      <w:r>
        <w:rPr>
          <w:b/>
        </w:rPr>
        <w:t>Versionado del pub:</w:t>
      </w:r>
      <w:r>
        <w:t xml:space="preserve"> cuando cambia la regla, el pub sirve la versión nueva</w:t>
      </w:r>
    </w:p>
    <w:p>
      <w:pPr>
        <w:spacing w:after="80"/>
      </w:pPr>
      <w:r>
        <w:t xml:space="preserve">  con su metadata, no "borra" la anterior.</w:t>
      </w:r>
    </w:p>
    <w:p>
      <w:pPr>
        <w:pStyle w:val="ListBullet"/>
      </w:pPr>
      <w:r>
        <w:rPr>
          <w:b/>
        </w:rPr>
        <w:t>Reportes con "unidades de memoria":</w:t>
      </w:r>
      <w:r>
        <w:t xml:space="preserve"> los reportes deben llevar la unidad</w:t>
      </w:r>
    </w:p>
    <w:p>
      <w:pPr>
        <w:spacing w:after="80"/>
      </w:pPr>
      <w:r>
        <w:t xml:space="preserve">  explícita del dato (reusa la metadata de NORMALIZED).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dato está oficialmente disponible para el usuario final cuando: **está en el</w:t>
      </w:r>
    </w:p>
    <w:p>
      <w:pPr>
        <w:spacing w:after="80"/>
      </w:pPr>
      <w:r>
        <w:t>dataset de publicación, con estado certificado (PASS o PASS_WITH_WARNINGS), días</w:t>
      </w:r>
    </w:p>
    <w:p>
      <w:pPr>
        <w:spacing w:after="80"/>
      </w:pPr>
      <w:r>
        <w:t>accesible por API/screener/reporte Y su trazabilidad completa es consultable sin</w:t>
      </w:r>
    </w:p>
    <w:p>
      <w:pPr>
        <w:spacing w:after="80"/>
      </w:pPr>
      <w:r>
        <w:t>re-correr nada.**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No hay capa siguiente: PUBLICACIÓN es el borde. Habilita el </w:t>
      </w:r>
      <w:r>
        <w:rPr>
          <w:b/>
        </w:rPr>
        <w:t>negocio</w:t>
      </w:r>
      <w:r>
        <w:t xml:space="preserve"> (decisiones</w:t>
      </w:r>
    </w:p>
    <w:p>
      <w:pPr>
        <w:spacing w:after="80"/>
      </w:pPr>
      <w:r>
        <w:t xml:space="preserve">del inversor/analista) y el </w:t>
      </w:r>
      <w:r>
        <w:rPr>
          <w:b/>
        </w:rPr>
        <w:t>feedback</w:t>
      </w:r>
      <w:r>
        <w:t xml:space="preserve"> que vuelve a FUENTES (nuevos datos,</w:t>
      </w:r>
    </w:p>
    <w:p>
      <w:pPr>
        <w:spacing w:after="80"/>
      </w:pPr>
      <w:r>
        <w:t>errores detectados, recálculos).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DIFERENCIAS CRÍTICAS ENTRE CAPAS</w:t>
      </w:r>
    </w:p>
    <w:p>
      <w:pPr>
        <w:pStyle w:val="ListNumber"/>
      </w:pPr>
      <w:r>
        <w:rPr>
          <w:b/>
        </w:rPr>
        <w:t>FUENTES vs RAW:</w:t>
      </w:r>
      <w:r>
        <w:t xml:space="preserve"> FUENTES </w:t>
      </w:r>
      <w:r>
        <w:rPr>
          <w:i/>
        </w:rPr>
        <w:t>obtiene</w:t>
      </w:r>
      <w:r>
        <w:t xml:space="preserve"> y descubre documentos; RAW </w:t>
      </w:r>
      <w:r>
        <w:rPr>
          <w:i/>
        </w:rPr>
        <w:t>preserva</w:t>
      </w:r>
    </w:p>
    <w:p>
      <w:pPr>
        <w:spacing w:after="80"/>
      </w:pPr>
      <w:r>
        <w:t xml:space="preserve">   los bytes descargados. La fuente está afuera; el RAW está adentro y es</w:t>
      </w:r>
    </w:p>
    <w:p>
      <w:pPr>
        <w:spacing w:after="80"/>
      </w:pPr>
      <w:r>
        <w:t xml:space="preserve">   inmutable. Fuente sin RAW = se perdió la evidencia.</w:t>
      </w:r>
    </w:p>
    <w:p>
      <w:pPr>
        <w:pStyle w:val="ListNumber"/>
      </w:pPr>
      <w:r>
        <w:rPr>
          <w:b/>
        </w:rPr>
        <w:t>RAW vs PARSED:</w:t>
      </w:r>
      <w:r>
        <w:t xml:space="preserve"> RAW es </w:t>
      </w:r>
      <w:r>
        <w:rPr>
          <w:i/>
        </w:rPr>
        <w:t>el documento</w:t>
      </w:r>
      <w:r>
        <w:t>; PARSED es *la extracción</w:t>
      </w:r>
    </w:p>
    <w:p>
      <w:pPr>
        <w:spacing w:after="80"/>
      </w:pPr>
      <w:r>
        <w:t xml:space="preserve">   estructurada* del documento. Un fact nunca reemplaza al archivo: señala hacia</w:t>
      </w:r>
    </w:p>
    <w:p>
      <w:pPr>
        <w:spacing w:after="80"/>
      </w:pPr>
      <w:r>
        <w:t xml:space="preserve">   él.</w:t>
      </w:r>
    </w:p>
    <w:p>
      <w:pPr>
        <w:pStyle w:val="ListNumber"/>
      </w:pPr>
      <w:r>
        <w:rPr>
          <w:b/>
        </w:rPr>
        <w:t>PARSED vs NORMALIZED:</w:t>
      </w:r>
      <w:r>
        <w:t xml:space="preserve"> PARSED respeta el valor reportado (unidades,</w:t>
      </w:r>
    </w:p>
    <w:p>
      <w:pPr>
        <w:spacing w:after="80"/>
      </w:pPr>
      <w:r>
        <w:t xml:space="preserve">   períodos tal cual); NORMALIZED </w:t>
      </w:r>
      <w:r>
        <w:rPr>
          <w:b/>
        </w:rPr>
        <w:t>adapta</w:t>
      </w:r>
      <w:r>
        <w:t xml:space="preserve"> el valor a unidades/moneda/período</w:t>
      </w:r>
    </w:p>
    <w:p>
      <w:pPr>
        <w:spacing w:after="80"/>
      </w:pPr>
      <w:r>
        <w:t xml:space="preserve">   canónicos, </w:t>
      </w:r>
      <w:r>
        <w:rPr>
          <w:b/>
        </w:rPr>
        <w:t>registrando el cambio</w:t>
      </w:r>
      <w:r>
        <w:t>. Jamás se mezclan responsabilidades.</w:t>
      </w:r>
    </w:p>
    <w:p>
      <w:pPr>
        <w:pStyle w:val="ListNumber"/>
      </w:pPr>
      <w:r>
        <w:rPr>
          <w:b/>
        </w:rPr>
        <w:t>NORMALIZED vs ECONOMIC FACTS:</w:t>
      </w:r>
      <w:r>
        <w:t xml:space="preserve"> NORMALIZED hace el dato </w:t>
      </w:r>
      <w:r>
        <w:rPr>
          <w:i/>
        </w:rPr>
        <w:t>comparable</w:t>
      </w:r>
      <w:r>
        <w:t>;</w:t>
      </w:r>
    </w:p>
    <w:p>
      <w:pPr>
        <w:spacing w:after="80"/>
      </w:pPr>
      <w:r>
        <w:t xml:space="preserve">   ECONOMIC FACTS le da </w:t>
      </w:r>
      <w:r>
        <w:rPr>
          <w:i/>
        </w:rPr>
        <w:t>identidad económica canónica</w:t>
      </w:r>
      <w:r>
        <w:t xml:space="preserve"> (</w:t>
      </w:r>
      <w:r>
        <w:rPr>
          <w:rFonts w:ascii="Consolas" w:hAnsi="Consolas"/>
          <w:sz w:val="18"/>
        </w:rPr>
        <w:t>econ_key</w:t>
      </w:r>
      <w:r>
        <w:t>) y resuelve el</w:t>
      </w:r>
    </w:p>
    <w:p>
      <w:pPr>
        <w:spacing w:after="80"/>
      </w:pPr>
      <w:r>
        <w:t xml:space="preserve">   mismo concepto entre fuentes. NORMALIZED es sintaxis uniforme; ECON es</w:t>
      </w:r>
    </w:p>
    <w:p>
      <w:pPr>
        <w:spacing w:after="80"/>
      </w:pPr>
      <w:r>
        <w:t xml:space="preserve">   semántica de negocio.</w:t>
      </w:r>
    </w:p>
    <w:p>
      <w:pPr>
        <w:pStyle w:val="ListNumber"/>
      </w:pPr>
      <w:r>
        <w:rPr>
          <w:b/>
        </w:rPr>
        <w:t>FACT KEY vs ECON KEY:</w:t>
      </w:r>
      <w:r>
        <w:t xml:space="preserve"> FACT KEY identifica la </w:t>
      </w:r>
      <w:r>
        <w:rPr>
          <w:i/>
        </w:rPr>
        <w:t>ocurrencia documental</w:t>
      </w:r>
      <w:r>
        <w:t xml:space="preserve"> (este</w:t>
      </w:r>
    </w:p>
    <w:p>
      <w:pPr>
        <w:spacing w:after="80"/>
      </w:pPr>
      <w:r>
        <w:t xml:space="preserve">   fact de este filing); ECON KEY identifica el </w:t>
      </w:r>
      <w:r>
        <w:rPr>
          <w:i/>
        </w:rPr>
        <w:t>concepto económico</w:t>
      </w:r>
      <w:r>
        <w:t xml:space="preserve"> (Revenue).</w:t>
      </w:r>
    </w:p>
    <w:p>
      <w:pPr>
        <w:spacing w:after="80"/>
      </w:pPr>
      <w:r>
        <w:t xml:space="preserve">   Un ECON KEY puede agrupar muchos FACT KEYs; un FACT KEY pertenece a un solo</w:t>
      </w:r>
    </w:p>
    <w:p>
      <w:pPr>
        <w:spacing w:after="80"/>
      </w:pPr>
      <w:r>
        <w:t xml:space="preserve">   documento.</w:t>
      </w:r>
    </w:p>
    <w:p>
      <w:pPr>
        <w:pStyle w:val="ListNumber"/>
      </w:pPr>
      <w:r>
        <w:rPr>
          <w:b/>
        </w:rPr>
        <w:t>ECONOMIC FACTS vs FINANCIAL MODEL:</w:t>
      </w:r>
      <w:r>
        <w:t xml:space="preserve"> ECON define *hechos individuales</w:t>
      </w:r>
    </w:p>
    <w:p>
      <w:pPr>
        <w:spacing w:after="80"/>
      </w:pPr>
      <w:r>
        <w:t xml:space="preserve">   homogéneos</w:t>
      </w:r>
      <w:r>
        <w:rPr>
          <w:i/>
        </w:rPr>
        <w:t xml:space="preserve">; FINANCIAL MODEL arma </w:t>
      </w:r>
      <w:r>
        <w:t>series temporales* (FY/Q/YTD/TTM,</w:t>
      </w:r>
    </w:p>
    <w:p>
      <w:pPr>
        <w:spacing w:after="80"/>
      </w:pPr>
      <w:r>
        <w:t xml:space="preserve">   stocks/flows). Un hecho es una foto; el modelo es la película.</w:t>
      </w:r>
    </w:p>
    <w:p>
      <w:pPr>
        <w:pStyle w:val="ListNumber"/>
      </w:pPr>
      <w:r>
        <w:rPr>
          <w:b/>
        </w:rPr>
        <w:t>FINANCIAL MODEL vs RATIOS:</w:t>
      </w:r>
      <w:r>
        <w:t xml:space="preserve"> el modelo produce </w:t>
      </w:r>
      <w:r>
        <w:rPr>
          <w:i/>
        </w:rPr>
        <w:t>la serie</w:t>
      </w:r>
      <w:r>
        <w:t>; RATIOS la *usa</w:t>
      </w:r>
    </w:p>
    <w:p>
      <w:pPr>
        <w:spacing w:after="80"/>
      </w:pPr>
      <w:r>
        <w:t xml:space="preserve">   con un contrato*. El modelo no calcula métricas; los ratios no arman series.</w:t>
      </w:r>
    </w:p>
    <w:p>
      <w:pPr>
        <w:pStyle w:val="ListNumber"/>
      </w:pPr>
      <w:r>
        <w:rPr>
          <w:b/>
        </w:rPr>
        <w:t>VALIDACIÓN vs CERTIFICACIÓN:</w:t>
      </w:r>
      <w:r>
        <w:t xml:space="preserve"> VALIDACIÓN </w:t>
      </w:r>
      <w:r>
        <w:rPr>
          <w:i/>
        </w:rPr>
        <w:t>produce evidencia</w:t>
      </w:r>
      <w:r>
        <w:t xml:space="preserve"> (checks);</w:t>
      </w:r>
    </w:p>
    <w:p>
      <w:pPr>
        <w:spacing w:after="80"/>
      </w:pPr>
      <w:r>
        <w:t xml:space="preserve">   CERTIFICACIÓN </w:t>
      </w:r>
      <w:r>
        <w:rPr>
          <w:i/>
        </w:rPr>
        <w:t>decide el estado</w:t>
      </w:r>
      <w:r>
        <w:t xml:space="preserve"> (PASS/WARN/BLOCK) con esa evidencia. La</w:t>
      </w:r>
    </w:p>
    <w:p>
      <w:pPr>
        <w:spacing w:after="80"/>
      </w:pPr>
      <w:r>
        <w:t xml:space="preserve">   validación nunca etiqueta; la certificación nunca inventa checks.</w:t>
      </w:r>
    </w:p>
    <w:p>
      <w:pPr>
        <w:pStyle w:val="ListNumber"/>
      </w:pPr>
      <w:r>
        <w:rPr>
          <w:b/>
        </w:rPr>
        <w:t>PROVENANCE vs VALIDACIÓN:</w:t>
      </w:r>
      <w:r>
        <w:t xml:space="preserve"> PROVENANCE </w:t>
      </w:r>
      <w:r>
        <w:rPr>
          <w:i/>
        </w:rPr>
        <w:t>registra el origen</w:t>
      </w:r>
      <w:r>
        <w:t xml:space="preserve"> de cada dato;</w:t>
      </w:r>
    </w:p>
    <w:p>
      <w:pPr>
        <w:spacing w:after="80"/>
      </w:pPr>
      <w:r>
        <w:t xml:space="preserve">   VALIDACIÓN </w:t>
      </w:r>
      <w:r>
        <w:rPr>
          <w:i/>
        </w:rPr>
        <w:t>verifica</w:t>
      </w:r>
      <w:r>
        <w:t xml:space="preserve"> que esos registros sean coherentes y completos. Uno</w:t>
      </w:r>
    </w:p>
    <w:p>
      <w:pPr>
        <w:spacing w:after="80"/>
      </w:pPr>
      <w:r>
        <w:t xml:space="preserve">   construye el rastro; el otro lo audita.</w:t>
      </w:r>
    </w:p>
    <w:p>
      <w:pPr>
        <w:pStyle w:val="ListNumber"/>
      </w:pPr>
      <w:r>
        <w:rPr>
          <w:b/>
        </w:rPr>
        <w:t>CERTIFICACIÓN vs PUBLICACIÓN:</w:t>
      </w:r>
      <w:r>
        <w:t xml:space="preserve"> CERTIFICACIÓN </w:t>
      </w:r>
      <w:r>
        <w:rPr>
          <w:i/>
        </w:rPr>
        <w:t>autoriza</w:t>
      </w:r>
      <w:r>
        <w:t>; PUBLICACIÓN</w:t>
      </w:r>
    </w:p>
    <w:p>
      <w:pPr>
        <w:spacing w:after="80"/>
      </w:pPr>
      <w:r>
        <w:t xml:space="preserve">    </w:t>
      </w:r>
      <w:r>
        <w:rPr>
          <w:i/>
        </w:rPr>
        <w:t>sirve</w:t>
      </w:r>
      <w:r>
        <w:t>. Un dato certificado puede no publicarse nunca; un dato publicado sin</w:t>
      </w:r>
    </w:p>
    <w:p>
      <w:pPr>
        <w:spacing w:after="80"/>
      </w:pPr>
      <w:r>
        <w:t xml:space="preserve">    certificación es un incidente.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ROADMAP DE IMPLEMENTACIÓN</w:t>
      </w:r>
    </w:p>
    <w:p>
      <w:pPr>
        <w:pStyle w:val="Heading3"/>
      </w:pPr>
      <w:r>
        <w:t>Principios del roadmap</w:t>
      </w:r>
    </w:p>
    <w:p>
      <w:pPr>
        <w:pStyle w:val="ListBullet"/>
      </w:pPr>
      <w:r>
        <w:rPr>
          <w:b/>
        </w:rPr>
        <w:t>Vertical slices, no capas globales:</w:t>
      </w:r>
      <w:r>
        <w:t xml:space="preserve"> se construye UN recorrido completo y</w:t>
      </w:r>
    </w:p>
    <w:p>
      <w:pPr>
        <w:spacing w:after="80"/>
      </w:pPr>
      <w:r>
        <w:t xml:space="preserve">  funcional (empresa→número publicado) antes de ensanchar.</w:t>
      </w:r>
    </w:p>
    <w:p>
      <w:pPr>
        <w:pStyle w:val="ListBullet"/>
      </w:pPr>
      <w:r>
        <w:rPr>
          <w:b/>
        </w:rPr>
        <w:t>MVP = un número certificado y publicado</w:t>
      </w:r>
      <w:r>
        <w:t xml:space="preserve"> de un piloto.</w:t>
      </w:r>
    </w:p>
    <w:p>
      <w:pPr>
        <w:pStyle w:val="ListBullet"/>
      </w:pPr>
      <w:r>
        <w:rPr>
          <w:b/>
        </w:rPr>
        <w:t>Quick wins:</w:t>
      </w:r>
      <w:r>
        <w:t xml:space="preserve"> idempotencia de las etapas (S00/S02, </w:t>
      </w:r>
      <w:r>
        <w:rPr>
          <w:rFonts w:ascii="Consolas" w:hAnsi="Consolas"/>
          <w:sz w:val="18"/>
        </w:rPr>
        <w:t>is_custom</w:t>
      </w:r>
      <w:r>
        <w:t xml:space="preserve">), </w:t>
      </w:r>
      <w:r>
        <w:rPr>
          <w:rFonts w:ascii="Consolas" w:hAnsi="Consolas"/>
          <w:sz w:val="18"/>
        </w:rPr>
        <w:t>hash_cnv</w:t>
      </w:r>
    </w:p>
    <w:p>
      <w:pPr>
        <w:spacing w:after="80"/>
      </w:pPr>
      <w:r>
        <w:t xml:space="preserve">  para CNV, persistencia de los 14 ratios contables, certificación KO.</w:t>
      </w:r>
    </w:p>
    <w:p>
      <w:pPr>
        <w:pStyle w:val="ListBullet"/>
      </w:pPr>
      <w:r>
        <w:rPr>
          <w:b/>
        </w:rPr>
        <w:t>Bloqueantes de todo:</w:t>
      </w:r>
      <w:r>
        <w:t xml:space="preserve"> IDENTIDAD + RAW con hash + parsers estables. Sin eso,</w:t>
      </w:r>
    </w:p>
    <w:p>
      <w:pPr>
        <w:spacing w:after="80"/>
      </w:pPr>
      <w:r>
        <w:t xml:space="preserve">  nada de abajo es auditable.</w:t>
      </w:r>
    </w:p>
    <w:p>
      <w:pPr>
        <w:pStyle w:val="Heading3"/>
      </w:pPr>
      <w:r>
        <w:t>FASE 1 — Fundación</w:t>
      </w:r>
    </w:p>
    <w:p>
      <w:pPr>
        <w:pStyle w:val="ListBullet"/>
      </w:pPr>
      <w:r>
        <w:t xml:space="preserve">Existir primero: </w:t>
      </w:r>
      <w:r>
        <w:rPr>
          <w:b/>
        </w:rPr>
        <w:t>IDENTIDAD</w:t>
      </w:r>
      <w:r>
        <w:t xml:space="preserve"> (entity_id + CIK/CUIT), </w:t>
      </w:r>
      <w:r>
        <w:rPr>
          <w:b/>
        </w:rPr>
        <w:t>RAW</w:t>
      </w:r>
      <w:r>
        <w:t xml:space="preserve"> con SHA256 p/hoy</w:t>
      </w:r>
    </w:p>
    <w:p>
      <w:pPr>
        <w:spacing w:after="80"/>
      </w:pPr>
      <w:r>
        <w:t xml:space="preserve">  también CNV (</w:t>
      </w:r>
      <w:r>
        <w:rPr>
          <w:rFonts w:ascii="Consolas" w:hAnsi="Consolas"/>
          <w:sz w:val="18"/>
        </w:rPr>
        <w:t>hash_cnv</w:t>
      </w:r>
      <w:r>
        <w:t xml:space="preserve">), </w:t>
      </w:r>
      <w:r>
        <w:rPr>
          <w:b/>
        </w:rPr>
        <w:t>PARSED</w:t>
      </w:r>
      <w:r>
        <w:t xml:space="preserve"> estable e idempotente (S03; fix </w:t>
      </w:r>
      <w:r>
        <w:rPr>
          <w:rFonts w:ascii="Consolas" w:hAnsi="Consolas"/>
          <w:sz w:val="18"/>
        </w:rPr>
        <w:t>is_custom</w:t>
      </w:r>
    </w:p>
    <w:p>
      <w:pPr>
        <w:spacing w:after="80"/>
      </w:pPr>
      <w:r>
        <w:t xml:space="preserve">  P0), </w:t>
      </w:r>
      <w:r>
        <w:rPr>
          <w:b/>
        </w:rPr>
        <w:t>NORMALIZED</w:t>
      </w:r>
      <w:r>
        <w:t xml:space="preserve"> básico.</w:t>
      </w:r>
    </w:p>
    <w:p>
      <w:pPr>
        <w:pStyle w:val="ListBullet"/>
      </w:pPr>
      <w:r>
        <w:t>Orden lógico: identidad → RAW → parser de la fuente de referencia (SEC) →</w:t>
      </w:r>
    </w:p>
    <w:p>
      <w:pPr>
        <w:spacing w:after="80"/>
      </w:pPr>
      <w:r>
        <w:t xml:space="preserve">  normalizador.</w:t>
      </w:r>
    </w:p>
    <w:p>
      <w:pPr>
        <w:pStyle w:val="ListBullet"/>
      </w:pPr>
      <w:r>
        <w:t>Criterio de salida: un filing YPF se parsea y normaliza de forma estable,</w:t>
      </w:r>
    </w:p>
    <w:p>
      <w:pPr>
        <w:spacing w:after="80"/>
      </w:pPr>
      <w:r>
        <w:t xml:space="preserve">  re-ejecutable e idéntica.</w:t>
      </w:r>
    </w:p>
    <w:p>
      <w:pPr>
        <w:pStyle w:val="Heading3"/>
      </w:pPr>
      <w:r>
        <w:t>FASE 2 — Primer pipeline completo</w:t>
      </w:r>
    </w:p>
    <w:p>
      <w:pPr>
        <w:pStyle w:val="ListBullet"/>
      </w:pPr>
      <w:r>
        <w:t>Construir el recorrido mínimo de un dato: **FUENTE (SEC/YPF) → RAW → PARSED →</w:t>
      </w:r>
    </w:p>
    <w:p>
      <w:pPr>
        <w:spacing w:after="80"/>
      </w:pPr>
      <w:r>
        <w:t xml:space="preserve">  NORMALIZED → ECONOMIC FACTS → FINANCIAL MODEL → VALIDACIÓN → PUBLICACIÓN** con un</w:t>
      </w:r>
    </w:p>
    <w:p>
      <w:pPr>
        <w:spacing w:after="80"/>
      </w:pPr>
      <w:r>
        <w:t xml:space="preserve">  solo ratio (P/E de YPF o KO).</w:t>
      </w:r>
    </w:p>
    <w:p>
      <w:pPr>
        <w:pStyle w:val="ListBullet"/>
      </w:pPr>
      <w:r>
        <w:t>Incluye resolver D-1 (merge del worktree para ECON/FINMODEL o bucket equivalente).</w:t>
      </w:r>
    </w:p>
    <w:p>
      <w:pPr>
        <w:pStyle w:val="ListBullet"/>
      </w:pPr>
      <w:r>
        <w:t>Criterio de salida: **un número certificado, publicado y trazable de punta a</w:t>
      </w:r>
    </w:p>
    <w:p>
      <w:pPr>
        <w:spacing w:after="80"/>
      </w:pPr>
      <w:r>
        <w:t xml:space="preserve">  punta,** reproducible con un comando.</w:t>
      </w:r>
    </w:p>
    <w:p>
      <w:pPr>
        <w:pStyle w:val="Heading3"/>
      </w:pPr>
      <w:r>
        <w:t>FASE 3 — Escalabilidad</w:t>
      </w:r>
    </w:p>
    <w:p>
      <w:pPr>
        <w:pStyle w:val="ListBullet"/>
      </w:pPr>
      <w:r>
        <w:t>Más empresas, más filings, más períodos, más fuentes (integrar CNV tramo C</w:t>
      </w:r>
    </w:p>
    <w:p>
      <w:pPr>
        <w:spacing w:after="80"/>
      </w:pPr>
      <w:r>
        <w:t xml:space="preserve">  canónico), más ratios (persistir las 14 contables; contratos nuevos).</w:t>
      </w:r>
    </w:p>
    <w:p>
      <w:pPr>
        <w:pStyle w:val="ListBullet"/>
      </w:pPr>
      <w:r>
        <w:t>Automatizar la normalización de unidades/periodos para no hacerla a mano por</w:t>
      </w:r>
    </w:p>
    <w:p>
      <w:pPr>
        <w:spacing w:after="80"/>
      </w:pPr>
      <w:r>
        <w:t xml:space="preserve">  filing; alinear homologación TIKR (subir coincidencia de inputs).</w:t>
      </w:r>
    </w:p>
    <w:p>
      <w:pPr>
        <w:pStyle w:val="Heading3"/>
      </w:pPr>
      <w:r>
        <w:t>FASE 4 — Certificación y Provenance avanzada</w:t>
      </w:r>
    </w:p>
    <w:p>
      <w:pPr>
        <w:pStyle w:val="ListBullet"/>
      </w:pPr>
      <w:r>
        <w:t xml:space="preserve">Completar registro de linaje por </w:t>
      </w:r>
      <w:r>
        <w:rPr>
          <w:rFonts w:ascii="Consolas" w:hAnsi="Consolas"/>
          <w:sz w:val="18"/>
        </w:rPr>
        <w:t>run_id</w:t>
      </w:r>
      <w:r>
        <w:t>, versionado de reglas, gates agregados</w:t>
      </w:r>
    </w:p>
    <w:p>
      <w:pPr>
        <w:spacing w:after="80"/>
      </w:pPr>
      <w:r>
        <w:t xml:space="preserve">  (C-2…C-6), matrices de validación por capa y el "gate agregado" (L-4).</w:t>
      </w:r>
    </w:p>
    <w:p>
      <w:pPr>
        <w:pStyle w:val="Heading3"/>
      </w:pPr>
      <w:r>
        <w:t>FASE 5 — Producción</w:t>
      </w:r>
    </w:p>
    <w:p>
      <w:pPr>
        <w:pStyle w:val="ListBullet"/>
      </w:pPr>
      <w:r>
        <w:t>Automatización (jobs programados con reanudación), monitoreo/observabilidad</w:t>
      </w:r>
    </w:p>
    <w:p>
      <w:pPr>
        <w:spacing w:after="80"/>
      </w:pPr>
      <w:r>
        <w:t xml:space="preserve">  (logs, métricas, alertas), recuperación ante errores y reprocessing, versionado</w:t>
      </w:r>
    </w:p>
    <w:p>
      <w:pPr>
        <w:spacing w:after="80"/>
      </w:pPr>
      <w:r>
        <w:t xml:space="preserve">  de todo el pipeline, performance (volúmenes Market/CNV) y seguridad (accesos,</w:t>
      </w:r>
    </w:p>
    <w:p>
      <w:pPr>
        <w:spacing w:after="80"/>
      </w:pPr>
      <w:r>
        <w:t xml:space="preserve">  permisos por entorno 5432/5433 + guard EXT-010).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MATRIZ DE MADUREZ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Capa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Entrada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Salida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Dependencias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Complejidad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Criterio de terminado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 FUENTES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Obtener evidencia original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proveedores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documentos + metadato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—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 (3 fuentes)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todo el universo descargado con hash y sin descartes silenciosos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(parcial: tramo C CNV y `hash_cnv`)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2 IDENTIDAD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Saber a qué entidad/instrumento pertenece todo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CIK/CUIT/tickers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entity_id canónico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FUENTES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entity_id único y vinculado por instrumento, sin duplicados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(parcial: `SG-10`, L-16)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3 RAW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Preservar evidencia íntegra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download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archivo + SHA256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FUENTES, IDENTIDAD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Baja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hash registrado y verificable para todo documento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(SEC) / A DETERMINAR (CNV `SG-02`)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4 PARSED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Estructurar documentos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RAW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facts+context+units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RAW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re-parsear = mismo resultado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VALIDADO (SEC) / EN DESARROLLO (CNV)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5 NORMALIZED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Datos comparables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PARSED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normalized.facts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PARSED, IDENTIDAD, MARKET/FX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unidad/moneda/período/perímetro canónicos verificables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VALIDADO (SEC) / EN DESARROLLO (CNV)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6 ECONOMIC 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Hecho económico canónico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NORMALIZED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economic_facts (econ_key, measurement_date)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NORMALIZED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hechos dedup y mapeados a econ_key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(worktree, D-1)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7 FINANCIAL MODEL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Series coherentes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ECON 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series FY/Q/YTD/TTM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ECON 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series sin doble conteo y con TTM derivable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(worktree, D-1)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8 RATIOS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Métricas analíticas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FIN MODEL + MARKET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derived.ratio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7, MARKET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contrato versionado; bordes tratados; status+metadata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(parcial: SG-03)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9 PROVENANCE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Reconstruir el origen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todas las capas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rastro ratio→...→hash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1..8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cadena íntegra y con versión/run_id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 CNV)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10 VALIDACIÓN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Demostrar coherencia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modelo esperado + lodes actual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evidencia (checks)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PROVENANCE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checks + excepciones justificadas + idempotencia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(F-038; P0 abiertos)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11 CERTIFICACIÓN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Decidir estado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evidencia de validación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estado PASS/WARN/BLOCK + registro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VALIDACIÓN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estado objetivo y registrado por reglas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(C-1..C-6, L-4)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12 PUBLICACIÓN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Exponer solo lo certificado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datos certificados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DB/API/screener/reportes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CERTIFICACIÓN, PROVENANCE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dato disponible, trazable y desacoplado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(dashboard en construcción)</w:t>
            </w:r>
          </w:p>
        </w:tc>
      </w:tr>
    </w:tbl>
    <w:p/>
    <w:p>
      <w:pPr>
        <w:ind w:left="360"/>
      </w:pPr>
      <w:r>
        <w:rPr>
          <w:i/>
        </w:rPr>
        <w:t>**Estado:** tomado del estado real medido en el manual; donde no hay evidencia, "A</w:t>
      </w:r>
    </w:p>
    <w:p>
      <w:pPr>
        <w:ind w:left="360"/>
      </w:pPr>
      <w:r>
        <w:rPr>
          <w:i/>
        </w:rPr>
        <w:t>determinar". No se afirma nada sin medición.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EJEMPLO END-TO-END</w:t>
      </w:r>
    </w:p>
    <w:p>
      <w:pPr>
        <w:spacing w:after="80"/>
      </w:pPr>
      <w:r>
        <w:rPr>
          <w:b/>
        </w:rPr>
        <w:t>Coca-Cola (KO) → Revenue → FY2025 → TTM → EBITDA → EV/EBITDA</w:t>
      </w:r>
      <w:r>
        <w:t>, paso a paso:</w:t>
      </w:r>
    </w:p>
    <w:p>
      <w:pPr>
        <w:pStyle w:val="ListNumber"/>
      </w:pPr>
      <w:r>
        <w:rPr>
          <w:b/>
        </w:rPr>
        <w:t>FUENTE</w:t>
      </w:r>
      <w:r>
        <w:t xml:space="preserve"> — SEC/EDGAR entrega 10-K de KO (FY2025) y 10-Q (Q1–Q3 2025). Se</w:t>
      </w:r>
    </w:p>
    <w:p>
      <w:pPr>
        <w:spacing w:after="80"/>
      </w:pPr>
      <w:r>
        <w:t xml:space="preserve">   crea: </w:t>
      </w:r>
      <w:r>
        <w:rPr>
          <w:i/>
        </w:rPr>
        <w:t>documento + metadato de ingesta</w:t>
      </w:r>
      <w:r>
        <w:t>. Validación: HTTP 200, tamaño, hash.</w:t>
      </w:r>
    </w:p>
    <w:p>
      <w:pPr>
        <w:pStyle w:val="ListNumber"/>
      </w:pPr>
      <w:r>
        <w:rPr>
          <w:b/>
        </w:rPr>
        <w:t>IDENTIDAD</w:t>
      </w:r>
      <w:r>
        <w:t xml:space="preserve"> — el CIK </w:t>
      </w:r>
      <w:r>
        <w:rPr>
          <w:rFonts w:ascii="Consolas" w:hAnsi="Consolas"/>
          <w:sz w:val="18"/>
        </w:rPr>
        <w:t>0000021344</w:t>
      </w:r>
      <w:r>
        <w:t xml:space="preserve"> resuelve a KO; se crea/consolida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entity_id</w:t>
      </w:r>
      <w:r>
        <w:t xml:space="preserve"> de KO. </w:t>
      </w:r>
      <w:r>
        <w:rPr>
          <w:i/>
        </w:rPr>
        <w:t>Salida: identidad de proveedor vinculada.</w:t>
      </w:r>
    </w:p>
    <w:p>
      <w:pPr>
        <w:pStyle w:val="ListNumber"/>
      </w:pPr>
      <w:r>
        <w:rPr>
          <w:b/>
        </w:rPr>
        <w:t>RAW</w:t>
      </w:r>
      <w:r>
        <w:t xml:space="preserve"> — el 10-K se guarda inmutable con </w:t>
      </w:r>
      <w:r>
        <w:rPr>
          <w:b/>
        </w:rPr>
        <w:t>SHA256</w:t>
      </w:r>
      <w:r>
        <w:t>. *Salida: archivo inmutable</w:t>
      </w:r>
    </w:p>
    <w:p>
      <w:pPr>
        <w:pStyle w:val="ListBullet"/>
      </w:pPr>
      <w:r>
        <w:t>hash.* Validación: re-hash coincidente.</w:t>
      </w:r>
    </w:p>
    <w:p>
      <w:pPr>
        <w:pStyle w:val="ListNumber"/>
      </w:pPr>
      <w:r>
        <w:rPr>
          <w:b/>
        </w:rPr>
        <w:t>PARSED</w:t>
      </w:r>
      <w:r>
        <w:t xml:space="preserve"> — el parser extrae facts: </w:t>
      </w:r>
      <w:r>
        <w:rPr>
          <w:rFonts w:ascii="Consolas" w:hAnsi="Consolas"/>
          <w:sz w:val="18"/>
        </w:rPr>
        <w:t>us-gaap:Revenues</w:t>
      </w:r>
      <w:r>
        <w:t xml:space="preserve"> (context: duration,</w:t>
      </w:r>
    </w:p>
    <w:p>
      <w:pPr>
        <w:spacing w:after="80"/>
      </w:pPr>
      <w:r>
        <w:t xml:space="preserve">   FY2025) en </w:t>
      </w:r>
      <w:r>
        <w:rPr>
          <w:rFonts w:ascii="Consolas" w:hAnsi="Consolas"/>
          <w:sz w:val="18"/>
        </w:rPr>
        <w:t>parsed.facts</w:t>
      </w:r>
      <w:r>
        <w:t>, junto a context (instants del balance, durations del</w:t>
      </w:r>
    </w:p>
    <w:p>
      <w:pPr>
        <w:spacing w:after="80"/>
      </w:pPr>
      <w:r>
        <w:t xml:space="preserve">   resultado) y units (USD). </w:t>
      </w:r>
      <w:r>
        <w:rPr>
          <w:i/>
        </w:rPr>
        <w:t>Salida: facts estructurados.</w:t>
      </w:r>
      <w:r>
        <w:t xml:space="preserve"> Validación: paridad</w:t>
      </w:r>
    </w:p>
    <w:p>
      <w:pPr>
        <w:spacing w:after="80"/>
      </w:pPr>
      <w:r>
        <w:t xml:space="preserve">   frente a re-parseo.</w:t>
      </w:r>
    </w:p>
    <w:p>
      <w:pPr>
        <w:pStyle w:val="ListNumber"/>
      </w:pPr>
      <w:r>
        <w:rPr>
          <w:b/>
        </w:rPr>
        <w:t>NORMALIZED</w:t>
      </w:r>
      <w:r>
        <w:t xml:space="preserve"> — Revenue FY2025 pasa a unidad canónica y moneda canónica (USD),</w:t>
      </w:r>
    </w:p>
    <w:p>
      <w:pPr>
        <w:spacing w:after="80"/>
      </w:pPr>
      <w:r>
        <w:t xml:space="preserve">   período FY2025, perímetro consolidado. </w:t>
      </w:r>
      <w:r>
        <w:rPr>
          <w:i/>
        </w:rPr>
        <w:t>Salida: `normalized.facts` comparables.</w:t>
      </w:r>
    </w:p>
    <w:p>
      <w:pPr>
        <w:pStyle w:val="ListNumber"/>
      </w:pPr>
      <w:r>
        <w:rPr>
          <w:b/>
        </w:rPr>
        <w:t>ECONOMIC FACT</w:t>
      </w:r>
      <w:r>
        <w:t xml:space="preserve"> — el fact se mapea a </w:t>
      </w:r>
      <w:r>
        <w:rPr>
          <w:rFonts w:ascii="Consolas" w:hAnsi="Consolas"/>
          <w:sz w:val="18"/>
        </w:rPr>
        <w:t>econ_key = revenue_consolidated</w:t>
      </w:r>
      <w:r>
        <w:t xml:space="preserve"> con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measurement_date</w:t>
      </w:r>
      <w:r>
        <w:t xml:space="preserve"> = cierre FY2025. </w:t>
      </w:r>
      <w:r>
        <w:rPr>
          <w:i/>
        </w:rPr>
        <w:t>Salida: hecho económico dedup.</w:t>
      </w:r>
    </w:p>
    <w:p>
      <w:pPr>
        <w:pStyle w:val="ListNumber"/>
      </w:pPr>
      <w:r>
        <w:rPr>
          <w:b/>
        </w:rPr>
        <w:t>FINANCIAL MODEL</w:t>
      </w:r>
      <w:r>
        <w:t xml:space="preserve"> — se construye la serie: FY2025, los Q y los YTD. Con YTD</w:t>
      </w:r>
    </w:p>
    <w:p>
      <w:pPr>
        <w:spacing w:after="80"/>
      </w:pPr>
      <w:r>
        <w:t xml:space="preserve">   Q3 2025 y FY2024:</w:t>
      </w:r>
    </w:p>
    <w:p>
      <w:pPr>
        <w:spacing w:after="80"/>
      </w:pPr>
      <w:r>
        <w:t xml:space="preserve">   &gt; </w:t>
      </w:r>
      <w:r>
        <w:rPr>
          <w:b/>
        </w:rPr>
        <w:t>Revenue TTM (Q3 2025) = YTD2025_Q3 + FY2024 − YTD2024_Q3</w:t>
      </w:r>
    </w:p>
    <w:p>
      <w:pPr>
        <w:spacing w:after="80"/>
      </w:pPr>
      <w:r>
        <w:t xml:space="preserve">   Validación: sin doble conteo, 12 meses exactos.</w:t>
      </w:r>
    </w:p>
    <w:p>
      <w:pPr>
        <w:pStyle w:val="ListNumber"/>
      </w:pPr>
      <w:r>
        <w:rPr>
          <w:b/>
        </w:rPr>
        <w:t>RATIO</w:t>
      </w:r>
      <w:r>
        <w:t xml:space="preserve"> — contrato EV/EBITDA: EV = Market Cap + Deuda total − Caja; EBITDA de</w:t>
      </w:r>
    </w:p>
    <w:p>
      <w:pPr>
        <w:spacing w:after="80"/>
      </w:pPr>
      <w:r>
        <w:t xml:space="preserve">   la serie. *Salida: </w:t>
      </w:r>
      <w:r>
        <w:rPr>
          <w:rFonts w:ascii="Consolas" w:hAnsi="Consolas"/>
          <w:sz w:val="18"/>
        </w:rPr>
        <w:t>derived.ratio</w:t>
      </w:r>
      <w:r>
        <w:t xml:space="preserve"> con status + metadata (inputs con id), por</w:t>
      </w:r>
    </w:p>
    <w:p>
      <w:pPr>
        <w:spacing w:after="80"/>
      </w:pPr>
      <w:r>
        <w:t xml:space="preserve">   ej. EV/EBITDA = 18,2.*</w:t>
      </w:r>
    </w:p>
    <w:p>
      <w:pPr>
        <w:pStyle w:val="ListNumber"/>
      </w:pPr>
      <w:r>
        <w:rPr>
          <w:b/>
        </w:rPr>
        <w:t>PROVENANCE</w:t>
      </w:r>
      <w:r>
        <w:t xml:space="preserve"> — el ratio guarda inputs→economic_facts→parsed.facts→filing→RAW→</w:t>
      </w:r>
    </w:p>
    <w:p>
      <w:pPr>
        <w:spacing w:after="80"/>
      </w:pPr>
      <w:r>
        <w:t xml:space="preserve">   hash + versión de fórmula. </w:t>
      </w:r>
      <w:r>
        <w:rPr>
          <w:i/>
        </w:rPr>
        <w:t>El "P/E = 12,4" se puede reconstruir entero.</w:t>
      </w:r>
    </w:p>
    <w:p>
      <w:pPr>
        <w:pStyle w:val="ListNumber"/>
      </w:pPr>
      <w:r>
        <w:rPr>
          <w:b/>
        </w:rPr>
        <w:t>VALIDACIÓN</w:t>
      </w:r>
      <w:r>
        <w:t xml:space="preserve"> — completitud (las 12 celdas esperadas), unidades (Price en USD</w:t>
      </w:r>
    </w:p>
    <w:p>
      <w:pPr>
        <w:spacing w:after="80"/>
      </w:pPr>
      <w:r>
        <w:t xml:space="preserve">    = EPS en USD), períodos (TTM consistente), provenance (raster íntegro),</w:t>
      </w:r>
    </w:p>
    <w:p>
      <w:pPr>
        <w:spacing w:after="80"/>
      </w:pPr>
      <w:r>
        <w:t xml:space="preserve">    idempotencia (re-correr = mismos valores). </w:t>
      </w:r>
      <w:r>
        <w:rPr>
          <w:i/>
        </w:rPr>
        <w:t>Salida: evidencia.</w:t>
      </w:r>
    </w:p>
    <w:p>
      <w:pPr>
        <w:pStyle w:val="ListNumber"/>
      </w:pPr>
      <w:r>
        <w:rPr>
          <w:b/>
        </w:rPr>
        <w:t>CERTIFICACIÓN</w:t>
      </w:r>
      <w:r>
        <w:t xml:space="preserve"> — con la evidencia: estado </w:t>
      </w:r>
      <w:r>
        <w:rPr>
          <w:rFonts w:ascii="Consolas" w:hAnsi="Consolas"/>
          <w:sz w:val="18"/>
        </w:rPr>
        <w:t>PASS_WITH_WARNINGS</w:t>
      </w:r>
      <w:r>
        <w:t xml:space="preserve"> (si hay</w:t>
      </w:r>
    </w:p>
    <w:p>
      <w:pPr>
        <w:spacing w:after="80"/>
      </w:pPr>
      <w:r>
        <w:t xml:space="preserve">    advertencia explicada) o </w:t>
      </w:r>
      <w:r>
        <w:rPr>
          <w:rFonts w:ascii="Consolas" w:hAnsi="Consolas"/>
          <w:sz w:val="18"/>
        </w:rPr>
        <w:t>PASS</w:t>
      </w:r>
      <w:r>
        <w:t xml:space="preserve">, registrado con </w:t>
      </w:r>
      <w:r>
        <w:rPr>
          <w:rFonts w:ascii="Consolas" w:hAnsi="Consolas"/>
          <w:sz w:val="18"/>
        </w:rPr>
        <w:t>run_id</w:t>
      </w:r>
      <w:r>
        <w:t xml:space="preserve">. </w:t>
      </w:r>
      <w:r>
        <w:rPr>
          <w:i/>
        </w:rPr>
        <w:t>Salida: permiso.</w:t>
      </w:r>
    </w:p>
    <w:p>
      <w:pPr>
        <w:pStyle w:val="ListNumber"/>
      </w:pPr>
      <w:r>
        <w:rPr>
          <w:b/>
        </w:rPr>
        <w:t>PUBLICACIÓN</w:t>
      </w:r>
      <w:r>
        <w:t xml:space="preserve"> — el dato entra al dataset de publicación; queda en la DB, el</w:t>
      </w:r>
    </w:p>
    <w:p>
      <w:pPr>
        <w:spacing w:after="80"/>
      </w:pPr>
      <w:r>
        <w:t xml:space="preserve">    API lo sirve y el dashboard muestra el número con su "ver origen". *Salida:</w:t>
      </w:r>
    </w:p>
    <w:p>
      <w:pPr>
        <w:spacing w:after="80"/>
      </w:pPr>
      <w:r>
        <w:t xml:space="preserve">    número oficial para el usuario final.*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ARQUITECTURA CONCEPTUAL FINAL</w:t>
      </w:r>
    </w:p>
    <w:p>
      <w:pPr>
        <w:pStyle w:val="CodeBlock"/>
        <w:spacing w:after="100"/>
        <w:ind w:left="288"/>
      </w:pPr>
      <w:r>
        <w:t xml:space="preserve"> FUENTES ──► IDENTIDAD</w:t>
        <w:br/>
        <w:t xml:space="preserve">    │           │</w:t>
        <w:br/>
        <w:t xml:space="preserve">    ▼           ▼</w:t>
        <w:br/>
        <w:t xml:space="preserve">  RAW ──(hash)──────────────► PROVENANCE (linaje de todo hacia abajo)</w:t>
        <w:br/>
        <w:t xml:space="preserve">  │                              ▲</w:t>
        <w:br/>
        <w:t xml:space="preserve">  ▼                              │</w:t>
        <w:br/>
        <w:t xml:space="preserve"> PARSED (facts+context+units)    │</w:t>
        <w:br/>
        <w:t xml:space="preserve">  ▼                              │</w:t>
        <w:br/>
        <w:t xml:space="preserve"> NORMALIZED (unidades/fx/período/perímetro) │</w:t>
        <w:br/>
        <w:t xml:space="preserve">  ▼                              │</w:t>
        <w:br/>
        <w:t xml:space="preserve"> ECONOMIC FACTS (econ_key+measurement_date) │</w:t>
        <w:br/>
        <w:t xml:space="preserve">  ▼                              │</w:t>
        <w:br/>
        <w:t xml:space="preserve"> FINANCIAL MODEL (series FY/Q/YTD/TTM)      │</w:t>
        <w:br/>
        <w:t xml:space="preserve">  ▼                              │</w:t>
        <w:br/>
        <w:t xml:space="preserve"> RATIOS (contratos → derived.ratio) │</w:t>
        <w:br/>
        <w:t xml:space="preserve">  ▼                              │</w:t>
        <w:br/>
        <w:t xml:space="preserve"> VALIDACIÓN (checks) ──► PROVENANCE (audita el rastro)</w:t>
        <w:br/>
        <w:t xml:space="preserve">  ▼</w:t>
        <w:br/>
        <w:t xml:space="preserve"> CERTIFICACIÓN (PASS / WARN / BLOCK)</w:t>
        <w:br/>
        <w:t xml:space="preserve">  ▼</w:t>
        <w:br/>
        <w:t xml:space="preserve"> PUBLICACIÓN (DB · API · SCREENER · REPORTES)</w:t>
        <w:br/>
        <w:br/>
        <w:t xml:space="preserve"> EVIDENCIA → DATOS → INFORMACIÓN ECONÓMICA → DECISIONES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ORDEN RECOMENDADO DE IMPLEMENTACIÓN (para un dev nuevo)</w:t>
      </w:r>
    </w:p>
    <w:p>
      <w:pPr>
        <w:pStyle w:val="ListNumber"/>
      </w:pPr>
      <w:r>
        <w:t>IDENTIDAD (entity_id + CIK/CUIT + instrumentos) — todo depende de "a quién".</w:t>
      </w:r>
    </w:p>
    <w:p>
      <w:pPr>
        <w:pStyle w:val="ListNumber"/>
      </w:pPr>
      <w:r>
        <w:t xml:space="preserve">RAW con SHA256 (incl. </w:t>
      </w:r>
      <w:r>
        <w:rPr>
          <w:rFonts w:ascii="Consolas" w:hAnsi="Consolas"/>
          <w:sz w:val="18"/>
        </w:rPr>
        <w:t>hash_cnv</w:t>
      </w:r>
      <w:r>
        <w:t>) — todo se audita contra el original.</w:t>
      </w:r>
    </w:p>
    <w:p>
      <w:pPr>
        <w:pStyle w:val="ListNumber"/>
      </w:pPr>
      <w:r>
        <w:t xml:space="preserve">PARSED estable e idempotente + fix </w:t>
      </w:r>
      <w:r>
        <w:rPr>
          <w:rFonts w:ascii="Consolas" w:hAnsi="Consolas"/>
          <w:sz w:val="18"/>
        </w:rPr>
        <w:t>is_custom</w:t>
      </w:r>
      <w:r>
        <w:t xml:space="preserve"> — sin parser no hay nada.</w:t>
      </w:r>
    </w:p>
    <w:p>
      <w:pPr>
        <w:pStyle w:val="ListNumber"/>
      </w:pPr>
      <w:r>
        <w:t>NORMALIZED básica — unidad/moneda/período/perímetro.</w:t>
      </w:r>
    </w:p>
    <w:p>
      <w:pPr>
        <w:pStyle w:val="ListNumber"/>
      </w:pPr>
      <w:r>
        <w:t xml:space="preserve">Un </w:t>
      </w:r>
      <w:r>
        <w:rPr>
          <w:b/>
        </w:rPr>
        <w:t>vertical slice</w:t>
      </w:r>
      <w:r>
        <w:t xml:space="preserve"> completo: YPF o KO, un solo ratio publicado y trazable.</w:t>
      </w:r>
    </w:p>
    <w:p>
      <w:pPr>
        <w:pStyle w:val="ListNumber"/>
      </w:pPr>
      <w:r>
        <w:t>ECONOMIC FACTS + FINANCIAL MODEL (merge del worktree / D-1).</w:t>
      </w:r>
    </w:p>
    <w:p>
      <w:pPr>
        <w:pStyle w:val="ListNumber"/>
      </w:pPr>
      <w:r>
        <w:t>VALIDACIÓN + CERTIFICACIÓN del slice.</w:t>
      </w:r>
    </w:p>
    <w:p>
      <w:pPr>
        <w:pStyle w:val="ListNumber"/>
      </w:pPr>
      <w:r>
        <w:t>Escalar: CNV tramo C, más empresas/períodos/ratios, homologación TIKR.</w:t>
      </w:r>
    </w:p>
    <w:p>
      <w:pPr>
        <w:pStyle w:val="ListNumber"/>
      </w:pPr>
      <w:r>
        <w:t>PUBLICACIÓN (API → dashboard) y luego monitoreo/producción.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QUÉ ES CRÍTICO PARA QUE CATALAXIA SEA CONFIABLE</w:t>
      </w:r>
    </w:p>
    <w:p>
      <w:pPr>
        <w:pStyle w:val="ListNumber"/>
      </w:pPr>
      <w:r>
        <w:rPr>
          <w:b/>
        </w:rPr>
        <w:t>RAW + hash disciplina total</w:t>
      </w:r>
      <w:r>
        <w:t xml:space="preserve"> (reparar </w:t>
      </w:r>
      <w:r>
        <w:rPr>
          <w:rFonts w:ascii="Consolas" w:hAnsi="Consolas"/>
          <w:sz w:val="18"/>
        </w:rPr>
        <w:t>SG-02</w:t>
      </w:r>
      <w:r>
        <w:t>). Sin esto, no hay auditoría.</w:t>
      </w:r>
    </w:p>
    <w:p>
      <w:pPr>
        <w:pStyle w:val="ListNumber"/>
      </w:pPr>
      <w:r>
        <w:rPr>
          <w:b/>
        </w:rPr>
        <w:t>IDENTIDAD sin duplicados</w:t>
      </w:r>
      <w:r>
        <w:t xml:space="preserve"> (entity_id canónico) y correcto vínculo de</w:t>
      </w:r>
    </w:p>
    <w:p>
      <w:pPr>
        <w:spacing w:after="80"/>
      </w:pPr>
      <w:r>
        <w:t xml:space="preserve">   instrumentos (</w:t>
      </w:r>
      <w:r>
        <w:rPr>
          <w:rFonts w:ascii="Consolas" w:hAnsi="Consolas"/>
          <w:sz w:val="18"/>
        </w:rPr>
        <w:t>SG-10</w:t>
      </w:r>
      <w:r>
        <w:t>).</w:t>
      </w:r>
    </w:p>
    <w:p>
      <w:pPr>
        <w:pStyle w:val="ListNumber"/>
      </w:pPr>
      <w:r>
        <w:rPr>
          <w:b/>
        </w:rPr>
        <w:t>Separación estricta PARSED vs NORMALIZED</w:t>
      </w:r>
      <w:r>
        <w:t xml:space="preserve"> y normalización verificable de</w:t>
      </w:r>
    </w:p>
    <w:p>
      <w:pPr>
        <w:spacing w:after="80"/>
      </w:pPr>
      <w:r>
        <w:t xml:space="preserve">   unidades/moneda/período.</w:t>
      </w:r>
    </w:p>
    <w:p>
      <w:pPr>
        <w:pStyle w:val="ListNumber"/>
      </w:pPr>
      <w:r>
        <w:rPr>
          <w:b/>
        </w:rPr>
        <w:t>Idempotencia verificada</w:t>
      </w:r>
      <w:r>
        <w:t xml:space="preserve"> (re-ejecución = mismo resultado; P0: S00/S02,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is_custom</w:t>
      </w:r>
      <w:r>
        <w:t>; C-5).</w:t>
      </w:r>
    </w:p>
    <w:p>
      <w:pPr>
        <w:pStyle w:val="ListNumber"/>
      </w:pPr>
      <w:r>
        <w:rPr>
          <w:b/>
        </w:rPr>
        <w:t>Provenance completa por `run_id` + versionado de reglas</w:t>
      </w:r>
      <w:r>
        <w:t>.</w:t>
      </w:r>
    </w:p>
    <w:p>
      <w:pPr>
        <w:pStyle w:val="ListNumber"/>
      </w:pPr>
      <w:r>
        <w:rPr>
          <w:b/>
        </w:rPr>
        <w:t>Certificación regida por reglas, no por persona</w:t>
      </w:r>
      <w:r>
        <w:t xml:space="preserve"> (con registros).</w:t>
      </w:r>
    </w:p>
    <w:p>
      <w:pPr>
        <w:pStyle w:val="ListNumber"/>
      </w:pPr>
      <w:r>
        <w:rPr>
          <w:b/>
        </w:rPr>
        <w:t>Validación con oráculos externos</w:t>
      </w:r>
      <w:r>
        <w:t xml:space="preserve"> (TIKR) explicando diferencias, no</w:t>
      </w:r>
    </w:p>
    <w:p>
      <w:pPr>
        <w:spacing w:after="80"/>
      </w:pPr>
      <w:r>
        <w:t xml:space="preserve">   escondiéndolas.</w:t>
      </w:r>
    </w:p>
    <w:p>
      <w:pPr>
        <w:pStyle w:val="ListNumber"/>
      </w:pPr>
      <w:r>
        <w:rPr>
          <w:b/>
        </w:rPr>
        <w:t>Publicación desacoplada de fuentes</w:t>
      </w:r>
      <w:r>
        <w:t xml:space="preserve"> (el pub nunca re-lee supply).</w:t>
      </w:r>
    </w:p>
    <w:p>
      <w:pPr>
        <w:pStyle w:val="Heading2"/>
      </w:pPr>
      <w:r>
        <w:t>QUÉ PUEDE ESPERAR PARA EL MVP</w:t>
      </w:r>
    </w:p>
    <w:p>
      <w:pPr>
        <w:pStyle w:val="ListBullet"/>
      </w:pPr>
      <w:r>
        <w:t xml:space="preserve">Ratios </w:t>
      </w:r>
      <w:r>
        <w:rPr>
          <w:b/>
        </w:rPr>
        <w:t>sin</w:t>
      </w:r>
      <w:r>
        <w:t xml:space="preserve"> homologación externa completa (TIKR puede esperar al Fase 3).</w:t>
      </w:r>
    </w:p>
    <w:p>
      <w:pPr>
        <w:pStyle w:val="ListBullet"/>
      </w:pPr>
      <w:r>
        <w:t xml:space="preserve">Financial Model </w:t>
      </w:r>
      <w:r>
        <w:rPr>
          <w:b/>
        </w:rPr>
        <w:t>solo</w:t>
      </w:r>
      <w:r>
        <w:t xml:space="preserve"> las series necesarias para los ratios del MVP.</w:t>
      </w:r>
    </w:p>
    <w:p>
      <w:pPr>
        <w:pStyle w:val="ListBullet"/>
      </w:pPr>
      <w:r>
        <w:t>Provisiones de treasury: FX manual de pocas pares pre-scale.</w:t>
      </w:r>
    </w:p>
    <w:p>
      <w:pPr>
        <w:pStyle w:val="ListBullet"/>
      </w:pPr>
      <w:r>
        <w:t>CERTIFICACIÓN con PASSO/warnings básico, sin el gate agregado fino (L-4) — pero</w:t>
      </w:r>
    </w:p>
    <w:p>
      <w:pPr>
        <w:spacing w:after="80"/>
      </w:pPr>
      <w:r>
        <w:t xml:space="preserve">  con el estado registrado.</w:t>
      </w:r>
    </w:p>
    <w:p>
      <w:pPr>
        <w:pStyle w:val="ListBullet"/>
      </w:pPr>
      <w:r>
        <w:t>Monitoreo inicial mínimo (logs + conteos), sin observabilidad avanzada (llega en</w:t>
      </w:r>
    </w:p>
    <w:p>
      <w:pPr>
        <w:spacing w:after="80"/>
      </w:pPr>
      <w:r>
        <w:t xml:space="preserve">  Fase 5).</w:t>
      </w:r>
    </w:p>
    <w:p>
      <w:pPr>
        <w:pStyle w:val="ListBullet"/>
      </w:pPr>
      <w:r>
        <w:rPr>
          <w:b/>
        </w:rPr>
        <w:t>Lo que NO espera el MVP:</w:t>
      </w:r>
      <w:r>
        <w:t xml:space="preserve"> indentidad duplicada, RAW sin hash, parsing no</w:t>
      </w:r>
    </w:p>
    <w:p>
      <w:pPr>
        <w:spacing w:after="80"/>
      </w:pPr>
      <w:r>
        <w:t xml:space="preserve">  idempotente o publikación de datos no certificado.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Manual Operativo Catalaxia ·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CATALAXIA · PARTES XVI–XXII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