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Inventario del conocimiento — insumo del Manual Operativo</w:t>
      </w:r>
    </w:p>
    <w:p>
      <w:pPr>
        <w:spacing w:after="200"/>
      </w:pPr>
      <w:r>
        <w:rPr>
          <w:b/>
          <w:sz w:val="22"/>
        </w:rPr>
        <w:t>Identificación: Inventario de conocimiento</w:t>
      </w:r>
    </w:p>
    <w:p>
      <w:pPr>
        <w:spacing w:after="80"/>
      </w:pPr>
      <w:r>
        <w:rPr>
          <w:b/>
        </w:rPr>
        <w:t>Paso 1 de la secuencia. No es el manual y no contiene procedimientos.</w:t>
      </w:r>
    </w:p>
    <w:p>
      <w:pPr>
        <w:spacing w:after="80"/>
      </w:pPr>
      <w:r>
        <w:t>Es el relevamiento de qué conocimiento existe hoy, dónde está, si está</w:t>
      </w:r>
    </w:p>
    <w:p>
      <w:pPr>
        <w:spacing w:after="80"/>
      </w:pPr>
      <w:r>
        <w:t>certificado y qué falta.</w:t>
      </w:r>
    </w:p>
    <w:p>
      <w:pPr>
        <w:spacing w:after="80"/>
      </w:pPr>
      <w:r>
        <w:t>**64 ítems · 19 categorías · 34 certificados · 13 parciales · 17 sin certificar ·</w:t>
      </w:r>
    </w:p>
    <w:p>
      <w:pPr>
        <w:spacing w:after="80"/>
      </w:pPr>
      <w:r>
        <w:t>11 BLOCKER · 9 IMPORTANT.**</w:t>
      </w:r>
    </w:p>
    <w:p>
      <w:pPr>
        <w:spacing w:after="80"/>
      </w:pPr>
      <w:r>
        <w:t>Cada fila se verificó contra el repositorio o contra la base. Lo que no se pudo</w:t>
      </w:r>
    </w:p>
    <w:p>
      <w:pPr>
        <w:spacing w:after="80"/>
      </w:pPr>
      <w:r>
        <w:t xml:space="preserve">verificar dice </w:t>
      </w:r>
      <w:r>
        <w:rPr>
          <w:rFonts w:ascii="Consolas" w:hAnsi="Consolas"/>
          <w:sz w:val="18"/>
        </w:rPr>
        <w:t>NO_VERIFICADO</w:t>
      </w:r>
      <w:r>
        <w:t>. Datos estructurados en</w:t>
      </w:r>
    </w:p>
    <w:p>
      <w:pPr>
        <w:spacing w:after="80"/>
      </w:pPr>
      <w:r>
        <w:rPr>
          <w:rFonts w:ascii="Consolas" w:hAnsi="Consolas"/>
          <w:sz w:val="18"/>
        </w:rPr>
        <w:t>MANUAL_KNOWLEDGE_INVENTORY.csv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 · La buena noticia: ya existe un runbook</w:t>
      </w:r>
    </w:p>
    <w:p>
      <w:pPr>
        <w:spacing w:after="80"/>
      </w:pPr>
      <w:r>
        <w:t xml:space="preserve">El manual no arranca de cero. </w:t>
      </w:r>
      <w:r>
        <w:rPr>
          <w:rFonts w:ascii="Consolas" w:hAnsi="Consolas"/>
          <w:sz w:val="18"/>
        </w:rPr>
        <w:t>docs/runbooks/</w:t>
      </w:r>
      <w:r>
        <w:t xml:space="preserve"> tiene **7 documentos + 8</w:t>
      </w:r>
    </w:p>
    <w:p>
      <w:pPr>
        <w:spacing w:after="80"/>
      </w:pPr>
      <w:r>
        <w:t>apéndices**, escritos explícitamente para "una persona que no conoce el proyecto</w:t>
      </w:r>
    </w:p>
    <w:p>
      <w:pPr>
        <w:spacing w:after="80"/>
      </w:pPr>
      <w:r>
        <w:t>y que no va a preguntarle nada a nadie", y con la regla correcta ya adoptada:</w:t>
      </w:r>
    </w:p>
    <w:p>
      <w:pPr>
        <w:spacing w:after="80"/>
      </w:pPr>
      <w:r>
        <w:rPr>
          <w:i/>
        </w:rPr>
        <w:t>documenta cómo funciona el código que hay hoy, no cómo debería funcionar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qué cubre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`00_START_HERE.md`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qué es Catalaxia, prerequisitos, los tres caminos CNV, el puerto que no se toca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`01_COMMON_OPERATIONS.md`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operaciones frecuentes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`02_SEC_EDGAR_E2E_RUNBOOK.md`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S00→S04 + ratios, parametrizado por `--cik`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`02A_SEC_EDGAR_ADR_ANNEX.md`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anexo ADR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`03_CNV_E2E_RUNBOOK.md`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CNV, incluido el diagnóstico de documentos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`04_MARKET_DATA_E2E.md`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market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`05_RATIO_REFERENCE.md`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ratios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`06_PROVENANCE.md`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cadena de provenance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`07_CERTIFICATION.md`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certificación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`appendices/`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COMMAND_REFERENCE, DATABASE_REFERENCE, ERROR_CATALOG (9 códigos), CHECKPOINT_CATALOG (15), GOLDEN_RUNS, FALLBACK_MATRIX, RECOVERY_PROCEDURES, LOG_CATALOG</w:t>
            </w:r>
          </w:p>
        </w:tc>
      </w:tr>
    </w:tbl>
    <w:p/>
    <w:p>
      <w:pPr>
        <w:spacing w:after="80"/>
      </w:pPr>
      <w:r>
        <w:t xml:space="preserve">Y existe una </w:t>
      </w:r>
      <w:r>
        <w:rPr>
          <w:b/>
        </w:rPr>
        <w:t>matriz de readiness</w:t>
      </w:r>
      <w:r>
        <w:t xml:space="preserve"> (</w:t>
      </w:r>
      <w:r>
        <w:rPr>
          <w:rFonts w:ascii="Consolas" w:hAnsi="Consolas"/>
          <w:sz w:val="18"/>
        </w:rPr>
        <w:t>outputs/runbook/RUNBOOK_READINESS_MATRIX.csv</w:t>
      </w:r>
      <w:r>
        <w:t>,</w:t>
      </w:r>
    </w:p>
    <w:p>
      <w:pPr>
        <w:spacing w:after="80"/>
      </w:pPr>
      <w:r>
        <w:t>19 componentes) que ya clasificó el estado real: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`READY`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`PARTIAL`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`SOFTWARE_GAP`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`RUNBOOK_GAP`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2</w:t>
            </w:r>
          </w:p>
        </w:tc>
      </w:tr>
    </w:tbl>
    <w:p/>
    <w:p>
      <w:pPr>
        <w:spacing w:after="80"/>
      </w:pPr>
      <w:r>
        <w:rPr>
          <w:b/>
        </w:rPr>
        <w:t>Consecuencia para el plan:</w:t>
      </w:r>
      <w:r>
        <w:t xml:space="preserve"> el manual propuesto no es un documento nuevo sino</w:t>
      </w:r>
    </w:p>
    <w:p>
      <w:pPr>
        <w:spacing w:after="80"/>
      </w:pPr>
      <w:r>
        <w:t xml:space="preserve">una </w:t>
      </w:r>
      <w:r>
        <w:rPr>
          <w:b/>
        </w:rPr>
        <w:t>reorganización y ampliación</w:t>
      </w:r>
      <w:r>
        <w:t xml:space="preserve"> de lo que ya está, más los tres pilotos como</w:t>
      </w:r>
    </w:p>
    <w:p>
      <w:pPr>
        <w:spacing w:after="80"/>
      </w:pPr>
      <w:r>
        <w:t>hilo conductor. Eso cambia el esfuerzo y conviene decidirlo antes de escribir.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 · Los tres pilotos: qué hay realmente</w:t>
      </w:r>
    </w:p>
    <w:p>
      <w:pPr>
        <w:spacing w:after="80"/>
      </w:pPr>
      <w:r>
        <w:t xml:space="preserve">Verificado en </w:t>
      </w:r>
      <w:r>
        <w:rPr>
          <w:rFonts w:ascii="Consolas" w:hAnsi="Consolas"/>
          <w:sz w:val="18"/>
        </w:rPr>
        <w:t>derived.fact</w:t>
      </w:r>
      <w:r>
        <w:t xml:space="preserve"> de la base </w:t>
      </w:r>
      <w:r>
        <w:rPr>
          <w:rFonts w:ascii="Consolas" w:hAnsi="Consolas"/>
          <w:sz w:val="18"/>
        </w:rPr>
        <w:t>catalaxia</w:t>
      </w:r>
      <w:r>
        <w:t xml:space="preserve"> @5433, no supuesto.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YPF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KO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METR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identificador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CIK `0000904851`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CIK `0000021344`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CUIT `30657863676`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SEC/EDGAR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SEC/EDGAR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CNV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formulario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**10-K**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EEFF (HTML)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taxonomía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IFRS + accesorios `srt`/`us-gaap`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**us-gaap puro**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códigos CNV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hechos en el canónico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**47.930**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**45.113**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4.648 (fixture)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filings / documentos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**17** (2009–2025)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60 con datos, 226 cáscaras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golden run documentado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**sí**, completo, con 7 gates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parcial (Tramo A)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resultados esperados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 (demo 5Y)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provenance E2E verificada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**sí**, 289 celdas, 0 rotos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homologación externa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**sí** (TIKR, 327 comparaciones)</w:t>
            </w:r>
          </w:p>
        </w:tc>
      </w:tr>
    </w:tbl>
    <w:p/>
    <w:p>
      <w:pPr>
        <w:spacing w:after="80"/>
      </w:pPr>
      <w:r>
        <w:t>**El hallazgo que más condiciona el plan: KO tiene los datos pero no tiene</w:t>
      </w:r>
    </w:p>
    <w:p>
      <w:pPr>
        <w:spacing w:after="80"/>
      </w:pPr>
      <w:r>
        <w:t>recorrido.** 45.113 hechos y 17 filings 10-K están cargados —es la segunda</w:t>
      </w:r>
    </w:p>
    <w:p>
      <w:pPr>
        <w:spacing w:after="80"/>
      </w:pPr>
      <w:r>
        <w:t>entidad con mejor cobertura del sistema— pero no hay ningún runbook, golden run,</w:t>
      </w:r>
    </w:p>
    <w:p>
      <w:pPr>
        <w:spacing w:after="80"/>
      </w:pPr>
      <w:r>
        <w:t>resultado esperado ni evidencia de que el E2E se haya corrido para KO. El</w:t>
      </w:r>
    </w:p>
    <w:p>
      <w:pPr>
        <w:spacing w:after="80"/>
      </w:pPr>
      <w:r>
        <w:t xml:space="preserve">runbook SEC es paramétrico por </w:t>
      </w:r>
      <w:r>
        <w:rPr>
          <w:rFonts w:ascii="Consolas" w:hAnsi="Consolas"/>
          <w:sz w:val="18"/>
        </w:rPr>
        <w:t>--cik</w:t>
      </w:r>
      <w:r>
        <w:t xml:space="preserve">, así que </w:t>
      </w:r>
      <w:r>
        <w:rPr>
          <w:b/>
        </w:rPr>
        <w:t>mecánicamente</w:t>
      </w:r>
      <w:r>
        <w:t xml:space="preserve"> corre; lo que</w:t>
      </w:r>
    </w:p>
    <w:p>
      <w:pPr>
        <w:spacing w:after="80"/>
      </w:pPr>
      <w:r>
        <w:t>falta es la certificación.</w:t>
      </w:r>
    </w:p>
    <w:p>
      <w:pPr>
        <w:spacing w:after="80"/>
      </w:pPr>
      <w:r>
        <w:t xml:space="preserve">Además hay </w:t>
      </w:r>
      <w:r>
        <w:rPr>
          <w:b/>
        </w:rPr>
        <w:t>7 entidades SEC más</w:t>
      </w:r>
      <w:r>
        <w:t xml:space="preserve"> ya ingestadas (Galicia, Macro, TGS, Central</w:t>
      </w:r>
    </w:p>
    <w:p>
      <w:pPr>
        <w:spacing w:after="80"/>
      </w:pPr>
      <w:r>
        <w:t xml:space="preserve">Puerto, Microsoft, NVIDIA, Apple), ninguna documentada. Y </w:t>
      </w:r>
      <w:r>
        <w:rPr>
          <w:rFonts w:ascii="Consolas" w:hAnsi="Consolas"/>
          <w:sz w:val="18"/>
        </w:rPr>
        <w:t>identity.entities</w:t>
      </w:r>
    </w:p>
    <w:p>
      <w:pPr>
        <w:spacing w:after="80"/>
      </w:pPr>
      <w:r>
        <w:t xml:space="preserve">tiene </w:t>
      </w:r>
      <w:r>
        <w:rPr>
          <w:b/>
        </w:rPr>
        <w:t>7.998 entidades</w:t>
      </w:r>
      <w:r>
        <w:t xml:space="preserve"> de las cuales sólo </w:t>
      </w:r>
      <w:r>
        <w:rPr>
          <w:b/>
        </w:rPr>
        <w:t>9 tienen hechos</w:t>
      </w:r>
      <w:r>
        <w:t xml:space="preserve"> — el cuello de</w:t>
      </w:r>
    </w:p>
    <w:p>
      <w:pPr>
        <w:spacing w:after="80"/>
      </w:pPr>
      <w:r>
        <w:t>botella conocido: el límite del producto es la ingesta, no el cálculo.</w:t>
      </w:r>
    </w:p>
    <w:p>
      <w:pPr>
        <w:pStyle w:val="Heading3"/>
      </w:pPr>
      <w:r>
        <w:t>Qué aporta cada piloto al manual</w:t>
      </w:r>
    </w:p>
    <w:p>
      <w:pPr>
        <w:pStyle w:val="ListBullet"/>
      </w:pPr>
      <w:r>
        <w:rPr>
          <w:b/>
        </w:rPr>
        <w:t>YPF</w:t>
      </w:r>
      <w:r>
        <w:t xml:space="preserve"> — el recorrido pedagógico completo. Es el único con los 7 gates</w:t>
      </w:r>
    </w:p>
    <w:p>
      <w:pPr>
        <w:spacing w:after="80"/>
      </w:pPr>
      <w:r>
        <w:t xml:space="preserve">  documentados y la prueba de idempotencia (</w:t>
      </w:r>
      <w:r>
        <w:rPr>
          <w:rFonts w:ascii="Consolas" w:hAnsi="Consolas"/>
          <w:sz w:val="18"/>
        </w:rPr>
        <w:t>hash_out</w:t>
      </w:r>
      <w:r>
        <w:t xml:space="preserve"> idéntico en la segunda</w:t>
      </w:r>
    </w:p>
    <w:p>
      <w:pPr>
        <w:spacing w:after="80"/>
      </w:pPr>
      <w:r>
        <w:t xml:space="preserve">  corrida de S03).</w:t>
      </w:r>
    </w:p>
    <w:p>
      <w:pPr>
        <w:pStyle w:val="ListBullet"/>
      </w:pPr>
      <w:r>
        <w:rPr>
          <w:b/>
        </w:rPr>
        <w:t>KO</w:t>
      </w:r>
      <w:r>
        <w:t xml:space="preserve"> — la demostración de generalización: misma arquitectura, otra</w:t>
      </w:r>
    </w:p>
    <w:p>
      <w:pPr>
        <w:spacing w:after="80"/>
      </w:pPr>
      <w:r>
        <w:t xml:space="preserve">  taxonomía. </w:t>
      </w:r>
      <w:r>
        <w:rPr>
          <w:b/>
        </w:rPr>
        <w:t>Hay que construirlo</w:t>
      </w:r>
      <w:r>
        <w:t>, no documentarlo.</w:t>
      </w:r>
    </w:p>
    <w:p>
      <w:pPr>
        <w:pStyle w:val="ListBullet"/>
      </w:pPr>
      <w:r>
        <w:rPr>
          <w:b/>
        </w:rPr>
        <w:t>METR</w:t>
      </w:r>
      <w:r>
        <w:t xml:space="preserve"> — el cambio de fuente. Aporta lo que ningún otro tiene: NIL</w:t>
      </w:r>
    </w:p>
    <w:p>
      <w:pPr>
        <w:spacing w:after="80"/>
      </w:pPr>
      <w:r>
        <w:t xml:space="preserve">  declarado, escala variable por ejercicio (</w:t>
      </w:r>
      <w:r>
        <w:rPr>
          <w:rFonts w:ascii="Consolas" w:hAnsi="Consolas"/>
          <w:sz w:val="18"/>
        </w:rPr>
        <w:t>ars@1e3</w:t>
      </w:r>
      <w:r>
        <w:t xml:space="preserve"> en 2021, </w:t>
      </w:r>
      <w:r>
        <w:rPr>
          <w:rFonts w:ascii="Consolas" w:hAnsi="Consolas"/>
          <w:sz w:val="18"/>
        </w:rPr>
        <w:t>ars@1e6</w:t>
      </w:r>
    </w:p>
    <w:p>
      <w:pPr>
        <w:spacing w:after="80"/>
      </w:pPr>
      <w:r>
        <w:t xml:space="preserve">  después), perímetro declarado vs evidenciado, USD MEP, Golden Run y</w:t>
      </w:r>
    </w:p>
    <w:p>
      <w:pPr>
        <w:spacing w:after="80"/>
      </w:pPr>
      <w:r>
        <w:t xml:space="preserve">  homologación externa.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 · Los 11 BLOCKER</w:t>
      </w:r>
    </w:p>
    <w:p>
      <w:pPr>
        <w:spacing w:after="80"/>
      </w:pPr>
      <w:r>
        <w:t>Ordenados por lo que impedirían al operador externo.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falta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por qué bloquea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**PRE-01**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`docker-compose.yml` **no declara `catalaxia-engine-dev`**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es la base contra la que corren *todos* los comandos del runbook (5433). Declara `catalaxia-db`, `catalaxia-pipeline`, `catalaxia-api` y `catalaxia-nginx`, pero no ésa. Un operador no puede recrear el entorno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**PRE-02**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`requirements.txt` no cubre el engine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tiene 3 líneas (`fastapi`, `uvicorn`, `psycopg2-binary`) y es del servicio API. El engine importa además `sqlalchemy`, `psycopg`, `lxml`, `requests`, `openpyxl`, `yfinance` y `pytest`, sin declarar en ningún archivo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**FAL-02**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hay procedimiento de instalación desde cero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falta el `git clone`, las dependencias reales y el contenedor de desarrollo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**PIL-KO-01 / FAL-01**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KO sin golden run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Parte IV del plan no se puede escribir sin correr el E2E de KO y certificar sus resultados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**OPS-02**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adaptador canónico CNV vive en un worktree sin mergear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existe un E2E CNV ejecutable desde el repo principal (`SOFTWARE GAP SG-01`)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**ERR-02**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`RECOVERY_PROCEDURES.md` **abre con la sección "Lo que no existe"**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hay `--resume` en ningún script, no hay quarantine, no hay rollback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**ERR-04 / FAL-03**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existe árbol de diagnóstico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es exactamente lo que piden las Partes VI y VII del plan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**GAT-02**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hay script único de gate/certificación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hoy el gate se lee a ojo en la consola; no hay exit code agregado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**PRV-03**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Market: enlace instrumento → entidad **roto**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matriz lo marca `provenance ROTA`; 15 de 584 instrumentos enlazados. Bloquea valuación generalizada</w:t>
            </w:r>
          </w:p>
        </w:tc>
      </w:tr>
    </w:tbl>
    <w:p/>
    <w:p>
      <w:pPr>
        <w:pStyle w:val="Heading2"/>
      </w:pPr>
      <w:r>
        <w:t>4 · Los 9 IMPORTANT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PRE-04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`DOLARITO_AUTH_CLIENT` está documentado en el docstring del script, en ningún runbook. **La CNV no requiere autenticación** — verificado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CMD-02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 374 scripts, ~12 son entry points oficiales; el resto no está clasificado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CMD-03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9 de los 11 scripts de `scripts/market/` no están documentados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OPS-01 / FAL-07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**8 bases en 5433** y `DATABASE_REFERENCE.md` documenta 2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OPS-04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hay `market_snapshots` (577 filas) pero ninguna maquinaria de snapshot para SEC ni CNV, y ningún rollback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FAL-04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E2E de Market parcialmente documentado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FAL-05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 hay verificación E2E de provenance para SEC (para CNV sí: `d3_metr5y_provenance.py`)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FAL-06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 hay gate con exit code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AUD-01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 lección "nunca asumir que si no está en la tabla no ocurrió" existe en la práctica, no escrita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 · Las 3 contradicciones encontradas</w:t>
      </w:r>
    </w:p>
    <w:p>
      <w:pPr>
        <w:pStyle w:val="ListNumber"/>
      </w:pPr>
      <w:r>
        <w:rPr>
          <w:b/>
        </w:rPr>
        <w:t>`ARQ-03`</w:t>
      </w:r>
      <w:r>
        <w:t xml:space="preserve"> — la arquitectura declara *Source Adapter → Canonical Model →</w:t>
      </w:r>
    </w:p>
    <w:p>
      <w:pPr>
        <w:spacing w:after="80"/>
      </w:pPr>
      <w:r>
        <w:t xml:space="preserve">   Financial Model → Ratio Engine*, pero </w:t>
      </w:r>
      <w:r>
        <w:rPr>
          <w:rFonts w:ascii="Consolas" w:hAnsi="Consolas"/>
          <w:sz w:val="18"/>
        </w:rPr>
        <w:t>ratio_engine.py</w:t>
      </w:r>
      <w:r>
        <w:t xml:space="preserve"> sigue siendo</w:t>
      </w:r>
    </w:p>
    <w:p>
      <w:pPr>
        <w:spacing w:after="80"/>
      </w:pPr>
      <w:r>
        <w:t xml:space="preserve">   SEC-first: toma </w:t>
      </w:r>
      <w:r>
        <w:rPr>
          <w:rFonts w:ascii="Consolas" w:hAnsi="Consolas"/>
          <w:sz w:val="18"/>
        </w:rPr>
        <w:t>--cik</w:t>
      </w:r>
      <w:r>
        <w:t xml:space="preserve"> e itera </w:t>
      </w:r>
      <w:r>
        <w:rPr>
          <w:rFonts w:ascii="Consolas" w:hAnsi="Consolas"/>
          <w:sz w:val="18"/>
        </w:rPr>
        <w:t>ciks_del_universo()</w:t>
      </w:r>
      <w:r>
        <w:t>. La frontera existe en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d2_metr5y_model.py</w:t>
      </w:r>
      <w:r>
        <w:t xml:space="preserve"> (que sí es agnóstico de fuente) pero **el Financial</w:t>
      </w:r>
    </w:p>
    <w:p>
      <w:pPr>
        <w:spacing w:after="80"/>
      </w:pPr>
      <w:r>
        <w:t xml:space="preserve">   Model no está persistido**: hoy se arma en memoria y no hay tabla.</w:t>
      </w:r>
    </w:p>
    <w:p>
      <w:pPr>
        <w:pStyle w:val="ListNumber"/>
      </w:pPr>
      <w:r>
        <w:rPr>
          <w:b/>
        </w:rPr>
        <w:t>`TIKR-03`</w:t>
      </w:r>
      <w:r>
        <w:t xml:space="preserve"> — el plan del manual pide los estados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METHODOLOGY_DIFFERENCE</w:t>
      </w:r>
      <w:r>
        <w:t xml:space="preserve"> y </w:t>
      </w:r>
      <w:r>
        <w:rPr>
          <w:rFonts w:ascii="Consolas" w:hAnsi="Consolas"/>
          <w:sz w:val="18"/>
        </w:rPr>
        <w:t>DATE_DIFFERENCE</w:t>
      </w:r>
      <w:r>
        <w:t xml:space="preserve">, que </w:t>
      </w:r>
      <w:r>
        <w:rPr>
          <w:b/>
        </w:rPr>
        <w:t>no están</w:t>
      </w:r>
      <w:r>
        <w:t xml:space="preserve"> en el set de</w:t>
      </w:r>
    </w:p>
    <w:p>
      <w:pPr>
        <w:spacing w:after="80"/>
      </w:pPr>
      <w:r>
        <w:t xml:space="preserve">   12 implementado. El set actual usa </w:t>
      </w:r>
      <w:r>
        <w:rPr>
          <w:rFonts w:ascii="Consolas" w:hAnsi="Consolas"/>
          <w:sz w:val="18"/>
        </w:rPr>
        <w:t>DIFFERENT_DEFINITION</w:t>
      </w:r>
      <w:r>
        <w:t>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PERIOD_MISMATCH</w:t>
      </w:r>
      <w:r>
        <w:t xml:space="preserve">, </w:t>
      </w:r>
      <w:r>
        <w:rPr>
          <w:rFonts w:ascii="Consolas" w:hAnsi="Consolas"/>
          <w:sz w:val="18"/>
        </w:rPr>
        <w:t>CURRENCY_MISMATCH</w:t>
      </w:r>
      <w:r>
        <w:t xml:space="preserve">, </w:t>
      </w:r>
      <w:r>
        <w:rPr>
          <w:rFonts w:ascii="Consolas" w:hAnsi="Consolas"/>
          <w:sz w:val="18"/>
        </w:rPr>
        <w:t>UNIT_MISMATCH</w:t>
      </w:r>
      <w:r>
        <w:t>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PERIMETER_MISMATCH</w:t>
      </w:r>
      <w:r>
        <w:t xml:space="preserve">, </w:t>
      </w:r>
      <w:r>
        <w:rPr>
          <w:rFonts w:ascii="Consolas" w:hAnsi="Consolas"/>
          <w:sz w:val="18"/>
        </w:rPr>
        <w:t>SOURCE_MISMATCH</w:t>
      </w:r>
      <w:r>
        <w:t xml:space="preserve">, </w:t>
      </w:r>
      <w:r>
        <w:rPr>
          <w:rFonts w:ascii="Consolas" w:hAnsi="Consolas"/>
          <w:sz w:val="18"/>
        </w:rPr>
        <w:t>TIKR_ONLY</w:t>
      </w:r>
      <w:r>
        <w:t xml:space="preserve">, </w:t>
      </w:r>
      <w:r>
        <w:rPr>
          <w:rFonts w:ascii="Consolas" w:hAnsi="Consolas"/>
          <w:sz w:val="18"/>
        </w:rPr>
        <w:t>CATALAXIA_ONLY</w:t>
      </w:r>
      <w:r>
        <w:t>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CATALAXIA_MISSING</w:t>
      </w:r>
      <w:r>
        <w:t xml:space="preserve">, </w:t>
      </w:r>
      <w:r>
        <w:rPr>
          <w:rFonts w:ascii="Consolas" w:hAnsi="Consolas"/>
          <w:sz w:val="18"/>
        </w:rPr>
        <w:t>TIKR_MISSING</w:t>
      </w:r>
      <w:r>
        <w:t xml:space="preserve">, </w:t>
      </w:r>
      <w:r>
        <w:rPr>
          <w:rFonts w:ascii="Consolas" w:hAnsi="Consolas"/>
          <w:sz w:val="18"/>
        </w:rPr>
        <w:t>ANOMALY</w:t>
      </w:r>
      <w:r>
        <w:t xml:space="preserve">, </w:t>
      </w:r>
      <w:r>
        <w:rPr>
          <w:rFonts w:ascii="Consolas" w:hAnsi="Consolas"/>
          <w:sz w:val="18"/>
        </w:rPr>
        <w:t>UNRESOLVED</w:t>
      </w:r>
      <w:r>
        <w:t>. **Hay que</w:t>
      </w:r>
    </w:p>
    <w:p>
      <w:pPr>
        <w:spacing w:after="80"/>
      </w:pPr>
      <w:r>
        <w:t xml:space="preserve">   decidir cuál set es el canónico** antes de escribir la Parte X.</w:t>
      </w:r>
    </w:p>
    <w:p>
      <w:pPr>
        <w:pStyle w:val="ListNumber"/>
      </w:pPr>
      <w:r>
        <w:rPr>
          <w:b/>
        </w:rPr>
        <w:t>`DEC-04`</w:t>
      </w:r>
      <w:r>
        <w:t xml:space="preserve"> — Catalaxia usa MEP y TIKR usa mayorista. No es una</w:t>
      </w:r>
    </w:p>
    <w:p>
      <w:pPr>
        <w:spacing w:after="80"/>
      </w:pPr>
      <w:r>
        <w:t xml:space="preserve">   contradicción interna sino una diferencia medida (0,0–0,3 % de ajuste al</w:t>
      </w:r>
    </w:p>
    <w:p>
      <w:pPr>
        <w:spacing w:after="80"/>
      </w:pPr>
      <w:r>
        <w:t xml:space="preserve">   mayorista, brecha del 85 % en 2021), y está documentada. Se anota para que el</w:t>
      </w:r>
    </w:p>
    <w:p>
      <w:pPr>
        <w:spacing w:after="80"/>
      </w:pPr>
      <w:r>
        <w:t xml:space="preserve">   manual no la presente como error.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 · Qué está sólido y se puede reusar tal cual</w:t>
      </w:r>
    </w:p>
    <w:p>
      <w:pPr>
        <w:pStyle w:val="ListBullet"/>
      </w:pPr>
      <w:r>
        <w:rPr>
          <w:b/>
        </w:rPr>
        <w:t>Los gates de SEC</w:t>
      </w:r>
      <w:r>
        <w:t xml:space="preserve"> — 7 etapas con exit code y señal en consola verificable.</w:t>
      </w:r>
    </w:p>
    <w:p>
      <w:pPr>
        <w:pStyle w:val="ListBullet"/>
      </w:pPr>
      <w:r>
        <w:rPr>
          <w:b/>
        </w:rPr>
        <w:t>La prueba de idempotencia de S03</w:t>
      </w:r>
      <w:r>
        <w:t xml:space="preserve"> — </w:t>
      </w:r>
      <w:r>
        <w:rPr>
          <w:rFonts w:ascii="Consolas" w:hAnsi="Consolas"/>
          <w:sz w:val="18"/>
        </w:rPr>
        <w:t>hash_out</w:t>
      </w:r>
      <w:r>
        <w:t xml:space="preserve"> idéntico y checkpoint</w:t>
      </w:r>
    </w:p>
    <w:p>
      <w:pPr>
        <w:spacing w:after="80"/>
      </w:pPr>
      <w:r>
        <w:t xml:space="preserve">  reusado. Es el único procedimiento de idempotencia que está escrito como</w:t>
      </w:r>
    </w:p>
    <w:p>
      <w:pPr>
        <w:spacing w:after="80"/>
      </w:pPr>
      <w:r>
        <w:t xml:space="preserve">  procedimiento y no como concepto.</w:t>
      </w:r>
    </w:p>
    <w:p>
      <w:pPr>
        <w:pStyle w:val="ListBullet"/>
      </w:pPr>
      <w:r>
        <w:rPr>
          <w:b/>
        </w:rPr>
        <w:t>El guard de producción</w:t>
      </w:r>
      <w:r>
        <w:t xml:space="preserve"> — 5432 nunca se escribe; verificado en cada sprint,</w:t>
      </w:r>
    </w:p>
    <w:p>
      <w:pPr>
        <w:spacing w:after="80"/>
      </w:pPr>
      <w:r>
        <w:t xml:space="preserve">  producción tiene sólo el esquema </w:t>
      </w:r>
      <w:r>
        <w:rPr>
          <w:rFonts w:ascii="Consolas" w:hAnsi="Consolas"/>
          <w:sz w:val="18"/>
        </w:rPr>
        <w:t>public</w:t>
      </w:r>
      <w:r>
        <w:t>.</w:t>
      </w:r>
    </w:p>
    <w:p>
      <w:pPr>
        <w:pStyle w:val="ListBullet"/>
      </w:pPr>
      <w:r>
        <w:rPr>
          <w:b/>
        </w:rPr>
        <w:t>La guarda de pertenencia</w:t>
      </w:r>
      <w:r>
        <w:t xml:space="preserve"> (</w:t>
      </w:r>
      <w:r>
        <w:rPr>
          <w:rFonts w:ascii="Consolas" w:hAnsi="Consolas"/>
          <w:sz w:val="18"/>
        </w:rPr>
        <w:t>ratio_inputs.INVARIANTE_PERTENENCIA</w:t>
      </w:r>
      <w:r>
        <w:t>) — todo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source_fact_id</w:t>
      </w:r>
      <w:r>
        <w:t xml:space="preserve"> resuelve al mismo emisor, filing y concepto.</w:t>
      </w:r>
    </w:p>
    <w:p>
      <w:pPr>
        <w:pStyle w:val="ListBullet"/>
      </w:pPr>
      <w:r>
        <w:rPr>
          <w:b/>
        </w:rPr>
        <w:t>El catálogo de comandos</w:t>
      </w:r>
      <w:r>
        <w:t xml:space="preserve"> — argumentos verificados contra el </w:t>
      </w:r>
      <w:r>
        <w:rPr>
          <w:rFonts w:ascii="Consolas" w:hAnsi="Consolas"/>
          <w:sz w:val="18"/>
        </w:rPr>
        <w:t>argparse</w:t>
      </w:r>
      <w:r>
        <w:t xml:space="preserve"> de</w:t>
      </w:r>
    </w:p>
    <w:p>
      <w:pPr>
        <w:spacing w:after="80"/>
      </w:pPr>
      <w:r>
        <w:t xml:space="preserve">  cada script, no de memoria.</w:t>
      </w:r>
    </w:p>
    <w:p>
      <w:pPr>
        <w:pStyle w:val="ListBullet"/>
      </w:pPr>
      <w:r>
        <w:rPr>
          <w:b/>
        </w:rPr>
        <w:t>Las decisiones arquitectónicas de CNV</w:t>
      </w:r>
      <w:r>
        <w:t xml:space="preserve"> — </w:t>
      </w:r>
      <w:r>
        <w:rPr>
          <w:rFonts w:ascii="Consolas" w:hAnsi="Consolas"/>
          <w:sz w:val="18"/>
        </w:rPr>
        <w:t>econ_key</w:t>
      </w:r>
      <w:r>
        <w:t xml:space="preserve"> sin </w:t>
      </w:r>
      <w:r>
        <w:rPr>
          <w:rFonts w:ascii="Consolas" w:hAnsi="Consolas"/>
          <w:sz w:val="18"/>
        </w:rPr>
        <w:t>value</w:t>
      </w:r>
      <w:r>
        <w:t xml:space="preserve"> ni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es_nil</w:t>
      </w:r>
      <w:r>
        <w:t>; no inferir supersesión por ordinal; CNV entra al registry como</w:t>
      </w:r>
    </w:p>
    <w:p>
      <w:pPr>
        <w:spacing w:after="80"/>
      </w:pPr>
      <w:r>
        <w:t xml:space="preserve">  tercera taxonomía sin motor aparte (780 resoluciones SEC, 0 cambiadas).</w:t>
      </w:r>
    </w:p>
    <w:p>
      <w:pPr>
        <w:pStyle w:val="ListBullet"/>
      </w:pPr>
      <w:r>
        <w:rPr>
          <w:b/>
        </w:rPr>
        <w:t>585 tests</w:t>
      </w:r>
      <w:r>
        <w:t xml:space="preserve"> en el worktree. Hoy fallan 5: 3 por drift de datos en la base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catalaxia</w:t>
      </w:r>
      <w:r>
        <w:t xml:space="preserve"> (lote M23, 601 filas contra 591 esperadas) y 2 son guardas de</w:t>
      </w:r>
    </w:p>
    <w:p>
      <w:pPr>
        <w:spacing w:after="80"/>
      </w:pPr>
      <w:r>
        <w:t xml:space="preserve">  sprints de auditoría que detectaron —correctamente— un cambio posterior en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ratio_defs.py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 · Decisiones que hacen falta antes del paso 2</w:t>
      </w:r>
    </w:p>
    <w:p>
      <w:pPr>
        <w:spacing w:after="80"/>
      </w:pPr>
      <w:r>
        <w:t>Cuatro, y ninguna la puedo tomar yo:</w:t>
      </w:r>
    </w:p>
    <w:p>
      <w:pPr>
        <w:pStyle w:val="ListNumber"/>
      </w:pPr>
      <w:r>
        <w:rPr>
          <w:b/>
        </w:rPr>
        <w:t>¿KO se construye o se reemplaza?</w:t>
      </w:r>
      <w:r>
        <w:t xml:space="preserve"> No tiene golden run. Construirlo</w:t>
      </w:r>
    </w:p>
    <w:p>
      <w:pPr>
        <w:spacing w:after="80"/>
      </w:pPr>
      <w:r>
        <w:t xml:space="preserve">   significa correr el E2E completo y certificarlo — un sprint en sí mismo. La</w:t>
      </w:r>
    </w:p>
    <w:p>
      <w:pPr>
        <w:spacing w:after="80"/>
      </w:pPr>
      <w:r>
        <w:t xml:space="preserve">   alternativa es usar como segundo piloto una de las otras 7 entidades SEC ya</w:t>
      </w:r>
    </w:p>
    <w:p>
      <w:pPr>
        <w:spacing w:after="80"/>
      </w:pPr>
      <w:r>
        <w:t xml:space="preserve">   ingestadas, con el mismo problema.</w:t>
      </w:r>
    </w:p>
    <w:p>
      <w:pPr>
        <w:pStyle w:val="ListNumber"/>
      </w:pPr>
      <w:r>
        <w:rPr>
          <w:b/>
        </w:rPr>
        <w:t>¿El manual reemplaza `docs/runbooks/` o lo envuelve?</w:t>
      </w:r>
      <w:r>
        <w:t xml:space="preserve"> Hay 7 documentos +</w:t>
      </w:r>
    </w:p>
    <w:p>
      <w:pPr>
        <w:spacing w:after="80"/>
      </w:pPr>
      <w:r>
        <w:t xml:space="preserve">   8 apéndices que ya funcionan. Reescribirlos desde cero pierde trabajo</w:t>
      </w:r>
    </w:p>
    <w:p>
      <w:pPr>
        <w:spacing w:after="80"/>
      </w:pPr>
      <w:r>
        <w:t xml:space="preserve">   verificado; envolverlos rompe la regla de autosuficiencia del plan.</w:t>
      </w:r>
    </w:p>
    <w:p>
      <w:pPr>
        <w:pStyle w:val="ListNumber"/>
      </w:pPr>
      <w:r>
        <w:rPr>
          <w:b/>
        </w:rPr>
        <w:t>¿Los BLOCKER se documentan o se arreglan?</w:t>
      </w:r>
      <w:r>
        <w:t xml:space="preserve"> </w:t>
      </w:r>
      <w:r>
        <w:rPr>
          <w:rFonts w:ascii="Consolas" w:hAnsi="Consolas"/>
          <w:sz w:val="18"/>
        </w:rPr>
        <w:t>PRE-01</w:t>
      </w:r>
      <w:r>
        <w:t xml:space="preserve">, </w:t>
      </w:r>
      <w:r>
        <w:rPr>
          <w:rFonts w:ascii="Consolas" w:hAnsi="Consolas"/>
          <w:sz w:val="18"/>
        </w:rPr>
        <w:t>PRE-02</w:t>
      </w:r>
      <w:r>
        <w:t xml:space="preserve"> y </w:t>
      </w:r>
      <w:r>
        <w:rPr>
          <w:rFonts w:ascii="Consolas" w:hAnsi="Consolas"/>
          <w:sz w:val="18"/>
        </w:rPr>
        <w:t>FAL-02</w:t>
      </w:r>
    </w:p>
    <w:p>
      <w:pPr>
        <w:spacing w:after="80"/>
      </w:pPr>
      <w:r>
        <w:t xml:space="preserve">   son de instalación: sin ellos el manual </w:t>
      </w:r>
      <w:r>
        <w:rPr>
          <w:b/>
        </w:rPr>
        <w:t>no puede</w:t>
      </w:r>
      <w:r>
        <w:t xml:space="preserve"> ser autosuficiente, y</w:t>
      </w:r>
    </w:p>
    <w:p>
      <w:pPr>
        <w:spacing w:after="80"/>
      </w:pPr>
      <w:r>
        <w:t xml:space="preserve">   arreglarlos es tocar </w:t>
      </w:r>
      <w:r>
        <w:rPr>
          <w:rFonts w:ascii="Consolas" w:hAnsi="Consolas"/>
          <w:sz w:val="18"/>
        </w:rPr>
        <w:t>docker-compose.yml</w:t>
      </w:r>
      <w:r>
        <w:t xml:space="preserve"> y </w:t>
      </w:r>
      <w:r>
        <w:rPr>
          <w:rFonts w:ascii="Consolas" w:hAnsi="Consolas"/>
          <w:sz w:val="18"/>
        </w:rPr>
        <w:t>requirements.txt</w:t>
      </w:r>
      <w:r>
        <w:t>.</w:t>
      </w:r>
    </w:p>
    <w:p>
      <w:pPr>
        <w:pStyle w:val="ListNumber"/>
      </w:pPr>
      <w:r>
        <w:rPr>
          <w:b/>
        </w:rPr>
        <w:t>¿Cuál es el set canónico de estados de homologación?</w:t>
      </w:r>
      <w:r>
        <w:t xml:space="preserve"> El del plan o el</w:t>
      </w:r>
    </w:p>
    <w:p>
      <w:pPr>
        <w:spacing w:after="80"/>
      </w:pPr>
      <w:r>
        <w:t xml:space="preserve">   implementado (§5.2).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 · Qué NO hice</w:t>
      </w:r>
    </w:p>
    <w:p>
      <w:pPr>
        <w:spacing w:after="80"/>
      </w:pPr>
      <w:r>
        <w:t>No escribí el manual, no diseñé el índice, no corregí ningún gap y no toqué</w:t>
      </w:r>
    </w:p>
    <w:p>
      <w:pPr>
        <w:spacing w:after="80"/>
      </w:pPr>
      <w:r>
        <w:t xml:space="preserve">producción, </w:t>
      </w:r>
      <w:r>
        <w:rPr>
          <w:rFonts w:ascii="Consolas" w:hAnsi="Consolas"/>
          <w:sz w:val="18"/>
        </w:rPr>
        <w:t>screener.db</w:t>
      </w:r>
      <w:r>
        <w:t>, SEC, Identity, Market ni el ratio engine. Este paso</w:t>
      </w:r>
    </w:p>
    <w:p>
      <w:pPr>
        <w:spacing w:after="80"/>
      </w:pPr>
      <w:r>
        <w:t>es sólo el inventario.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archivo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contenido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`MANUAL_KNOWLEDGE_INVENTORY.csv`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64 ítems × 11 columnas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`MANUAL_KNOWLEDGE_INVENTORY.md`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esta lectura</w:t>
            </w:r>
          </w:p>
        </w:tc>
      </w:tr>
    </w:tbl>
    <w:p/>
    <w:p>
      <w:pPr>
        <w:spacing w:after="80"/>
      </w:pPr>
      <w:r>
        <w:t xml:space="preserve">Generador: </w:t>
      </w:r>
      <w:r>
        <w:rPr>
          <w:rFonts w:ascii="Consolas" w:hAnsi="Consolas"/>
          <w:sz w:val="18"/>
        </w:rPr>
        <w:t>scripts/engine/g1_manual_inventory.py</w:t>
      </w:r>
      <w:r>
        <w:t xml:space="preserve"> (worktree, sólo lectura).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MANUAL_KNOWLEDGE_INVENTORY · Inventario de conocimiento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MANUAL_KNOWLEDGE_INVENTORY · Inventario de conocimiento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