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PARTE I — CÓMO USAR ESTE MANUAL</w:t>
      </w:r>
    </w:p>
    <w:p>
      <w:r>
        <w:rPr>
          <w:b/>
          <w:color w:val="3B82F6"/>
          <w:sz w:val="20"/>
        </w:rPr>
        <w:t>Identificación: Parte I Como usar este manual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PARTE I — CÓMO USAR ESTE MANUAL</w:t>
      </w:r>
    </w:p>
    <w:p>
      <w:r>
        <w:rPr>
          <w:b/>
        </w:rPr>
        <w:t>Prefacio. No es uno de los 17 capítulos obligatorios del alcance.</w:t>
      </w:r>
      <w:r>
        <w:t xml:space="preserve"> Es la</w:t>
      </w:r>
    </w:p>
    <w:p>
      <w:r>
        <w:t xml:space="preserve">puerta de entrada: orienta </w:t>
      </w:r>
      <w:r>
        <w:rPr>
          <w:b/>
        </w:rPr>
        <w:t>antes de tocar un comando</w:t>
      </w:r>
      <w:r>
        <w:t xml:space="preserve"> y declara las reglas</w:t>
      </w:r>
    </w:p>
    <w:p>
      <w:r>
        <w:t>con las que está escrito todo lo que sigue.</w:t>
      </w:r>
    </w:p>
    <w:p>
      <w:r>
        <w:t xml:space="preserve">Está escrita para una persona que </w:t>
      </w:r>
      <w:r>
        <w:rPr>
          <w:b/>
        </w:rPr>
        <w:t>no conoce el proyecto</w:t>
      </w:r>
      <w:r>
        <w:t xml:space="preserve"> y que no va a</w:t>
      </w:r>
    </w:p>
    <w:p>
      <w:r>
        <w:t>preguntarle nada a nadie.</w:t>
      </w:r>
    </w:p>
    <w:p>
      <w:r>
        <w:rPr>
          <w:b/>
        </w:rPr>
        <w:t>Material de base:</w:t>
      </w:r>
      <w:r>
        <w:t xml:space="preserve"> </w:t>
      </w:r>
      <w:r>
        <w:rPr>
          <w:rFonts w:ascii="Consolas" w:hAnsi="Consolas"/>
          <w:sz w:val="18"/>
        </w:rPr>
        <w:t>docs/runbooks/00_START_HERE.md</w:t>
      </w:r>
      <w:r>
        <w:t xml:space="preserve"> §1, §3, §5, §6;</w:t>
      </w:r>
    </w:p>
    <w:p>
      <w:r>
        <w:rPr>
          <w:rFonts w:ascii="Consolas" w:hAnsi="Consolas"/>
          <w:sz w:val="18"/>
        </w:rPr>
        <w:t>docs/manual/MANUAL_SCOPE.md</w:t>
      </w:r>
      <w:r>
        <w:t xml:space="preserve"> §0, §1.2, §5 (N-2).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1 · Qué es Catalaxia</w:t>
      </w:r>
    </w:p>
    <w:p>
      <w:r>
        <w:t>Un sistema que toma estados financieros de dos fuentes —</w:t>
      </w:r>
      <w:r>
        <w:rPr>
          <w:b/>
        </w:rPr>
        <w:t>SEC/EDGAR</w:t>
      </w:r>
      <w:r>
        <w:t xml:space="preserve"> (EE. UU.,</w:t>
      </w:r>
    </w:p>
    <w:p>
      <w:r>
        <w:t xml:space="preserve">XBRL) y </w:t>
      </w:r>
      <w:r>
        <w:rPr>
          <w:b/>
        </w:rPr>
        <w:t>CNV</w:t>
      </w:r>
      <w:r>
        <w:t xml:space="preserve"> (Argentina, HTML)—, los normaliza a un modelo común y calcula</w:t>
      </w:r>
    </w:p>
    <w:p>
      <w:r>
        <w:t>ratios, dejando registro de dónde salió cada número.</w:t>
      </w:r>
    </w:p>
    <w:p>
      <w:r>
        <w:rPr>
          <w:b/>
        </w:rPr>
        <w:t>Hay dos pipelines, y no comparten etapas: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SEC   S00 → S01 → S02 → S03 → S04 → ratios      (un esquema, un camino)</w:t>
              <w:br/>
              <w:t>CNV   TRAMO A (engine, con gate, sin EEFF)</w:t>
              <w:br/>
              <w:t xml:space="preserve">      TRAMO B (legacy, el que produjo los datos, sin registro)</w:t>
              <w:br/>
              <w:t xml:space="preserve">      TRAMO C (adaptador canónico, en el worktree)</w:t>
            </w:r>
          </w:p>
        </w:tc>
      </w:tr>
    </w:tbl>
    <w:p>
      <w:pPr>
        <w:jc w:val="center"/>
      </w:pPr>
      <w:r>
        <w:rPr>
          <w:b/>
        </w:rPr>
        <w:t>[Imagen: Figura 1 · Arquitectura del sistema]</w:t>
        <w:br/>
      </w:r>
      <w:r>
        <w:rPr>
          <w:i/>
          <w:color w:val="7B899A"/>
          <w:sz w:val="16"/>
        </w:rPr>
        <w:t>images/arquitectura_sistema.png</w:t>
      </w:r>
    </w:p>
    <w:p>
      <w:r>
        <w:t xml:space="preserve">Este manual </w:t>
      </w:r>
      <w:r>
        <w:rPr>
          <w:b/>
        </w:rPr>
      </w:r>
      <w:r>
        <w:t>no documenta cómo debería funcionar el sistema. Documenta cómo</w:t>
      </w:r>
    </w:p>
    <w:p>
      <w:r>
        <w:t>funciona el código que hay hoy.</w:t>
      </w:r>
      <w:r>
        <w:rPr>
          <w:b/>
        </w:rPr>
      </w:r>
      <w:r>
        <w:t xml:space="preserve"> Donde el software no alcanza para operar de</w:t>
      </w:r>
    </w:p>
    <w:p>
      <w:r>
        <w:t xml:space="preserve">forma determinística, dice </w:t>
      </w:r>
      <w:r>
        <w:rPr>
          <w:rFonts w:ascii="Consolas" w:hAnsi="Consolas"/>
          <w:sz w:val="18"/>
        </w:rPr>
        <w:t>SOFTWARE GAP</w:t>
      </w:r>
      <w:r>
        <w:t xml:space="preserve"> y no inventa una solución.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2 · El hecho que parte el alcance en dos</w:t>
      </w:r>
    </w:p>
    <w:p>
      <w:r>
        <w:t xml:space="preserve">El repositorio principal llega a la </w:t>
      </w:r>
      <w:r>
        <w:rPr>
          <w:b/>
        </w:rPr>
        <w:t>migración 033</w:t>
      </w:r>
      <w:r>
        <w:t>. El worktree</w:t>
      </w:r>
    </w:p>
    <w:p>
      <w:r>
        <w:rPr>
          <w:rFonts w:ascii="Consolas" w:hAnsi="Consolas"/>
          <w:sz w:val="18"/>
        </w:rPr>
        <w:t>catalaxia-cnvmig</w:t>
      </w:r>
      <w:r>
        <w:t xml:space="preserve"> (rama </w:t>
      </w:r>
      <w:r>
        <w:rPr>
          <w:rFonts w:ascii="Consolas" w:hAnsi="Consolas"/>
          <w:sz w:val="18"/>
        </w:rPr>
        <w:t>feat/cnv-canonical</w:t>
      </w:r>
      <w:r>
        <w:t>) tiene tres más y, con ellas,</w:t>
      </w:r>
    </w:p>
    <w:p>
      <w:r>
        <w:t xml:space="preserve">cinco scripts que el repo principal </w:t>
      </w:r>
      <w:r>
        <w:rPr>
          <w:b/>
        </w:rPr>
        <w:t>no tiene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artefacto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repo principal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worktree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s00_smoke … s04_normalize, ratio_engine, ratio_defs, c3_cnv_fetch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job5_v2_extract_eeff (extracción CNV legacy)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c4_cnv_adapter, c4_cnv_semantica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d1_metr5y_market, d2_metr5y_model, d3_metr5y_provenance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h1_tikr_metr_homologacion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migraciones 034/035/036 (entity_id CNV, measurement_date, econ_key)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[Imagen: Figura 2 · Estilos de pipeline y flujos — la partición del alcance]</w:t>
        <w:br/>
      </w:r>
      <w:r>
        <w:rPr>
          <w:i/>
          <w:color w:val="7B899A"/>
          <w:sz w:val="16"/>
        </w:rPr>
        <w:t>images/estilos_pipeline_flujos.png</w:t>
      </w:r>
    </w:p>
    <w:p>
      <w:r>
        <w:rPr>
          <w:b/>
        </w:rPr>
        <w:t>Consecuencia:</w:t>
      </w:r>
      <w:r>
        <w:t xml:space="preserve"> 4 de los 17 capítulos obligatorios </w:t>
      </w:r>
      <w:r>
        <w:rPr>
          <w:b/>
        </w:rPr>
      </w:r>
      <w:r>
        <w:t>no son ejecutables desde</w:t>
      </w:r>
    </w:p>
    <w:p>
      <w:r>
        <w:t>el repo principal</w:t>
      </w:r>
      <w:r>
        <w:rPr>
          <w:b/>
        </w:rPr>
      </w:r>
      <w:r>
        <w:t xml:space="preserve"> — Economic Facts, Financial Model, el tramo canónico de</w:t>
      </w:r>
    </w:p>
    <w:p>
      <w:r>
        <w:t>CNV y la homologación TIKR. No es una opinión sobre prioridades: es que los</w:t>
      </w:r>
    </w:p>
    <w:p>
      <w:r>
        <w:t xml:space="preserve">archivos no están ahí. La decisión de cómo documentarlo es </w:t>
      </w:r>
      <w:r>
        <w:rPr>
          <w:b/>
        </w:rPr>
        <w:t>D-1</w:t>
      </w:r>
      <w:r>
        <w:t>, y ninguno</w:t>
      </w:r>
    </w:p>
    <w:p>
      <w:r>
        <w:t>de estos manuales la resuelve: la marca y sigue.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3 · Qué es parte del E2E y qué no</w:t>
      </w:r>
    </w:p>
    <w:p>
      <w:pPr>
        <w:jc w:val="center"/>
      </w:pPr>
      <w:r>
        <w:rPr>
          <w:b/>
        </w:rPr>
        <w:t>[Imagen: Figura 3 · Vista esquemática del pipeline E2E]</w:t>
        <w:br/>
      </w:r>
      <w:r>
        <w:rPr>
          <w:i/>
          <w:color w:val="7B899A"/>
          <w:sz w:val="16"/>
        </w:rPr>
        <w:t>images/pipeline_diagrama1.png</w:t>
      </w:r>
    </w:p>
    <w:p>
      <w:pPr>
        <w:pStyle w:val="Heading3"/>
      </w:pPr>
      <w:r>
        <w:t>SEC — un solo camino,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STAGE_ID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script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S00_bootstrap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scripts/engine/s00_smoke.py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S01_identity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scripts/engine/s01_identity.py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S02_fetch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scripts/engine/s02_fetch_ypf.py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S03_parse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scripts/engine/s03_parse_ypf.py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S04_normalize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scripts/engine/s04_normalize.py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después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scripts/engine/ratio_engine.py</w:t>
            </w:r>
          </w:p>
        </w:tc>
      </w:tr>
    </w:tbl>
    <w:p>
      <w:pPr>
        <w:spacing w:after="0"/>
      </w:pPr>
    </w:p>
    <w:p>
      <w:pPr>
        <w:pStyle w:val="Heading3"/>
      </w:pPr>
      <w:r>
        <w:t>CNV — tres caminos, y el que produjo los datos NO es el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camino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 real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 · engine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scripts/engine/c3_cnv_fetch.py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instrumentado, con gates y ledger — pero solo baja VISOR y EMPRESA_PAGE. No descarga estados financieros (L-7, SG-01)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B · legacy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scripts/tickets/cnv/jobs/job5_v2_extract_eeff.py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el que produjo todos los datos CNV que existen. Sin ledger, sin SHA, descarta en silencio (CNV-EX-001, L-6). Escribe en data/screener.db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 · canónico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scripts/engine/c4_cnv_adapter.py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en el worktree, sin mergear (D-1)</w:t>
            </w:r>
          </w:p>
        </w:tc>
      </w:tr>
    </w:tbl>
    <w:p>
      <w:pPr>
        <w:spacing w:after="0"/>
      </w:pPr>
    </w:p>
    <w:p>
      <w:pPr>
        <w:pStyle w:val="Heading3"/>
      </w:pPr>
      <w:r>
        <w:t>El resto — la regla de los 374</w:t>
      </w:r>
    </w:p>
    <w:p>
      <w:r>
        <w:rPr>
          <w:rFonts w:ascii="Consolas" w:hAnsi="Consolas"/>
          <w:sz w:val="18"/>
        </w:rPr>
        <w:t>scripts/engine/</w:t>
      </w:r>
      <w:r>
        <w:t xml:space="preserve"> tiene 60 archivos; el repo entero, cientos. La mayoría son</w:t>
      </w:r>
    </w:p>
    <w:p>
      <w:r>
        <w:t>auditorías puntuales, bancos de prueba de defectos concretos (</w:t>
      </w:r>
      <w:r>
        <w:rPr>
          <w:rFonts w:ascii="Consolas" w:hAnsi="Consolas"/>
          <w:sz w:val="18"/>
        </w:rPr>
        <w:t>f0NN_*</w:t>
      </w:r>
      <w:r>
        <w:t>,</w:t>
      </w:r>
    </w:p>
    <w:p>
      <w:r>
        <w:rPr>
          <w:rFonts w:ascii="Consolas" w:hAnsi="Consolas"/>
          <w:sz w:val="18"/>
        </w:rPr>
        <w:t>audit_f0NN_*</w:t>
      </w:r>
      <w:r>
        <w:t xml:space="preserve">, </w:t>
      </w:r>
      <w:r>
        <w:rPr>
          <w:rFonts w:ascii="Consolas" w:hAnsi="Consolas"/>
          <w:sz w:val="18"/>
        </w:rPr>
        <w:t>mut_*</w:t>
      </w:r>
      <w:r>
        <w:t xml:space="preserve">) y adversarios </w:t>
      </w:r>
      <w:r>
        <w:rPr>
          <w:b/>
        </w:rPr>
        <w:t>que no son parte del E2E</w:t>
      </w:r>
      <w:r>
        <w:t xml:space="preserve"> (regla N-2).</w:t>
      </w:r>
    </w:p>
    <w:p>
      <w:r>
        <w:t xml:space="preserve">Regla: </w:t>
      </w:r>
      <w:r>
        <w:rPr>
          <w:b/>
        </w:rPr>
      </w:r>
      <w:r>
        <w:t>si el script no aparece en las tablas de arriba ni en</w:t>
      </w:r>
    </w:p>
    <w:p>
      <w:r>
        <w:rPr>
          <w:rFonts w:ascii="Consolas" w:hAnsi="Consolas"/>
          <w:sz w:val="18"/>
        </w:rPr>
        <w:t>docs/manual/MANUAL_COMMAND_CATALOG.md</w:t>
      </w:r>
      <w:r>
        <w:t>, no se corre como parte de un</w:t>
      </w:r>
    </w:p>
    <w:p>
      <w:r>
        <w:t>pipeline.</w:t>
      </w:r>
      <w:r>
        <w:rPr>
          <w:b/>
        </w:rPr>
      </w:r>
    </w:p>
    <w:p>
      <w:r>
        <w:rPr>
          <w:b/>
        </w:rPr>
        <w:t>Scripts peligrosos por nombre — no ejecutar nunca sin leer el archivo:</w:t>
      </w:r>
    </w:p>
    <w:p>
      <w:pPr>
        <w:pStyle w:val="ListBullet"/>
      </w:pPr>
      <w:r>
        <w:t>scripts/engine/mut_f054_f055.py — hace DELETE FROM parsed.facts</w:t>
      </w:r>
    </w:p>
    <w:p>
      <w:pPr>
        <w:pStyle w:val="ListBullet"/>
      </w:pPr>
      <w:r>
        <w:t>scripts/engine/reparse_universo.py — reprocesa todo el universo</w:t>
      </w:r>
    </w:p>
    <w:p>
      <w:pPr>
        <w:pStyle w:val="ListBullet"/>
      </w:pPr>
      <w:r>
        <w:t>scripts/pipeline/fix_*.py — parches históricos de una sola vez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4 · Seguridad de producción — leer antes de correr algo</w:t>
      </w:r>
    </w:p>
    <w:p>
      <w:r>
        <w:rPr>
          <w:b/>
        </w:rPr>
        <w:t>Hay dos bases PostgreSQL en esta máquina y se parecen.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puerto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contenedor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es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5432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catalaxia-db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catalaxia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PRODUCCIÓN. NUNCA escribir.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5433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catalaxia-engine-dev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catalaxia, cnvmig, …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desarrollo / fixtures</w:t>
            </w:r>
          </w:p>
        </w:tc>
      </w:tr>
    </w:tbl>
    <w:p>
      <w:pPr>
        <w:spacing w:after="0"/>
      </w:pPr>
    </w:p>
    <w:p>
      <w:r>
        <w:t xml:space="preserve">El código tiene un guard real, </w:t>
      </w:r>
      <w:r>
        <w:rPr>
          <w:b/>
        </w:rPr>
        <w:t>`EXT-010`</w:t>
      </w:r>
      <w:r>
        <w:t xml:space="preserve">, en </w:t>
      </w:r>
      <w:r>
        <w:rPr>
          <w:rFonts w:ascii="Consolas" w:hAnsi="Consolas"/>
          <w:sz w:val="18"/>
        </w:rPr>
        <w:t>engine/config.py</w:t>
      </w:r>
      <w:r>
        <w:t>: si</w:t>
      </w:r>
    </w:p>
    <w:p>
      <w:r>
        <w:rPr>
          <w:rFonts w:ascii="Consolas" w:hAnsi="Consolas"/>
          <w:sz w:val="18"/>
        </w:rPr>
        <w:t>ENGINE_DB_PORT=5432</w:t>
      </w:r>
      <w:r>
        <w:t xml:space="preserve"> y no está </w:t>
      </w:r>
      <w:r>
        <w:rPr>
          <w:rFonts w:ascii="Consolas" w:hAnsi="Consolas"/>
          <w:sz w:val="18"/>
        </w:rPr>
        <w:t>ENGINE_ALLOW_PROD=1</w:t>
      </w:r>
      <w:r>
        <w:t xml:space="preserve">, </w:t>
      </w:r>
      <w:r>
        <w:rPr>
          <w:rFonts w:ascii="Consolas" w:hAnsi="Consolas"/>
          <w:sz w:val="18"/>
        </w:rPr>
        <w:t>load_settings()</w:t>
      </w:r>
    </w:p>
    <w:p>
      <w:r>
        <w:t xml:space="preserve">lanza </w:t>
      </w:r>
      <w:r>
        <w:rPr>
          <w:rFonts w:ascii="Consolas" w:hAnsi="Consolas"/>
          <w:sz w:val="18"/>
        </w:rPr>
        <w:t>RuntimeError</w:t>
      </w:r>
      <w:r>
        <w:t xml:space="preserve"> y el proceso muere </w:t>
      </w:r>
      <w:r>
        <w:rPr>
          <w:b/>
        </w:rPr>
        <w:t>antes de conectar</w:t>
      </w:r>
      <w:r>
        <w:t>.</w:t>
      </w:r>
    </w:p>
    <w:p>
      <w:r>
        <w:rPr>
          <w:b/>
        </w:rPr>
        <w:t>Verificación obligatoria antes de cada E2E: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python -c "from engine.config import load_settings; s=load_settings(); print(s.describe())"</w:t>
            </w:r>
          </w:p>
        </w:tc>
      </w:tr>
    </w:tbl>
    <w:p>
      <w:pPr>
        <w:spacing w:after="60"/>
      </w:pPr>
      <w:r>
        <w:rPr>
          <w:i/>
          <w:color w:val="7B899A"/>
          <w:sz w:val="16"/>
        </w:rPr>
        <w:t>Formato: bash</w:t>
      </w:r>
    </w:p>
    <w:p>
      <w:r>
        <w:t xml:space="preserve">Salida esperada: </w:t>
      </w:r>
      <w:r>
        <w:rPr>
          <w:rFonts w:ascii="Consolas" w:hAnsi="Consolas"/>
          <w:sz w:val="18"/>
        </w:rPr>
        <w:t>catalaxia_engine@127.0.0.1:5433/catalaxia mode=FAST prod=False</w:t>
      </w:r>
      <w:r>
        <w:t>.</w:t>
      </w:r>
    </w:p>
    <w:p>
      <w:r>
        <w:rPr>
          <w:b/>
        </w:rPr>
        <w:t>Si `prod=True` o el puerto no es 5433: ABORTAR</w:t>
      </w:r>
      <w:r>
        <w:t xml:space="preserve"> (</w:t>
      </w:r>
      <w:r>
        <w:rPr>
          <w:rFonts w:ascii="Consolas" w:hAnsi="Consolas"/>
          <w:sz w:val="18"/>
        </w:rPr>
        <w:t>RECOVERY_PROCEDURES.md</w:t>
      </w:r>
      <w:r>
        <w:t>,</w:t>
      </w:r>
    </w:p>
    <w:p>
      <w:r>
        <w:t>caso 20).</w:t>
      </w:r>
    </w:p>
    <w:p>
      <w:r>
        <w:t xml:space="preserve">Además, </w:t>
      </w:r>
      <w:r>
        <w:rPr>
          <w:rFonts w:ascii="Consolas" w:hAnsi="Consolas"/>
          <w:sz w:val="18"/>
        </w:rPr>
        <w:t>data/screener.db</w:t>
      </w:r>
      <w:r>
        <w:t xml:space="preserve"> es un artefacto que varios scripts abren. Se anota</w:t>
      </w:r>
    </w:p>
    <w:p>
      <w:r>
        <w:t>su huella antes y se compara al terminar (</w:t>
      </w:r>
      <w:r>
        <w:rPr>
          <w:rFonts w:ascii="Consolas" w:hAnsi="Consolas"/>
          <w:sz w:val="18"/>
        </w:rPr>
        <w:t>stat -c '%y %s' data/screener.db</w:t>
      </w:r>
      <w:r>
        <w:t>).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5 · Cómo se lee este manual</w:t>
      </w:r>
    </w:p>
    <w:p>
      <w:pPr>
        <w:pStyle w:val="ListBullet"/>
      </w:pPr>
      <w:r>
        <w:t>Comando exacto significa exacto: se copia y se pega, desde la raíz del</w:t>
      </w:r>
    </w:p>
    <w:p>
      <w:r>
        <w:t xml:space="preserve">  repo.</w:t>
      </w:r>
    </w:p>
    <w:p>
      <w:pPr>
        <w:pStyle w:val="ListBullet"/>
      </w:pPr>
      <w:r>
        <w:t>Tres rótulos, y solo tres, nunca para tapar:</w:t>
      </w:r>
    </w:p>
    <w:p>
      <w:r>
        <w:t xml:space="preserve">  </w:t>
      </w:r>
      <w:r>
        <w:rPr>
          <w:rFonts w:ascii="Consolas" w:hAnsi="Consolas"/>
          <w:sz w:val="18"/>
        </w:rPr>
        <w:t>NOT_IMPLEMENTED</w:t>
      </w:r>
      <w:r>
        <w:t xml:space="preserve"> · </w:t>
      </w:r>
      <w:r>
        <w:rPr>
          <w:rFonts w:ascii="Consolas" w:hAnsi="Consolas"/>
          <w:sz w:val="18"/>
        </w:rPr>
        <w:t>DECISION_REQUIRED</w:t>
      </w:r>
      <w:r>
        <w:t xml:space="preserve"> · </w:t>
      </w:r>
      <w:r>
        <w:rPr>
          <w:rFonts w:ascii="Consolas" w:hAnsi="Consolas"/>
          <w:sz w:val="18"/>
        </w:rPr>
        <w:t>KNOWN_LIMITATION</w:t>
      </w:r>
      <w:r>
        <w:t>. Y el estado</w:t>
      </w:r>
    </w:p>
    <w:p>
      <w:r>
        <w:t xml:space="preserve">  común de diagnóstico de los pilotos: </w:t>
      </w:r>
      <w:r>
        <w:rPr>
          <w:rFonts w:ascii="Consolas" w:hAnsi="Consolas"/>
          <w:sz w:val="18"/>
        </w:rPr>
        <w:t>PASS</w:t>
      </w:r>
      <w:r>
        <w:t xml:space="preserve"> / </w:t>
      </w:r>
      <w:r>
        <w:rPr>
          <w:rFonts w:ascii="Consolas" w:hAnsi="Consolas"/>
          <w:sz w:val="18"/>
        </w:rPr>
        <w:t>PASS_WITH_WARNINGS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8"/>
        </w:rPr>
        <w:t>BLOCKED</w:t>
      </w:r>
      <w:r>
        <w:t xml:space="preserve"> / </w:t>
      </w:r>
      <w:r>
        <w:rPr>
          <w:rFonts w:ascii="Consolas" w:hAnsi="Consolas"/>
          <w:sz w:val="18"/>
        </w:rPr>
        <w:t>NOT_READY</w:t>
      </w:r>
      <w:r>
        <w:t>.</w:t>
      </w:r>
    </w:p>
    <w:p>
      <w:pPr>
        <w:pStyle w:val="ListBullet"/>
      </w:pPr>
      <w:r>
        <w:t>Estados de etapa (engine/states.py): `PLANNED READY RUNNING VALIDATING</w:t>
      </w:r>
    </w:p>
    <w:p>
      <w:r>
        <w:t xml:space="preserve">  FAILED FIXING RERUNNING PASSED CHECKPOINTED CERTIFIED`. </w:t>
      </w:r>
      <w:r>
        <w:rPr>
          <w:b/>
        </w:rPr>
      </w:r>
      <w:r>
        <w:t>No existen</w:t>
      </w:r>
    </w:p>
    <w:p>
      <w:r>
        <w:t xml:space="preserve">  </w:t>
      </w:r>
      <w:r>
        <w:rPr>
          <w:rFonts w:ascii="Consolas" w:hAnsi="Consolas"/>
          <w:sz w:val="18"/>
        </w:rPr>
        <w:t>QUARANTINED</w:t>
      </w:r>
      <w:r>
        <w:t xml:space="preserve">, </w:t>
      </w:r>
      <w:r>
        <w:rPr>
          <w:rFonts w:ascii="Consolas" w:hAnsi="Consolas"/>
          <w:sz w:val="18"/>
        </w:rPr>
        <w:t>SKIPPED</w:t>
      </w:r>
      <w:r>
        <w:t xml:space="preserve"> ni </w:t>
      </w:r>
      <w:r>
        <w:rPr>
          <w:rFonts w:ascii="Consolas" w:hAnsi="Consolas"/>
          <w:sz w:val="18"/>
        </w:rPr>
        <w:t>RECOVERED</w:t>
      </w:r>
      <w:r>
        <w:rPr>
          <w:b/>
        </w:rPr>
      </w:r>
      <w:r>
        <w:t xml:space="preserve"> (</w:t>
      </w:r>
      <w:r>
        <w:rPr>
          <w:rFonts w:ascii="Consolas" w:hAnsi="Consolas"/>
          <w:sz w:val="18"/>
        </w:rPr>
        <w:t>L-2</w:t>
      </w:r>
      <w:r>
        <w:t>). Gates: `PASS WARNING</w:t>
      </w:r>
    </w:p>
    <w:p>
      <w:r>
        <w:t xml:space="preserve">  BLOCK`.</w:t>
      </w:r>
    </w:p>
    <w:p>
      <w:pPr>
        <w:pStyle w:val="ListBullet"/>
      </w:pPr>
      <w:r>
        <w:t>SOFTWARE GAP = el software no tiene el mecanismo; no hay workaround</w:t>
      </w:r>
    </w:p>
    <w:p>
      <w:r>
        <w:t xml:space="preserve">  porque no hay mecanismo que documentar. </w:t>
      </w:r>
      <w:r>
        <w:rPr>
          <w:b/>
        </w:rPr>
        <w:t>`RUNBOOK GAP`</w:t>
      </w:r>
      <w:r>
        <w:t xml:space="preserve"> = el mecanismo</w:t>
      </w:r>
    </w:p>
    <w:p>
      <w:r>
        <w:t xml:space="preserve">  existe pero no está documentado de forma usable por un operador nuevo.</w:t>
      </w:r>
    </w:p>
    <w:p>
      <w:pPr>
        <w:pStyle w:val="ListBullet"/>
      </w:pPr>
      <w:r>
        <w:t>docs/runbooks/ no se reescribe (regla N-6): cada parte cita su archivo</w:t>
      </w:r>
    </w:p>
    <w:p>
      <w:r>
        <w:t xml:space="preserve">  fuente exacto. Los apéndices son de consulta, no de lectura lineal.</w:t>
      </w:r>
    </w:p>
    <w:p>
      <w:pPr>
        <w:pStyle w:val="ListBullet"/>
      </w:pPr>
      <w:r>
        <w:t>La regla de oro de auditoría: nunca asumir que si el dato no está en la</w:t>
      </w:r>
    </w:p>
    <w:p>
      <w:r>
        <w:t xml:space="preserve">  tabla entonces no ocurrió; primero determinar base, puerto, </w:t>
      </w:r>
      <w:r>
        <w:rPr>
          <w:rFonts w:ascii="Consolas" w:hAnsi="Consolas"/>
          <w:sz w:val="18"/>
        </w:rPr>
        <w:t>run_id</w:t>
      </w:r>
      <w:r>
        <w:t>, etapa y</w:t>
      </w:r>
    </w:p>
    <w:p>
      <w:r>
        <w:t xml:space="preserve">  snapshot.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6 · El mapa del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capítulos del alcance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rótulo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fuente principal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 · Cómo usar este manual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0 (prefacio)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—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00_START_HERE.md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II · Preparación del entorno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KNOWN_LIMITATION + bloqueado por C-1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01_COMMON_OPERATIONS.md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III · Piloto YPF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Caps. 2–5 (SEC E2E)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02_SEC_EDGAR_E2E_RUNBOOK.md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IV · Parser (S03)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ídem (S03)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 · Normalización (S04)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5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ídem (S04)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 · Economic Facts + Financial Model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Caps. 6–7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NOT_IMPLEMENTED + D-1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06_PROVENANCE.md §4; worktree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 · Ratio Engine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8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05_RATIO_REFERENCE.md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VIII · Market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9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KNOWN_LIMITATION (L-5)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04_MARKET_DATA_E2E.md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IX · CNV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10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PARCIAL + D-1 (tramo C)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03_CNV_E2E_RUNBOOK.md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 · Provenance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06_PROVENANCE.md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 · Idempotencia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 (SEC); C-5 (CNV)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GOLDEN_RUNS.md §1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XII · Validación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12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01_COMMON_OPERATIONS.md §5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XIII · Certificación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16 (+13, gate agregado L-4)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 (con matices)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07_CERTIFICATION.md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XIV · Homologación TIKR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17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NOT_IMPLEMENTED + D-4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METR_TIKR_2025_REPORT.md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 · Troubleshooting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Cap. 15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PARCIAL: catálogo sí, árbol por escribir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RECOVERY_PROCEDURES.md, FALLBACK_MATRIX.md, ERROR_CATALOG.md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 · Golden Run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apéndice Golden Runs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ejecutable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GOLDEN_RUNS.md, METROGAS_GOLDEN_RUN_REPORT.md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 · Estado real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síntesis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medición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las Partes II–XVI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XVIII · Qué falta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cierre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decisiones + gaps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RUNBOOK_READINESS_REPORT.md, MANUAL_SCOPE.md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XIX · Anexo B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diagramas de referencia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material visual oficial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docs/diagramas/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XX · Anexo C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plantillas de diagramas (Mermaid)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material visual editable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docs/diagramas/plantillas/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XXI · Anexo D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biblioteca oficial de diagramas (v2.0)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material visual oficial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docs/diagramas/ (capturas)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</w:rPr>
        <w:t>[Imagen: Figura 4 · Vista general de diagramas del proyecto]</w:t>
        <w:br/>
      </w:r>
      <w:r>
        <w:rPr>
          <w:i/>
          <w:color w:val="7B899A"/>
          <w:sz w:val="16"/>
        </w:rPr>
        <w:t>images/diagramas_vista_general.png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7 · Orden de lectura según lo que necesitás</w:t>
      </w:r>
    </w:p>
    <w:p>
      <w:pPr>
        <w:pStyle w:val="ListNumber"/>
      </w:pPr>
      <w:r>
        <w:t>Entender el sistema → Parte I, después XIV (homologación) y XVII</w:t>
      </w:r>
    </w:p>
    <w:p>
      <w:r>
        <w:t xml:space="preserve">   (estado real).</w:t>
      </w:r>
    </w:p>
    <w:p>
      <w:pPr>
        <w:pStyle w:val="ListNumber"/>
      </w:pPr>
      <w:r>
        <w:t>Correr el E2E de SEC → Parte II, III (YPF) o IV/V (etapas) → XVI</w:t>
      </w:r>
    </w:p>
    <w:p>
      <w:r>
        <w:t xml:space="preserve">   (golden run).</w:t>
      </w:r>
    </w:p>
    <w:p>
      <w:pPr>
        <w:pStyle w:val="ListNumber"/>
      </w:pPr>
      <w:r>
        <w:t>Operar market o CNV → Parte VIII o IX, siempre tras la II.</w:t>
      </w:r>
    </w:p>
    <w:p>
      <w:pPr>
        <w:pStyle w:val="ListNumber"/>
      </w:pPr>
      <w:r>
        <w:t>Diagnosticar un número → Parte X (provenance) → XV (troubleshooting).</w:t>
      </w:r>
    </w:p>
    <w:p>
      <w:pPr>
        <w:pStyle w:val="ListNumber"/>
      </w:pPr>
      <w:r>
        <w:t>Certificar una corrida → XII (validación) → XIII (certificación) →</w:t>
      </w:r>
    </w:p>
    <w:p>
      <w:r>
        <w:t xml:space="preserve">   XVI (golden run).</w:t>
      </w:r>
    </w:p>
    <w:p>
      <w:pPr>
        <w:pStyle w:val="ListNumber"/>
      </w:pPr>
      <w:r>
        <w:t>Decidir el cierre del proyecto → XVII → XVIII.</w:t>
      </w:r>
    </w:p>
    <w:p>
      <w:pPr>
        <w:pBdr>
          <w:bottom w:val="single" w:sz="6" w:space="1" w:color="B7C3D0"/>
        </w:pBdr>
      </w:pPr>
    </w:p>
    <w:p>
      <w:pPr>
        <w:pStyle w:val="Heading2"/>
      </w:pPr>
      <w:r>
        <w:t>GATE de la Parte I</w:t>
      </w:r>
    </w:p>
    <w:p>
      <w:r>
        <w:rPr>
          <w:b/>
        </w:rPr>
        <w:t>Lectura obligatoria previa, sin verificaciones ejecutables.</w:t>
      </w:r>
      <w:r>
        <w:t xml:space="preserve"> Quien arranca</w:t>
      </w:r>
    </w:p>
    <w:p>
      <w:r>
        <w:t>por un capítulo sin saber cuál de los tres caminos CNV es legacy, o sin ver</w:t>
      </w:r>
    </w:p>
    <w:p>
      <w:r>
        <w:rPr>
          <w:rFonts w:ascii="Consolas" w:hAnsi="Consolas"/>
          <w:sz w:val="18"/>
        </w:rPr>
        <w:t>prod=False</w:t>
      </w:r>
      <w:r>
        <w:t>, está en condiciones de hacer dos cosas a la vez: malentender los</w:t>
      </w:r>
    </w:p>
    <w:p>
      <w:r>
        <w:t>datos y escribir en producción. El manual asume que esta parte se leyó dos</w:t>
      </w:r>
    </w:p>
    <w:p>
      <w:r>
        <w:t>veces: una al empezar y otra antes de tocar algún comando después de un</w:t>
      </w:r>
    </w:p>
    <w:p>
      <w:r>
        <w:t>tiempo.</w:t>
      </w:r>
    </w:p>
    <w:p>
      <w:pPr>
        <w:pBdr>
          <w:bottom w:val="single" w:sz="6" w:space="1" w:color="B7C3D0"/>
        </w:pBdr>
      </w:pPr>
    </w:p>
    <w:p>
      <w:r>
        <w:t>*Ningún comando de esta parte es ejecutable por sí mismo; todos se desarrollan</w:t>
      </w:r>
    </w:p>
    <w:p>
      <w:r>
        <w:t>en las Partes II y siguientes. Si un capítulo parece contradecir esta parte,</w:t>
      </w:r>
    </w:p>
    <w:p>
      <w:r>
        <w:t>esta parte está más vieja.*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99A"/>
        <w:sz w:val="16"/>
      </w:rPr>
      <w:t>Manual Operativo Catalaxia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B899A"/>
        <w:sz w:val="16"/>
      </w:rPr>
      <w:t>MANUAL_PART_I · Parte I Como usar este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