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PARTE VII — RATIO ENGINE</w:t>
      </w:r>
    </w:p>
    <w:p>
      <w:pPr>
        <w:spacing w:after="200"/>
      </w:pPr>
      <w:r>
        <w:rPr>
          <w:b/>
          <w:sz w:val="22"/>
        </w:rPr>
        <w:t>Identificación: Ratio Engine</w:t>
      </w:r>
    </w:p>
    <w:p>
      <w:pPr>
        <w:spacing w:after="80"/>
      </w:pPr>
      <w:r>
        <w:t>Este capítulo cubre la etapa que convierte hechos económicos de</w:t>
      </w:r>
    </w:p>
    <w:p>
      <w:pPr>
        <w:spacing w:after="80"/>
      </w:pPr>
      <w:r>
        <w:rPr>
          <w:rFonts w:ascii="Consolas" w:hAnsi="Consolas"/>
          <w:sz w:val="18"/>
        </w:rPr>
        <w:t>derived.fact</w:t>
      </w:r>
      <w:r>
        <w:t xml:space="preserve"> en métricas persistidas en </w:t>
      </w:r>
      <w:r>
        <w:rPr>
          <w:rFonts w:ascii="Consolas" w:hAnsi="Consolas"/>
          <w:sz w:val="18"/>
        </w:rPr>
        <w:t>derived.ratio</w:t>
      </w:r>
      <w:r>
        <w:t>. Con YPF como</w:t>
      </w:r>
    </w:p>
    <w:p>
      <w:pPr>
        <w:spacing w:after="80"/>
      </w:pPr>
      <w:r>
        <w:t xml:space="preserve">piloto y KO como prueba de que el motor </w:t>
      </w:r>
      <w:r>
        <w:rPr>
          <w:b/>
        </w:rPr>
        <w:t>no sabe</w:t>
      </w:r>
      <w:r>
        <w:t xml:space="preserve"> ni debería saber si</w:t>
      </w:r>
    </w:p>
    <w:p>
      <w:pPr>
        <w:spacing w:after="80"/>
      </w:pPr>
      <w:r>
        <w:t>trabaja con IFRS o US-GAAP.</w:t>
      </w:r>
    </w:p>
    <w:p>
      <w:pPr>
        <w:spacing w:after="80"/>
      </w:pPr>
      <w:r>
        <w:rPr>
          <w:b/>
        </w:rPr>
        <w:t>Principio rector</w:t>
      </w:r>
      <w:r>
        <w:t xml:space="preserve"> (</w:t>
      </w:r>
      <w:r>
        <w:rPr>
          <w:rFonts w:ascii="Consolas" w:hAnsi="Consolas"/>
          <w:sz w:val="18"/>
        </w:rPr>
        <w:t>RATIO_CONTRACT.md</w:t>
      </w:r>
      <w:r>
        <w:t xml:space="preserve">, </w:t>
      </w:r>
      <w:r>
        <w:rPr>
          <w:rFonts w:ascii="Consolas" w:hAnsi="Consolas"/>
          <w:sz w:val="18"/>
        </w:rPr>
        <w:t>CATALAXIA_RATIO_PRODUCT.md</w:t>
      </w:r>
      <w:r>
        <w:t>): el</w:t>
      </w:r>
    </w:p>
    <w:p>
      <w:pPr>
        <w:spacing w:after="80"/>
      </w:pPr>
      <w:r>
        <w:t xml:space="preserve">Ratio Engine recibe </w:t>
      </w:r>
      <w:r>
        <w:rPr>
          <w:b/>
        </w:rPr>
        <w:t>conceptos económicos</w:t>
      </w:r>
      <w:r>
        <w:t>, no emisores. El camino es</w:t>
      </w:r>
    </w:p>
    <w:p>
      <w:pPr>
        <w:spacing w:after="80"/>
      </w:pPr>
      <w:r>
        <w:rPr>
          <w:rFonts w:ascii="Consolas" w:hAnsi="Consolas"/>
          <w:sz w:val="18"/>
        </w:rPr>
        <w:t>ratio → registry → tags candidatos → fact</w:t>
      </w:r>
      <w:r>
        <w:t xml:space="preserve">, y ningún </w:t>
      </w:r>
      <w:r>
        <w:rPr>
          <w:rFonts w:ascii="Consolas" w:hAnsi="Consolas"/>
          <w:sz w:val="18"/>
        </w:rPr>
        <w:t>if issuer == ...</w:t>
      </w:r>
    </w:p>
    <w:p>
      <w:pPr>
        <w:spacing w:after="80"/>
      </w:pPr>
      <w:r>
        <w:t>puede existir. Cada dato de este capítulo fue verificado contra el código y</w:t>
      </w:r>
    </w:p>
    <w:p>
      <w:pPr>
        <w:spacing w:after="80"/>
      </w:pPr>
      <w:r>
        <w:t xml:space="preserve">contra </w:t>
      </w:r>
      <w:r>
        <w:rPr>
          <w:rFonts w:ascii="Consolas" w:hAnsi="Consolas"/>
          <w:sz w:val="18"/>
        </w:rPr>
        <w:t>derived.ratio</w:t>
      </w:r>
      <w:r>
        <w:t xml:space="preserve"> en vivo el 2026-09-04 — nada es hipotético.</w:t>
      </w:r>
    </w:p>
    <w:p>
      <w:pPr>
        <w:spacing w:after="80"/>
      </w:pPr>
      <w:r>
        <w:rPr>
          <w:b/>
        </w:rPr>
        <w:t>Qué entender antes de seguir.</w:t>
      </w:r>
      <w:r>
        <w:t xml:space="preserve"> El motor implementa </w:t>
      </w:r>
      <w:r>
        <w:rPr>
          <w:b/>
        </w:rPr>
        <w:t>cuatro</w:t>
      </w:r>
      <w:r>
        <w:t xml:space="preserve"> ratios hoy:</w:t>
      </w:r>
    </w:p>
    <w:p>
      <w:pPr>
        <w:spacing w:after="80"/>
      </w:pPr>
      <w:r>
        <w:rPr>
          <w:rFonts w:ascii="Consolas" w:hAnsi="Consolas"/>
          <w:sz w:val="18"/>
        </w:rPr>
        <w:t>eps</w:t>
      </w:r>
      <w:r>
        <w:t xml:space="preserve">, </w:t>
      </w:r>
      <w:r>
        <w:rPr>
          <w:rFonts w:ascii="Consolas" w:hAnsi="Consolas"/>
          <w:sz w:val="18"/>
        </w:rPr>
        <w:t>pe</w:t>
      </w:r>
      <w:r>
        <w:t xml:space="preserve">, </w:t>
      </w:r>
      <w:r>
        <w:rPr>
          <w:rFonts w:ascii="Consolas" w:hAnsi="Consolas"/>
          <w:sz w:val="18"/>
        </w:rPr>
        <w:t>pb</w:t>
      </w:r>
      <w:r>
        <w:t xml:space="preserve">, </w:t>
      </w:r>
      <w:r>
        <w:rPr>
          <w:rFonts w:ascii="Consolas" w:hAnsi="Consolas"/>
          <w:sz w:val="18"/>
        </w:rPr>
        <w:t>ev_sales</w:t>
      </w:r>
      <w:r>
        <w:t xml:space="preserve">. Es un </w:t>
      </w:r>
      <w:r>
        <w:rPr>
          <w:i/>
        </w:rPr>
        <w:t>vertical slice</w:t>
      </w:r>
      <w:r>
        <w:t xml:space="preserve"> elegido a propósito.</w:t>
      </w:r>
    </w:p>
    <w:p>
      <w:pPr>
        <w:spacing w:after="80"/>
      </w:pPr>
      <w:r>
        <w:t xml:space="preserve">Los demás ratios del contrato (los de </w:t>
      </w:r>
      <w:r>
        <w:rPr>
          <w:rFonts w:ascii="Consolas" w:hAnsi="Consolas"/>
          <w:sz w:val="18"/>
        </w:rPr>
        <w:t>ratio_defs.py</w:t>
      </w:r>
      <w:r>
        <w:t>) **no los persiste el</w:t>
      </w:r>
    </w:p>
    <w:p>
      <w:pPr>
        <w:spacing w:after="80"/>
      </w:pPr>
      <w:r>
        <w:t xml:space="preserve">motor**: los consumen </w:t>
      </w:r>
      <w:r>
        <w:rPr>
          <w:rFonts w:ascii="Consolas" w:hAnsi="Consolas"/>
          <w:sz w:val="18"/>
        </w:rPr>
        <w:t>matriz_producto.py</w:t>
      </w:r>
      <w:r>
        <w:t xml:space="preserve"> (análisis) y la API. Ver Paso 5.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1 — Correr el motor, sin persistir primero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 xml:space="preserve">Calcular los ratios de YPF y </w:t>
      </w:r>
      <w:r>
        <w:rPr>
          <w:b/>
        </w:rPr>
        <w:t>leerlos antes</w:t>
      </w:r>
      <w:r>
        <w:t xml:space="preserve"> de escribir nada.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 xml:space="preserve">Parte V, Paso 1 (S04) con gate </w:t>
      </w:r>
      <w:r>
        <w:rPr>
          <w:rFonts w:ascii="Consolas" w:hAnsi="Consolas"/>
          <w:sz w:val="18"/>
        </w:rPr>
        <w:t>PASS</w:t>
      </w:r>
      <w:r>
        <w:t xml:space="preserve"> — el motor come de </w:t>
      </w:r>
      <w:r>
        <w:rPr>
          <w:rFonts w:ascii="Consolas" w:hAnsi="Consolas"/>
          <w:sz w:val="18"/>
        </w:rPr>
        <w:t>derived.fact</w:t>
      </w:r>
      <w:r>
        <w:t>.</w:t>
      </w:r>
    </w:p>
    <w:p>
      <w:pPr>
        <w:spacing w:after="80"/>
      </w:pPr>
      <w:r>
        <w:rPr>
          <w:b/>
        </w:rPr>
        <w:t>COMANDO</w:t>
      </w:r>
      <w:r>
        <w:t xml:space="preserve"> — primero sin persistir (no escribe nada):</w:t>
      </w:r>
    </w:p>
    <w:p>
      <w:pPr>
        <w:pStyle w:val="CodeBlock"/>
        <w:ind w:left="288"/>
      </w:pPr>
      <w:r>
        <w:t>ENGINE_DB_NAME=catalaxia ENGINE_DB_PORT=5433 python scripts/engine/ratio_engine.py --cik 0000904851</w:t>
      </w:r>
    </w:p>
    <w:p>
      <w:pPr>
        <w:spacing w:after="80"/>
      </w:pPr>
      <w:r>
        <w:rPr>
          <w:b/>
        </w:rPr>
        <w:t>QUÉ HACE</w:t>
      </w:r>
    </w:p>
    <w:p>
      <w:pPr>
        <w:spacing w:after="80"/>
      </w:pPr>
      <w:r>
        <w:t>Dispara la guarda de pertenencia de provenance (</w:t>
      </w:r>
      <w:r>
        <w:rPr>
          <w:b/>
        </w:rPr>
        <w:t>F-061</w:t>
      </w:r>
      <w:r>
        <w:t>), evalúa los cuatro</w:t>
      </w:r>
    </w:p>
    <w:p>
      <w:pPr>
        <w:spacing w:after="80"/>
      </w:pPr>
      <w:r>
        <w:t xml:space="preserve">ratios soportados para el CIK y muestra el resultado. Sin </w:t>
      </w:r>
      <w:r>
        <w:rPr>
          <w:rFonts w:ascii="Consolas" w:hAnsi="Consolas"/>
          <w:sz w:val="18"/>
        </w:rPr>
        <w:t>--persist</w:t>
      </w:r>
      <w:r>
        <w:t xml:space="preserve"> no</w:t>
      </w:r>
    </w:p>
    <w:p>
      <w:pPr>
        <w:spacing w:after="80"/>
      </w:pPr>
      <w:r>
        <w:t>escribe una sola fila.</w:t>
      </w:r>
    </w:p>
    <w:p>
      <w:pPr>
        <w:spacing w:after="80"/>
      </w:pPr>
      <w:r>
        <w:rPr>
          <w:b/>
        </w:rPr>
        <w:t>RESULTADO ESPERADO</w:t>
      </w:r>
      <w:r>
        <w:t xml:space="preserve"> — salida real verificada (2026-09-04):</w:t>
      </w:r>
    </w:p>
    <w:p>
      <w:pPr>
        <w:pStyle w:val="CodeBlock"/>
        <w:ind w:left="288"/>
      </w:pPr>
      <w:r>
        <w:t>catalaxia_engine@127.0.0.1:5433/catalaxia mode=FAST prod=False</w:t>
        <w:br/>
        <w:t>F-061 · punteros de provenance ajenos: 0</w:t>
        <w:br/>
        <w:br/>
        <w:t>4 ratios soportados · checkpoint=74914949e5efc71634f06ac0fe565d84</w:t>
        <w:br/>
        <w:br/>
        <w:t>CIK          entidad              ratio     win  periodo     estado            valor   moneda</w:t>
        <w:br/>
        <w:t>0000904851   YPF SOCIEDAD ANONIMA eps       FY   2025-12-31  CALCULADO        -2.11   USD</w:t>
        <w:br/>
        <w:t>0000904851   YPF SOCIEDAD ANONIMA pb        PIT  2025-12-31  CALCULADO        1.83599 USD</w:t>
        <w:br/>
        <w:t>0000904851   YPF SOCIEDAD ANONIMA pe        FY   2025-12-31  NOT_CALCULABLE       -   USD</w:t>
        <w:br/>
        <w:t xml:space="preserve">             motivo: REGLA: EPS = -2.11 &lt;= 0 (ejercicio con perdida). El P/E queda sin valor por</w:t>
        <w:br/>
        <w:t xml:space="preserve">             decision financiera, no por falta de dato: el EPS esta y su provenance tambien</w:t>
        <w:br/>
        <w:t>0000904851   YPF SOCIEDAD ANONIMA ev_sales  FY   2025-12-31  CALCULADO        1.59922 USD</w:t>
        <w:br/>
        <w:br/>
        <w:t>(sin --persist: no se escribio nada)</w:t>
      </w:r>
    </w:p>
    <w:p>
      <w:pPr>
        <w:spacing w:after="80"/>
      </w:pPr>
      <w:r>
        <w:t>Los cuatro ratios de YPF, en forma de tabla: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AF7"/>
          </w:tcPr>
          <w:p>
            <w:r>
              <w:rPr>
                <w:b/>
                <w:sz w:val="17"/>
              </w:rPr>
              <w:t>`canonical_id`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  <w:sz w:val="17"/>
              </w:rPr>
              <w:t>ventana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  <w:sz w:val="17"/>
              </w:rPr>
              <w:t>período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  <w:sz w:val="17"/>
              </w:rPr>
              <w:t>estado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  <w:sz w:val="17"/>
              </w:rPr>
              <w:t>valor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  <w:sz w:val="17"/>
              </w:rPr>
              <w:t>moneda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  <w:sz w:val="17"/>
              </w:rPr>
              <w:t>fórmula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`eps`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FY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2025-12-31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CALCULADO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**-2.11**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USD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EPS básico reportado por el emisor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`pe`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FY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2025-12-31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**NOT_CALCULABLE**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USD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`(close / ratio_adr) / eps_basico`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`pb`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PIT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2025-12-31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CALCULADO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**1.835993**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USD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`(close/ratio_adr) / (patrimonio_controladora/acciones_circulacion)`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`ev_sales`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FY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2025-12-31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CALCULADO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**1.599221**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USD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`(market_cap + deuda_financiera - efectivo) / ingresos`</w:t>
            </w:r>
          </w:p>
        </w:tc>
      </w:tr>
    </w:tbl>
    <w:p/>
    <w:p>
      <w:pPr>
        <w:spacing w:after="80"/>
      </w:pPr>
      <w:r>
        <w:t xml:space="preserve">Notá el detalle: </w:t>
      </w:r>
      <w:r>
        <w:rPr>
          <w:rFonts w:ascii="Consolas" w:hAnsi="Consolas"/>
          <w:sz w:val="18"/>
        </w:rPr>
        <w:t>pe</w:t>
      </w:r>
      <w:r>
        <w:t xml:space="preserve"> aparece como </w:t>
      </w:r>
      <w:r>
        <w:rPr>
          <w:rFonts w:ascii="Consolas" w:hAnsi="Consolas"/>
          <w:sz w:val="18"/>
        </w:rPr>
        <w:t>NOT_CALCULABLE</w:t>
      </w:r>
      <w:r>
        <w:t xml:space="preserve"> </w:t>
      </w:r>
      <w:r>
        <w:rPr>
          <w:b/>
        </w:rPr>
        <w:t>con motivo</w:t>
      </w:r>
      <w:r>
        <w:t>, no como</w:t>
      </w:r>
    </w:p>
    <w:p>
      <w:pPr>
        <w:spacing w:after="80"/>
      </w:pPr>
      <w:r>
        <w:t>una celda vacía (Paso 3).</w:t>
      </w:r>
    </w:p>
    <w:p>
      <w:pPr>
        <w:spacing w:after="80"/>
      </w:pPr>
      <w:r>
        <w:rPr>
          <w:b/>
        </w:rPr>
        <w:t>VERIFICACIÓN</w:t>
      </w:r>
    </w:p>
    <w:p>
      <w:pPr>
        <w:pStyle w:val="CodeBlock"/>
        <w:ind w:left="288"/>
      </w:pPr>
      <w:r>
        <w:t>docker exec catalaxia-engine-dev psql -U catalaxia -d catalaxia -c \</w:t>
        <w:br/>
        <w:t xml:space="preserve">  "SELECT canonical_id, period_window, period_end, status, value, currency, motivo</w:t>
        <w:br/>
        <w:t xml:space="preserve">     FROM derived.ratio WHERE cik='0000904851' AND valid_to IS NULL"</w:t>
      </w:r>
    </w:p>
    <w:p>
      <w:pPr>
        <w:spacing w:after="80"/>
      </w:pPr>
      <w:r>
        <w:t>Coincide fila por fila con lo que imprime el motor.</w:t>
      </w:r>
    </w:p>
    <w:p>
      <w:pPr>
        <w:spacing w:after="80"/>
      </w:pPr>
      <w:r>
        <w:rPr>
          <w:b/>
        </w:rPr>
        <w:t>SI FALLA</w:t>
      </w:r>
    </w:p>
    <w:p>
      <w:pPr>
        <w:pStyle w:val="ListBullet"/>
      </w:pPr>
      <w:r>
        <w:rPr>
          <w:rFonts w:ascii="Consolas" w:hAnsi="Consolas"/>
          <w:sz w:val="18"/>
        </w:rPr>
        <w:t>F-061 · punteros de provenance ajenos: N</w:t>
      </w:r>
      <w:r>
        <w:t xml:space="preserve"> con </w:t>
      </w:r>
      <w:r>
        <w:rPr>
          <w:rFonts w:ascii="Consolas" w:hAnsi="Consolas"/>
          <w:sz w:val="18"/>
        </w:rPr>
        <w:t>N &gt; 0</w:t>
      </w:r>
      <w:r>
        <w:t xml:space="preserve"> → el motor **se</w:t>
      </w:r>
    </w:p>
    <w:p>
      <w:pPr>
        <w:spacing w:after="80"/>
      </w:pPr>
      <w:r>
        <w:t xml:space="preserve">  niega a seguir** (exit </w:t>
      </w:r>
      <w:r>
        <w:rPr>
          <w:rFonts w:ascii="Consolas" w:hAnsi="Consolas"/>
          <w:sz w:val="18"/>
        </w:rPr>
        <w:t>1</w:t>
      </w:r>
      <w:r>
        <w:t xml:space="preserve">): algún hecho de </w:t>
      </w:r>
      <w:r>
        <w:rPr>
          <w:rFonts w:ascii="Consolas" w:hAnsi="Consolas"/>
          <w:sz w:val="18"/>
        </w:rPr>
        <w:t>derived.fact</w:t>
      </w:r>
      <w:r>
        <w:t xml:space="preserve"> apunta a un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parsed.facts</w:t>
      </w:r>
      <w:r>
        <w:t xml:space="preserve"> ajeno al emisor/filing/concepto. Es un incidente de datos,</w:t>
      </w:r>
    </w:p>
    <w:p>
      <w:pPr>
        <w:spacing w:after="80"/>
      </w:pPr>
      <w:r>
        <w:t xml:space="preserve">  no un ajuste de cálculo.</w:t>
      </w:r>
    </w:p>
    <w:p>
      <w:pPr>
        <w:pStyle w:val="ListBullet"/>
      </w:pPr>
      <w:r>
        <w:rPr>
          <w:i/>
        </w:rPr>
        <w:t>"el CIK X no resuelve a una entidad con assertion VERIFIED"</w:t>
      </w:r>
      <w:r>
        <w:t xml:space="preserve"> → la</w:t>
      </w:r>
    </w:p>
    <w:p>
      <w:pPr>
        <w:spacing w:after="80"/>
      </w:pPr>
      <w:r>
        <w:t xml:space="preserve">  identidad no quedó sembrada/verificada: Parte III, Paso 2.</w:t>
      </w:r>
    </w:p>
    <w:p>
      <w:pPr>
        <w:pStyle w:val="ListBullet"/>
      </w:pPr>
      <w:r>
        <w:rPr>
          <w:i/>
        </w:rPr>
        <w:t>"la entidad no tiene instrumento ligado"</w:t>
      </w:r>
      <w:r>
        <w:t xml:space="preserve"> → el enlace de mercado no está</w:t>
      </w:r>
    </w:p>
    <w:p>
      <w:pPr>
        <w:spacing w:after="80"/>
      </w:pPr>
      <w:r>
        <w:t xml:space="preserve">  (ver Paso 5, límite de Market).</w:t>
      </w:r>
    </w:p>
    <w:p>
      <w:pPr>
        <w:pStyle w:val="ListBullet"/>
      </w:pPr>
      <w:r>
        <w:rPr>
          <w:i/>
        </w:rPr>
        <w:t>NOT_CALCULABLE sin motivo leíble</w:t>
      </w:r>
      <w:r>
        <w:t xml:space="preserve"> → sería un bug de reporte; el contrato</w:t>
      </w:r>
    </w:p>
    <w:p>
      <w:pPr>
        <w:spacing w:after="80"/>
      </w:pPr>
      <w:r>
        <w:t xml:space="preserve">  exige que toda fila sin valor lleve su motivo.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2 · Los cuatro ratios que el motor sí implementa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Saber exactamente qué se persiste, con qué contrato — porque **ninguna de las</w:t>
      </w:r>
    </w:p>
    <w:p>
      <w:pPr>
        <w:spacing w:after="80"/>
      </w:pPr>
      <w:r>
        <w:t>cuatro ventanas se inventa**.</w:t>
      </w:r>
    </w:p>
    <w:p>
      <w:pPr>
        <w:spacing w:after="80"/>
      </w:pPr>
      <w:r>
        <w:t>Contrato real (</w:t>
      </w:r>
      <w:r>
        <w:rPr>
          <w:rFonts w:ascii="Consolas" w:hAnsi="Consolas"/>
          <w:sz w:val="18"/>
        </w:rPr>
        <w:t>ratio_engine.py</w:t>
      </w:r>
      <w:r>
        <w:t xml:space="preserve">, </w:t>
      </w:r>
      <w:r>
        <w:rPr>
          <w:rFonts w:ascii="Consolas" w:hAnsi="Consolas"/>
          <w:sz w:val="18"/>
        </w:rPr>
        <w:t>SPECS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`canonical_id`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`formula_version`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ventana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basis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fórmula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`ev_sales`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`ev_sales_v1`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**FY**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`(market_cap + deuda - efectivo) / ingresos`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`eps`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`eps_v1`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**FY**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AVERAGE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EPS básico reportado por el emisor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`pb`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`pb_v1`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**PIT**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CLOSING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`(close/ratio_adr) / (patrimonio_controladora/acciones_circulacion)`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`pe`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`pe_v1`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**FY**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`(close/ratio_adr) / eps_basico`</w:t>
            </w:r>
          </w:p>
        </w:tc>
      </w:tr>
    </w:tbl>
    <w:p/>
    <w:p>
      <w:pPr>
        <w:spacing w:after="80"/>
      </w:pPr>
      <w:r>
        <w:rPr>
          <w:b/>
        </w:rPr>
        <w:t>Asimetría que importa entender</w:t>
      </w:r>
      <w:r>
        <w:t xml:space="preserve"> (</w:t>
      </w:r>
      <w:r>
        <w:rPr>
          <w:rFonts w:ascii="Consolas" w:hAnsi="Consolas"/>
          <w:sz w:val="18"/>
        </w:rPr>
        <w:t>RATIO_CONTRACT.md</w:t>
      </w:r>
      <w:r>
        <w:t>, Regla 1):</w:t>
      </w:r>
    </w:p>
    <w:p>
      <w:pPr>
        <w:spacing w:after="80"/>
      </w:pPr>
      <w:r>
        <w:rPr>
          <w:rFonts w:ascii="Consolas" w:hAnsi="Consolas"/>
          <w:sz w:val="18"/>
        </w:rPr>
        <w:t>ev_sales</w:t>
      </w:r>
      <w:r>
        <w:t xml:space="preserve"> se emite con </w:t>
      </w:r>
      <w:r>
        <w:rPr>
          <w:rFonts w:ascii="Consolas" w:hAnsi="Consolas"/>
          <w:sz w:val="18"/>
        </w:rPr>
        <w:t>period_window = 'FY'</w:t>
      </w:r>
      <w:r>
        <w:t xml:space="preserve"> de forma **explicita y</w:t>
      </w:r>
    </w:p>
    <w:p>
      <w:pPr>
        <w:spacing w:after="80"/>
      </w:pPr>
      <w:r>
        <w:t>honesta</w:t>
      </w:r>
      <w:r>
        <w:rPr>
          <w:b/>
        </w:rPr>
        <w:t xml:space="preserve">. El motor </w:t>
      </w:r>
      <w:r>
        <w:t>no sabe sumar cuatro trimestres**: emitirlo como TTM</w:t>
      </w:r>
    </w:p>
    <w:p>
      <w:pPr>
        <w:spacing w:after="80"/>
      </w:pPr>
      <w:r>
        <w:t xml:space="preserve">sería mentir sobre el período. </w:t>
      </w:r>
      <w:r>
        <w:rPr>
          <w:rFonts w:ascii="Consolas" w:hAnsi="Consolas"/>
          <w:sz w:val="18"/>
        </w:rPr>
        <w:t>pe</w:t>
      </w:r>
      <w:r>
        <w:t xml:space="preserve"> también es FY, porque el EPS que usa es</w:t>
      </w:r>
    </w:p>
    <w:p>
      <w:pPr>
        <w:spacing w:after="80"/>
      </w:pPr>
      <w:r>
        <w:t>el del último ejercicio anual — no una suma de trimestres, y se publica</w:t>
      </w:r>
    </w:p>
    <w:p>
      <w:pPr>
        <w:spacing w:after="80"/>
      </w:pPr>
      <w:r>
        <w:t xml:space="preserve">diciéndolo. </w:t>
      </w:r>
      <w:r>
        <w:rPr>
          <w:b/>
        </w:rPr>
        <w:t>Un ratio `instant` nunca se trata como flujo ni se agrega.</w:t>
      </w:r>
    </w:p>
    <w:p>
      <w:pPr>
        <w:spacing w:after="80"/>
      </w:pPr>
      <w:r>
        <w:rPr>
          <w:b/>
        </w:rPr>
        <w:t>Cómo se elige el tag de cada concepto</w:t>
      </w:r>
      <w:r>
        <w:t xml:space="preserve"> (</w:t>
      </w:r>
      <w:r>
        <w:rPr>
          <w:rFonts w:ascii="Consolas" w:hAnsi="Consolas"/>
          <w:sz w:val="18"/>
        </w:rPr>
        <w:t>ratio_defs.CONCEPTOS</w:t>
      </w:r>
      <w:r>
        <w:t>): una lista</w:t>
      </w:r>
    </w:p>
    <w:p>
      <w:pPr>
        <w:spacing w:after="80"/>
      </w:pPr>
      <w:r>
        <w:rPr>
          <w:b/>
        </w:rPr>
        <w:t>ordenada</w:t>
      </w:r>
      <w:r>
        <w:t xml:space="preserve"> por concepto; el primero que exista en la base gana, y el tag</w:t>
      </w:r>
    </w:p>
    <w:p>
      <w:pPr>
        <w:spacing w:after="80"/>
      </w:pPr>
      <w:r>
        <w:t>elegido queda en la provenance del ratio. Con una salvedad declarada por el</w:t>
      </w:r>
    </w:p>
    <w:p>
      <w:pPr>
        <w:spacing w:after="80"/>
      </w:pPr>
      <w:r>
        <w:t xml:space="preserve">propio código: </w:t>
      </w:r>
      <w:r>
        <w:rPr>
          <w:rFonts w:ascii="Consolas" w:hAnsi="Consolas"/>
          <w:sz w:val="18"/>
        </w:rPr>
        <w:t>deuda_financiera</w:t>
      </w:r>
      <w:r>
        <w:t xml:space="preserve"> usa </w:t>
      </w:r>
      <w:r>
        <w:rPr>
          <w:rFonts w:ascii="Consolas" w:hAnsi="Consolas"/>
          <w:sz w:val="18"/>
        </w:rPr>
        <w:t>Borrowings</w:t>
      </w:r>
      <w:r>
        <w:t xml:space="preserve"> (IFRS) o </w:t>
      </w:r>
      <w:r>
        <w:rPr>
          <w:rFonts w:ascii="Consolas" w:hAnsi="Consolas"/>
          <w:sz w:val="18"/>
        </w:rPr>
        <w:t>LongTermDebt</w:t>
      </w:r>
    </w:p>
    <w:p>
      <w:pPr>
        <w:spacing w:after="80"/>
      </w:pPr>
      <w:r>
        <w:t xml:space="preserve">(US-GAAP) — el comentario en </w:t>
      </w:r>
      <w:r>
        <w:rPr>
          <w:rFonts w:ascii="Consolas" w:hAnsi="Consolas"/>
          <w:sz w:val="18"/>
        </w:rPr>
        <w:t>ratio_defs.py</w:t>
      </w:r>
      <w:r>
        <w:t xml:space="preserve"> aclara que **no son el mismo</w:t>
      </w:r>
    </w:p>
    <w:p>
      <w:pPr>
        <w:spacing w:after="80"/>
      </w:pPr>
      <w:r>
        <w:t>perímetro** y se usan igual porque es la mejor aproximación disponible.</w:t>
      </w:r>
    </w:p>
    <w:p>
      <w:pPr>
        <w:spacing w:after="80"/>
      </w:pPr>
      <w:r>
        <w:rPr>
          <w:rFonts w:ascii="Consolas" w:hAnsi="Consolas"/>
          <w:sz w:val="18"/>
        </w:rPr>
        <w:t>eps_basico</w:t>
      </w:r>
      <w:r>
        <w:t xml:space="preserve"> va por </w:t>
      </w:r>
      <w:r>
        <w:rPr>
          <w:rFonts w:ascii="Consolas" w:hAnsi="Consolas"/>
          <w:sz w:val="18"/>
        </w:rPr>
        <w:t>BasicEarningsLossPerShare</w:t>
      </w:r>
      <w:r>
        <w:t xml:space="preserve"> / </w:t>
      </w:r>
      <w:r>
        <w:rPr>
          <w:rFonts w:ascii="Consolas" w:hAnsi="Consolas"/>
          <w:sz w:val="18"/>
        </w:rPr>
        <w:t>EarningsPerShareBasic</w:t>
      </w:r>
      <w:r>
        <w:t xml:space="preserve"> /</w:t>
      </w:r>
    </w:p>
    <w:p>
      <w:pPr>
        <w:spacing w:after="80"/>
      </w:pPr>
      <w:r>
        <w:rPr>
          <w:rFonts w:ascii="Consolas" w:hAnsi="Consolas"/>
          <w:sz w:val="18"/>
        </w:rPr>
        <w:t>BasicAndDilutedEarningsPerShare</w:t>
      </w:r>
      <w:r>
        <w:t xml:space="preserve"> — el nombre del tag cambia entre ejercicios</w:t>
      </w:r>
    </w:p>
    <w:p>
      <w:pPr>
        <w:spacing w:after="80"/>
      </w:pPr>
      <w:r>
        <w:t>dentro de IFRS.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 xml:space="preserve">Paso 3 · </w:t>
      </w:r>
      <w:r>
        <w:rPr>
          <w:rFonts w:ascii="Consolas" w:hAnsi="Consolas"/>
          <w:sz w:val="18"/>
        </w:rPr>
        <w:t>NOT_CALCULABLE</w:t>
      </w:r>
      <w:r>
        <w:t xml:space="preserve">, nunca </w:t>
      </w:r>
      <w:r>
        <w:rPr>
          <w:rFonts w:ascii="Consolas" w:hAnsi="Consolas"/>
          <w:sz w:val="18"/>
        </w:rPr>
        <w:t>0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Que el operador entienda por qué "sin dato" y "sin valor" son respuestas</w:t>
      </w:r>
    </w:p>
    <w:p>
      <w:pPr>
        <w:spacing w:after="80"/>
      </w:pPr>
      <w:r>
        <w:t>correctas, y a qué precio de diseño.</w:t>
      </w:r>
    </w:p>
    <w:p>
      <w:pPr>
        <w:spacing w:after="80"/>
      </w:pPr>
      <w:r>
        <w:rPr>
          <w:b/>
        </w:rPr>
        <w:t>El caso vivo (YPF `pe`)</w:t>
      </w:r>
      <w:r>
        <w:t xml:space="preserve"> — el motivo completo:</w:t>
      </w:r>
    </w:p>
    <w:p>
      <w:pPr>
        <w:ind w:left="360"/>
      </w:pPr>
      <w:r>
        <w:rPr>
          <w:i/>
        </w:rPr>
        <w:t>`REGLA: EPS = -2.11 &lt;= 0 (ejercicio con perdida). El P/E queda sin valor por</w:t>
      </w:r>
    </w:p>
    <w:p>
      <w:pPr>
        <w:ind w:left="360"/>
      </w:pPr>
      <w:r>
        <w:rPr>
          <w:i/>
        </w:rPr>
        <w:t>decision financiera, no por falta de dato: el EPS esta y su provenance</w:t>
      </w:r>
    </w:p>
    <w:p>
      <w:pPr>
        <w:ind w:left="360"/>
      </w:pPr>
      <w:r>
        <w:rPr>
          <w:i/>
        </w:rPr>
        <w:t>tambien`</w:t>
      </w:r>
    </w:p>
    <w:p>
      <w:pPr>
        <w:spacing w:after="80"/>
      </w:pPr>
      <w:r>
        <w:t xml:space="preserve">Leélo con atención: el EPS </w:t>
      </w:r>
      <w:r>
        <w:rPr>
          <w:b/>
        </w:rPr>
        <w:t>existe</w:t>
      </w:r>
      <w:r>
        <w:t xml:space="preserve"> (-2.11, con provenance), pero un P/E</w:t>
      </w:r>
    </w:p>
    <w:p>
      <w:pPr>
        <w:spacing w:after="80"/>
      </w:pPr>
      <w:r>
        <w:t>sobre un EPS negativo no es un número que el sistema publique como válido.</w:t>
      </w:r>
    </w:p>
    <w:p>
      <w:pPr>
        <w:spacing w:after="80"/>
      </w:pPr>
      <w:r>
        <w:t xml:space="preserve">Ésa es la diferencia entre </w:t>
      </w:r>
      <w:r>
        <w:rPr>
          <w:rFonts w:ascii="Consolas" w:hAnsi="Consolas"/>
          <w:sz w:val="18"/>
        </w:rPr>
        <w:t>NOT_CALCULABLE</w:t>
      </w:r>
      <w:r>
        <w:t xml:space="preserve"> (motivo explícito) y un </w:t>
      </w:r>
      <w:r>
        <w:rPr>
          <w:rFonts w:ascii="Consolas" w:hAnsi="Consolas"/>
          <w:sz w:val="18"/>
        </w:rPr>
        <w:t>0</w:t>
      </w:r>
    </w:p>
    <w:p>
      <w:pPr>
        <w:spacing w:after="80"/>
      </w:pPr>
      <w:r>
        <w:t>(invento).</w:t>
      </w:r>
    </w:p>
    <w:p>
      <w:pPr>
        <w:spacing w:after="80"/>
      </w:pPr>
      <w:r>
        <w:rPr>
          <w:b/>
        </w:rPr>
        <w:t>Reglas del contrato que lo hacen posible:</w:t>
      </w:r>
    </w:p>
    <w:p>
      <w:pPr>
        <w:pStyle w:val="ListBullet"/>
      </w:pPr>
      <w:r>
        <w:rPr>
          <w:b/>
        </w:rPr>
        <w:t>R6/R7</w:t>
      </w:r>
      <w:r>
        <w:t xml:space="preserve"> — falta un insumo → se persiste </w:t>
      </w:r>
      <w:r>
        <w:rPr>
          <w:rFonts w:ascii="Consolas" w:hAnsi="Consolas"/>
          <w:sz w:val="18"/>
        </w:rPr>
        <w:t>NOT_CALCULABLE</w:t>
      </w:r>
      <w:r>
        <w:t xml:space="preserve"> con el motivo.</w:t>
      </w:r>
    </w:p>
    <w:p>
      <w:pPr>
        <w:spacing w:after="80"/>
      </w:pPr>
      <w:r>
        <w:t xml:space="preserve">  La fila queda, con el motivo, y cuando falta un eslabón se guarda **qué</w:t>
      </w:r>
    </w:p>
    <w:p>
      <w:pPr>
        <w:spacing w:after="80"/>
      </w:pPr>
      <w:r>
        <w:t xml:space="preserve">  conceptos sí se resolvieron** y en cuál se cortó.</w:t>
      </w:r>
    </w:p>
    <w:p>
      <w:pPr>
        <w:pStyle w:val="ListBullet"/>
      </w:pPr>
      <w:r>
        <w:rPr>
          <w:b/>
        </w:rPr>
        <w:t>R2</w:t>
      </w:r>
      <w:r>
        <w:t xml:space="preserve"> — precio y fundamentals </w:t>
      </w:r>
      <w:r>
        <w:rPr>
          <w:b/>
        </w:rPr>
        <w:t>deben</w:t>
      </w:r>
      <w:r>
        <w:t xml:space="preserve"> estar en la misma moneda. El motor</w:t>
      </w:r>
    </w:p>
    <w:p>
      <w:pPr>
        <w:spacing w:after="80"/>
      </w:pPr>
      <w:r>
        <w:t xml:space="preserve">  </w:t>
      </w:r>
      <w:r>
        <w:rPr>
          <w:b/>
        </w:rPr>
        <w:t>no convierte</w:t>
      </w:r>
      <w:r>
        <w:t>: si los fundamentals están en USD y no hay precio en USD,</w:t>
      </w:r>
    </w:p>
    <w:p>
      <w:pPr>
        <w:spacing w:after="80"/>
      </w:pPr>
      <w:r>
        <w:t xml:space="preserve">  no calcula.</w:t>
      </w:r>
    </w:p>
    <w:p>
      <w:pPr>
        <w:pStyle w:val="ListBullet"/>
      </w:pPr>
      <w:r>
        <w:rPr>
          <w:b/>
        </w:rPr>
        <w:t>R10</w:t>
      </w:r>
      <w:r>
        <w:t xml:space="preserve"> — sin provenance completa no hay valor: cada fila guarda, por</w:t>
      </w:r>
    </w:p>
    <w:p>
      <w:pPr>
        <w:spacing w:after="80"/>
      </w:pPr>
      <w:r>
        <w:t xml:space="preserve">  insumo, el tag elegido, la cadena evaluada, el </w:t>
      </w:r>
      <w:r>
        <w:rPr>
          <w:rFonts w:ascii="Consolas" w:hAnsi="Consolas"/>
          <w:sz w:val="18"/>
        </w:rPr>
        <w:t>fact_key</w:t>
      </w:r>
      <w:r>
        <w:t>, los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source_fact_ids</w:t>
      </w:r>
      <w:r>
        <w:t xml:space="preserve"> y el hash del archivo fuente.</w:t>
      </w:r>
    </w:p>
    <w:p>
      <w:pPr>
        <w:pStyle w:val="ListBullet"/>
      </w:pPr>
      <w:r>
        <w:rPr>
          <w:b/>
        </w:rPr>
        <w:t>EPS</w:t>
      </w:r>
      <w:r>
        <w:t xml:space="preserve"> — orden de prioridad: (1) EPS básico reportado compatible, (2) NI</w:t>
      </w:r>
    </w:p>
    <w:p>
      <w:pPr>
        <w:spacing w:after="80"/>
      </w:pPr>
      <w:r>
        <w:t xml:space="preserve">  atribuible / weighted average shares, (3) fallback documentado. </w:t>
      </w:r>
      <w:r>
        <w:rPr>
          <w:b/>
        </w:rPr>
        <w:t>Nunca</w:t>
      </w:r>
    </w:p>
    <w:p>
      <w:pPr>
        <w:spacing w:after="80"/>
      </w:pPr>
      <w:r>
        <w:t xml:space="preserve">  usar </w:t>
      </w:r>
      <w:r>
        <w:rPr>
          <w:rFonts w:ascii="Consolas" w:hAnsi="Consolas"/>
          <w:sz w:val="18"/>
        </w:rPr>
        <w:t>Shares Outstanding</w:t>
      </w:r>
      <w:r>
        <w:t xml:space="preserve"> automáticamente como </w:t>
      </w:r>
      <w:r>
        <w:rPr>
          <w:rFonts w:ascii="Consolas" w:hAnsi="Consolas"/>
          <w:sz w:val="18"/>
        </w:rPr>
        <w:t>Weighted Average Shares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4 · El registry multi-taxonomía — la prueba de que no hay ramas</w:t>
      </w:r>
    </w:p>
    <w:p>
      <w:pPr>
        <w:spacing w:after="80"/>
      </w:pPr>
      <w:r>
        <w:rPr>
          <w:b/>
        </w:rPr>
        <w:t>EVIDENCIA (KO, Golden Run en `kogolden`):</w:t>
      </w:r>
      <w:r>
        <w:t xml:space="preserve"> los </w:t>
      </w:r>
      <w:r>
        <w:rPr>
          <w:b/>
        </w:rPr>
        <w:t>20 conceptos</w:t>
      </w:r>
      <w:r>
        <w:t xml:space="preserve"> del</w:t>
      </w:r>
    </w:p>
    <w:p>
      <w:pPr>
        <w:spacing w:after="80"/>
      </w:pPr>
      <w:r>
        <w:t xml:space="preserve">registry resolvieron contra tags </w:t>
      </w:r>
      <w:r>
        <w:rPr>
          <w:b/>
        </w:rPr>
        <w:t>us-gaap</w:t>
      </w:r>
      <w:r>
        <w:t xml:space="preserve"> — </w:t>
      </w:r>
      <w:r>
        <w:rPr>
          <w:rFonts w:ascii="Consolas" w:hAnsi="Consolas"/>
          <w:sz w:val="18"/>
        </w:rPr>
        <w:t>Assets</w:t>
      </w:r>
      <w:r>
        <w:t>,</w:t>
      </w:r>
    </w:p>
    <w:p>
      <w:pPr>
        <w:spacing w:after="80"/>
      </w:pPr>
      <w:r>
        <w:rPr>
          <w:rFonts w:ascii="Consolas" w:hAnsi="Consolas"/>
          <w:sz w:val="18"/>
        </w:rPr>
        <w:t>StockholdersEquity</w:t>
      </w:r>
      <w:r>
        <w:t xml:space="preserve">, </w:t>
      </w:r>
      <w:r>
        <w:rPr>
          <w:rFonts w:ascii="Consolas" w:hAnsi="Consolas"/>
          <w:sz w:val="18"/>
        </w:rPr>
        <w:t>InventoryNet</w:t>
      </w:r>
      <w:r>
        <w:t xml:space="preserve">, </w:t>
      </w:r>
      <w:r>
        <w:rPr>
          <w:rFonts w:ascii="Consolas" w:hAnsi="Consolas"/>
          <w:sz w:val="18"/>
        </w:rPr>
        <w:t>Revenues</w:t>
      </w:r>
      <w:r>
        <w:t>,</w:t>
      </w:r>
    </w:p>
    <w:p>
      <w:pPr>
        <w:spacing w:after="80"/>
      </w:pPr>
      <w:r>
        <w:rPr>
          <w:rFonts w:ascii="Consolas" w:hAnsi="Consolas"/>
          <w:sz w:val="18"/>
        </w:rPr>
        <w:t>EarningsPerShareBasic</w:t>
      </w:r>
      <w:r>
        <w:t xml:space="preserve"> — sin una sola condición por fuente. Primera salida:</w:t>
      </w:r>
    </w:p>
    <w:p>
      <w:pPr>
        <w:spacing w:after="80"/>
      </w:pPr>
      <w:r>
        <w:rPr>
          <w:b/>
        </w:rPr>
        <w:t>EPS = 3.05 USD</w:t>
      </w:r>
      <w:r>
        <w:t>, calculado, con US-GAAP puro. El resto de los ratios</w:t>
      </w:r>
    </w:p>
    <w:p>
      <w:pPr>
        <w:spacing w:after="80"/>
      </w:pPr>
      <w:r>
        <w:t xml:space="preserve">contables de KO quedaron </w:t>
      </w:r>
      <w:r>
        <w:rPr>
          <w:rFonts w:ascii="Consolas" w:hAnsi="Consolas"/>
          <w:sz w:val="18"/>
        </w:rPr>
        <w:t>NOT_CALCULABLE</w:t>
      </w:r>
      <w:r>
        <w:t xml:space="preserve"> por falta de insumos, y eso es</w:t>
      </w:r>
    </w:p>
    <w:p>
      <w:pPr>
        <w:spacing w:after="80"/>
      </w:pPr>
      <w:r>
        <w:rPr>
          <w:b/>
        </w:rPr>
        <w:t>correcto</w:t>
      </w:r>
      <w:r>
        <w:t xml:space="preserve">: </w:t>
      </w:r>
      <w:r>
        <w:rPr>
          <w:rFonts w:ascii="Consolas" w:hAnsi="Consolas"/>
          <w:sz w:val="18"/>
        </w:rPr>
        <w:t>NOT_CALCULABLE</w:t>
      </w:r>
      <w:r>
        <w:t xml:space="preserve"> no es un error.</w:t>
      </w:r>
    </w:p>
    <w:p>
      <w:pPr>
        <w:spacing w:after="80"/>
      </w:pPr>
      <w:r>
        <w:t>La cadena demostrada:</w:t>
      </w:r>
    </w:p>
    <w:p>
      <w:pPr>
        <w:pStyle w:val="CodeBlock"/>
        <w:ind w:left="288"/>
      </w:pPr>
      <w:r>
        <w:t>ratio definition → registry → taxonomy mapping → US-GAAP → EPS 3.05</w:t>
      </w:r>
    </w:p>
    <w:p>
      <w:pPr>
        <w:spacing w:after="80"/>
      </w:pPr>
      <w:r>
        <w:t xml:space="preserve">con el mismo motor que calcula el EPS de YPF (-2.11) desde </w:t>
      </w:r>
      <w:r>
        <w:rPr>
          <w:b/>
        </w:rPr>
        <w:t>ifrs-full</w:t>
      </w:r>
      <w:r>
        <w:t>.</w:t>
      </w:r>
    </w:p>
    <w:p>
      <w:pPr>
        <w:spacing w:after="80"/>
      </w:pPr>
      <w:r>
        <w:rPr>
          <w:b/>
        </w:rPr>
        <w:t>Ese es el punto de la Parte VII</w:t>
      </w:r>
      <w:r>
        <w:t>: el ratio no debería saber si trabaja con</w:t>
      </w:r>
    </w:p>
    <w:p>
      <w:pPr>
        <w:spacing w:after="80"/>
      </w:pPr>
      <w:r>
        <w:t>YPF o con KO — y no lo sabe.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5 · Límites conocidos</w:t>
      </w:r>
    </w:p>
    <w:p>
      <w:pPr>
        <w:spacing w:after="80"/>
      </w:pPr>
      <w:r>
        <w:rPr>
          <w:b/>
        </w:rPr>
        <w:t>`KNOWN_LIMITATION` (L-12)</w:t>
      </w:r>
      <w:r>
        <w:t xml:space="preserve"> — </w:t>
      </w:r>
      <w:r>
        <w:rPr>
          <w:rFonts w:ascii="Consolas" w:hAnsi="Consolas"/>
          <w:sz w:val="18"/>
        </w:rPr>
        <w:t>ratio_engine.py</w:t>
      </w:r>
      <w:r>
        <w:t xml:space="preserve"> sigue siendo </w:t>
      </w:r>
      <w:r>
        <w:rPr>
          <w:b/>
        </w:rPr>
        <w:t>SEC-first</w:t>
      </w:r>
      <w:r>
        <w:t>:</w:t>
      </w:r>
    </w:p>
    <w:p>
      <w:pPr>
        <w:spacing w:after="80"/>
      </w:pPr>
      <w:r>
        <w:t xml:space="preserve">toma </w:t>
      </w:r>
      <w:r>
        <w:rPr>
          <w:rFonts w:ascii="Consolas" w:hAnsi="Consolas"/>
          <w:sz w:val="18"/>
        </w:rPr>
        <w:t>--cik</w:t>
      </w:r>
      <w:r>
        <w:t xml:space="preserve"> y, si no se lo pasás, itera </w:t>
      </w:r>
      <w:r>
        <w:rPr>
          <w:rFonts w:ascii="Consolas" w:hAnsi="Consolas"/>
          <w:sz w:val="18"/>
        </w:rPr>
        <w:t>ciks_del_universo()</w:t>
      </w:r>
      <w:r>
        <w:t>. La</w:t>
      </w:r>
    </w:p>
    <w:p>
      <w:pPr>
        <w:spacing w:after="80"/>
      </w:pPr>
      <w:r>
        <w:t>arquitectura declara que el motor debe consumir el Financial Model (</w:t>
      </w:r>
      <w:r>
        <w:rPr>
          <w:rFonts w:ascii="Consolas" w:hAnsi="Consolas"/>
          <w:sz w:val="18"/>
        </w:rPr>
        <w:t>d2_*</w:t>
      </w:r>
      <w:r>
        <w:t>),</w:t>
      </w:r>
    </w:p>
    <w:p>
      <w:pPr>
        <w:spacing w:after="80"/>
      </w:pPr>
      <w:r>
        <w:t xml:space="preserve">no un CIK; hoy no es así (medido en el inventario, </w:t>
      </w:r>
      <w:r>
        <w:rPr>
          <w:rFonts w:ascii="Consolas" w:hAnsi="Consolas"/>
          <w:sz w:val="18"/>
        </w:rPr>
        <w:t>ARQ-03</w:t>
      </w:r>
      <w:r>
        <w:t>). No es una</w:t>
      </w:r>
    </w:p>
    <w:p>
      <w:pPr>
        <w:spacing w:after="80"/>
      </w:pPr>
      <w:r>
        <w:t>opinión: es el estado del código.</w:t>
      </w:r>
    </w:p>
    <w:p>
      <w:pPr>
        <w:spacing w:after="80"/>
      </w:pPr>
      <w:r>
        <w:rPr>
          <w:b/>
        </w:rPr>
        <w:t>`KNOWN_LIMITATION` — dependencia de Market para cálculos contables.</w:t>
      </w:r>
      <w:r>
        <w:t xml:space="preserve"> El</w:t>
      </w:r>
    </w:p>
    <w:p>
      <w:pPr>
        <w:spacing w:after="80"/>
      </w:pPr>
      <w:r>
        <w:t>motor necesita el esquema de mercado y un instrumento ligado en</w:t>
      </w:r>
    </w:p>
    <w:p>
      <w:pPr>
        <w:spacing w:after="80"/>
      </w:pPr>
      <w:r>
        <w:rPr>
          <w:rFonts w:ascii="Consolas" w:hAnsi="Consolas"/>
          <w:sz w:val="18"/>
        </w:rPr>
        <w:t>identity_v1.instrument</w:t>
      </w:r>
      <w:r>
        <w:t xml:space="preserve"> </w:t>
      </w:r>
      <w:r>
        <w:rPr>
          <w:b/>
        </w:rPr>
        <w:t>incluso para ratios sin componente de precio</w:t>
      </w:r>
    </w:p>
    <w:p>
      <w:pPr>
        <w:spacing w:after="80"/>
      </w:pPr>
      <w:r>
        <w:t>(la guarda de pertenencia y la resolución de entidad obligan al pipeline de</w:t>
      </w:r>
    </w:p>
    <w:p>
      <w:pPr>
        <w:spacing w:after="80"/>
      </w:pPr>
      <w:r>
        <w:t>mercado). Por eso el Golden Run de KO tuvo que instalar el esquema Market</w:t>
      </w:r>
    </w:p>
    <w:p>
      <w:pPr>
        <w:spacing w:after="80"/>
      </w:pPr>
      <w:r>
        <w:t>vacío en su base aislada. Lo deseable —ratios contables sin Market— está</w:t>
      </w:r>
    </w:p>
    <w:p>
      <w:pPr>
        <w:spacing w:after="80"/>
      </w:pPr>
      <w:r>
        <w:t>documentado como mejora, no implementado.</w:t>
      </w:r>
    </w:p>
    <w:p>
      <w:pPr>
        <w:spacing w:after="80"/>
      </w:pPr>
      <w:r>
        <w:rPr>
          <w:b/>
        </w:rPr>
        <w:t>`KNOWN_LIMITATION` — el motor persiste cuatro de los ratios del contrato.</w:t>
      </w:r>
    </w:p>
    <w:p>
      <w:pPr>
        <w:spacing w:after="80"/>
      </w:pPr>
      <w:r>
        <w:rPr>
          <w:rFonts w:ascii="Consolas" w:hAnsi="Consolas"/>
          <w:sz w:val="18"/>
        </w:rPr>
        <w:t>derived.ratio</w:t>
      </w:r>
      <w:r>
        <w:t xml:space="preserve"> tiene exactamente cuatro </w:t>
      </w:r>
      <w:r>
        <w:rPr>
          <w:rFonts w:ascii="Consolas" w:hAnsi="Consolas"/>
          <w:sz w:val="18"/>
        </w:rPr>
        <w:t>canonical_id</w:t>
      </w:r>
      <w:r>
        <w:t xml:space="preserve"> (verificado). Los</w:t>
      </w:r>
    </w:p>
    <w:p>
      <w:pPr>
        <w:spacing w:after="80"/>
      </w:pPr>
      <w:r>
        <w:t xml:space="preserve">otros ratios definidos en </w:t>
      </w:r>
      <w:r>
        <w:rPr>
          <w:rFonts w:ascii="Consolas" w:hAnsi="Consolas"/>
          <w:sz w:val="18"/>
        </w:rPr>
        <w:t>ratio_defs.py</w:t>
      </w:r>
      <w:r>
        <w:t xml:space="preserve"> los consume</w:t>
      </w:r>
    </w:p>
    <w:p>
      <w:pPr>
        <w:spacing w:after="80"/>
      </w:pPr>
      <w:r>
        <w:rPr>
          <w:rFonts w:ascii="Consolas" w:hAnsi="Consolas"/>
          <w:sz w:val="18"/>
        </w:rPr>
        <w:t>matriz_producto.py</w:t>
      </w:r>
      <w:r>
        <w:t xml:space="preserve"> (un script de </w:t>
      </w:r>
      <w:r>
        <w:rPr>
          <w:b/>
        </w:rPr>
        <w:t>análisis</w:t>
      </w:r>
      <w:r>
        <w:t>, no una etapa del pipeline):</w:t>
      </w:r>
    </w:p>
    <w:p>
      <w:pPr>
        <w:spacing w:after="80"/>
      </w:pPr>
      <w:r>
        <w:t xml:space="preserve">en el entorno de referencia su matriz arroja **66 </w:t>
      </w:r>
      <w:r>
        <w:rPr>
          <w:rFonts w:ascii="Consolas" w:hAnsi="Consolas"/>
          <w:sz w:val="18"/>
        </w:rPr>
        <w:t>CALCULADO</w:t>
      </w:r>
      <w:r>
        <w:t xml:space="preserve"> / 12</w:t>
      </w:r>
    </w:p>
    <w:p>
      <w:pPr>
        <w:spacing w:after="80"/>
      </w:pPr>
      <w:r>
        <w:rPr>
          <w:rFonts w:ascii="Consolas" w:hAnsi="Consolas"/>
          <w:sz w:val="18"/>
        </w:rPr>
        <w:t>NO_CALCULABLE</w:t>
      </w:r>
      <w:r>
        <w:t xml:space="preserve"> / 24 </w:t>
      </w:r>
      <w:r>
        <w:rPr>
          <w:rFonts w:ascii="Consolas" w:hAnsi="Consolas"/>
          <w:sz w:val="18"/>
        </w:rPr>
        <w:t>NO_IMPLEMENTADO</w:t>
      </w:r>
      <w:r>
        <w:t xml:space="preserve"> / 1 </w:t>
      </w:r>
      <w:r>
        <w:rPr>
          <w:rFonts w:ascii="Consolas" w:hAnsi="Consolas"/>
          <w:sz w:val="18"/>
        </w:rPr>
        <w:t>BLOQUEADO</w:t>
      </w:r>
      <w:r>
        <w:t>** sobre 104 filas. Los</w:t>
      </w:r>
    </w:p>
    <w:p>
      <w:pPr>
        <w:spacing w:after="80"/>
      </w:pPr>
      <w:r>
        <w:t xml:space="preserve">ratios con prefijo </w:t>
      </w:r>
      <w:r>
        <w:rPr>
          <w:rFonts w:ascii="Consolas" w:hAnsi="Consolas"/>
          <w:sz w:val="18"/>
        </w:rPr>
        <w:t>CNV_</w:t>
      </w:r>
      <w:r>
        <w:t xml:space="preserve"> que la CNV publica ella misma son **control</w:t>
      </w:r>
    </w:p>
    <w:p>
      <w:pPr>
        <w:spacing w:after="80"/>
      </w:pPr>
      <w:r>
        <w:t>cruzado**, nunca sustituto.</w:t>
      </w:r>
    </w:p>
    <w:p>
      <w:pPr>
        <w:spacing w:after="80"/>
      </w:pPr>
      <w:r>
        <w:rPr>
          <w:b/>
        </w:rPr>
        <w:t>`KNOWN_LIMITATION` (menor, de documentación)</w:t>
      </w:r>
      <w:r>
        <w:t xml:space="preserve"> — el encabezado del script</w:t>
      </w:r>
    </w:p>
    <w:p>
      <w:pPr>
        <w:spacing w:after="80"/>
      </w:pPr>
      <w:r>
        <w:t xml:space="preserve">todavía dice </w:t>
      </w:r>
      <w:r>
        <w:rPr>
          <w:i/>
        </w:rPr>
        <w:t>"Primer ratio: EV/Sales … un solo ratio"</w:t>
      </w:r>
      <w:r>
        <w:t xml:space="preserve"> mientras que el</w:t>
      </w:r>
    </w:p>
    <w:p>
      <w:pPr>
        <w:spacing w:after="80"/>
      </w:pPr>
      <w:r>
        <w:t xml:space="preserve">ejecutable soporta los cuatro del </w:t>
      </w:r>
      <w:r>
        <w:rPr>
          <w:rFonts w:ascii="Consolas" w:hAnsi="Consolas"/>
          <w:sz w:val="18"/>
        </w:rPr>
        <w:t>SPECS</w:t>
      </w:r>
      <w:r>
        <w:t xml:space="preserve"> (líneas 289-301). El código corrió</w:t>
      </w:r>
    </w:p>
    <w:p>
      <w:pPr>
        <w:spacing w:after="80"/>
      </w:pPr>
      <w:r>
        <w:t>adelante del comentario.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Resumen de la Parte VII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paso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qué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evidencia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1 · correr sin persistir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4 ratios calculados, nada escrito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salida verificada + consulta `derived.ratio`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2 · contrato de los 4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FY/PIT explícitos, sin TTM inventado, tags por `ratio_defs.CONCEPTOS`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`SPECS` en código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3 · `NOT_CALCULABLE`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motivo obligatorio, nunca `0`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`pe` YPF: EPS≤0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4 · registry multi-taxonomía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IFRS y US-GAAP con el mismo motor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KO: 20/20, EPS 3.05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5 · límites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L-12 SEC-first, dependencia de Market, 4 de N ratios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inventario + código</w:t>
            </w:r>
          </w:p>
        </w:tc>
      </w:tr>
    </w:tbl>
    <w:p/>
    <w:p>
      <w:pPr>
        <w:spacing w:after="80"/>
      </w:pPr>
      <w:r>
        <w:rPr>
          <w:b/>
        </w:rPr>
        <w:t>GATE de la Parte VII:</w:t>
      </w:r>
      <w:r>
        <w:t xml:space="preserve"> el motor sale con todas las etapas de cálculo</w:t>
      </w:r>
    </w:p>
    <w:p>
      <w:pPr>
        <w:spacing w:after="80"/>
      </w:pPr>
      <w:r>
        <w:rPr>
          <w:rFonts w:ascii="Consolas" w:hAnsi="Consolas"/>
          <w:sz w:val="18"/>
        </w:rPr>
        <w:t>CALCULADO</w:t>
      </w:r>
      <w:r>
        <w:t xml:space="preserve"> o </w:t>
      </w:r>
      <w:r>
        <w:rPr>
          <w:rFonts w:ascii="Consolas" w:hAnsi="Consolas"/>
          <w:sz w:val="18"/>
        </w:rPr>
        <w:t>NOT_CALCULABLE</w:t>
      </w:r>
      <w:r>
        <w:t xml:space="preserve"> </w:t>
      </w:r>
      <w:r>
        <w:rPr>
          <w:b/>
        </w:rPr>
        <w:t>con motivo</w:t>
      </w:r>
      <w:r>
        <w:t xml:space="preserve"> (nunca </w:t>
      </w:r>
      <w:r>
        <w:rPr>
          <w:rFonts w:ascii="Consolas" w:hAnsi="Consolas"/>
          <w:sz w:val="18"/>
        </w:rPr>
        <w:t>REVIEW_REQUIRED</w:t>
      </w:r>
      <w:r>
        <w:t xml:space="preserve"> ni</w:t>
      </w:r>
    </w:p>
    <w:p>
      <w:pPr>
        <w:spacing w:after="80"/>
      </w:pPr>
      <w:r>
        <w:t>violaciones de pertenencia F-061), y los cuatro estados coinciden con</w:t>
      </w:r>
    </w:p>
    <w:p>
      <w:pPr>
        <w:spacing w:after="80"/>
      </w:pPr>
      <w:r>
        <w:rPr>
          <w:rFonts w:ascii="Consolas" w:hAnsi="Consolas"/>
          <w:sz w:val="18"/>
        </w:rPr>
        <w:t>derived.ratio</w:t>
      </w:r>
      <w:r>
        <w:t xml:space="preserve">. Sin </w:t>
      </w:r>
      <w:r>
        <w:rPr>
          <w:rFonts w:ascii="Consolas" w:hAnsi="Consolas"/>
          <w:sz w:val="18"/>
        </w:rPr>
        <w:t>--persist</w:t>
      </w:r>
      <w:r>
        <w:t xml:space="preserve"> no se escribe nada; con </w:t>
      </w:r>
      <w:r>
        <w:rPr>
          <w:rFonts w:ascii="Consolas" w:hAnsi="Consolas"/>
          <w:sz w:val="18"/>
        </w:rPr>
        <w:t>--persist</w:t>
      </w:r>
      <w:r>
        <w:t>, cada</w:t>
      </w:r>
    </w:p>
    <w:p>
      <w:pPr>
        <w:spacing w:after="80"/>
      </w:pPr>
      <w:r>
        <w:t xml:space="preserve">corrida nueva versiona la fila anterior por </w:t>
      </w:r>
      <w:r>
        <w:rPr>
          <w:rFonts w:ascii="Consolas" w:hAnsi="Consolas"/>
          <w:sz w:val="18"/>
        </w:rPr>
        <w:t>ratio_key</w:t>
      </w:r>
      <w:r>
        <w:t xml:space="preserve"> — no la borra.</w:t>
      </w:r>
    </w:p>
    <w:p>
      <w:pPr>
        <w:spacing w:after="80"/>
      </w:pPr>
      <w:r>
        <w:rPr>
          <w:b/>
        </w:rPr>
        <w:t>Lo que sigue:</w:t>
      </w:r>
      <w:r>
        <w:t xml:space="preserve"> la traza hacia atrás de cualquiera de estos números</w:t>
      </w:r>
    </w:p>
    <w:p>
      <w:pPr>
        <w:spacing w:after="80"/>
      </w:pPr>
      <w:r>
        <w:t>(Parte X, Provenance) y el procedimiento de Golden Run completo (Parte XVI).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*Los comandos de este capítulo fueron ejecutados y sus salidas verificadas en</w:t>
      </w:r>
    </w:p>
    <w:p>
      <w:pPr>
        <w:spacing w:after="80"/>
      </w:pPr>
      <w:r>
        <w:t xml:space="preserve">vivo (2026-09-04). </w:t>
      </w:r>
      <w:r>
        <w:rPr>
          <w:rFonts w:ascii="Consolas" w:hAnsi="Consolas"/>
          <w:sz w:val="18"/>
        </w:rPr>
        <w:t>ratio_engine.py --cik</w:t>
      </w:r>
      <w:r>
        <w:t xml:space="preserve"> sin </w:t>
      </w:r>
      <w:r>
        <w:rPr>
          <w:rFonts w:ascii="Consolas" w:hAnsi="Consolas"/>
          <w:sz w:val="18"/>
        </w:rPr>
        <w:t>--persist</w:t>
      </w:r>
      <w:r>
        <w:t xml:space="preserve"> no escribe nada;</w:t>
      </w:r>
    </w:p>
    <w:p>
      <w:pPr>
        <w:spacing w:after="80"/>
      </w:pPr>
      <w:r>
        <w:t>ninguna operación toca producción (5432).*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MANUAL_PART_VII · Ratio Engine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MANUAL_PART_VII · Ratio Engine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