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VI — ECONOMIC FACTS Y FINANCIAL MODEL</w:t>
      </w:r>
    </w:p>
    <w:p>
      <w:pPr>
        <w:spacing w:after="200"/>
      </w:pPr>
      <w:r>
        <w:rPr>
          <w:b/>
          <w:sz w:val="22"/>
        </w:rPr>
        <w:t>Identificación: Economic Facts y Financial Model</w:t>
      </w:r>
    </w:p>
    <w:p>
      <w:pPr>
        <w:spacing w:after="80"/>
      </w:pPr>
      <w:r>
        <w:t>Este capítulo documenta los dos eslabones que separan el dato extraído del dato</w:t>
      </w:r>
    </w:p>
    <w:p>
      <w:pPr>
        <w:spacing w:after="80"/>
      </w:pPr>
      <w:r>
        <w:t xml:space="preserve">utilizable: </w:t>
      </w:r>
      <w:r>
        <w:rPr>
          <w:b/>
        </w:rPr>
        <w:t>qué es un hecho económico</w:t>
      </w:r>
      <w:r>
        <w:t xml:space="preserve"> (</w:t>
      </w:r>
      <w:r>
        <w:rPr>
          <w:rFonts w:ascii="Consolas" w:hAnsi="Consolas"/>
          <w:sz w:val="18"/>
        </w:rPr>
        <w:t>econ_key</w:t>
      </w:r>
      <w:r>
        <w:t>) y **qué forma tiene el</w:t>
      </w:r>
    </w:p>
    <w:p>
      <w:pPr>
        <w:spacing w:after="80"/>
      </w:pPr>
      <w:r>
        <w:t>modelo financiero** que consume el motor de ratios.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NOT_IMPLEMENTED</w:t>
      </w:r>
      <w:r>
        <w:t xml:space="preserve"> en el repo principal + </w:t>
      </w:r>
      <w:r>
        <w:rPr>
          <w:rFonts w:ascii="Consolas" w:hAnsi="Consolas"/>
          <w:sz w:val="18"/>
        </w:rPr>
        <w:t>DECISION_REQUIRED (D-1)</w:t>
      </w:r>
    </w:p>
    <w:p>
      <w:pPr>
        <w:pStyle w:val="ListBullet"/>
      </w:pPr>
      <w:r>
        <w:rPr>
          <w:rFonts w:ascii="Consolas" w:hAnsi="Consolas"/>
          <w:sz w:val="18"/>
        </w:rPr>
        <w:t>KNOWN_LIMITATION (L-11, L-12)</w:t>
      </w:r>
      <w:r>
        <w:t xml:space="preserve">. La migración </w:t>
      </w:r>
      <w:r>
        <w:rPr>
          <w:rFonts w:ascii="Consolas" w:hAnsi="Consolas"/>
          <w:sz w:val="18"/>
        </w:rPr>
        <w:t>036_economic_identity</w:t>
      </w:r>
      <w:r>
        <w:t>, el</w:t>
      </w:r>
    </w:p>
    <w:p>
      <w:pPr>
        <w:spacing w:after="80"/>
      </w:pPr>
      <w:r>
        <w:t xml:space="preserve">script </w:t>
      </w:r>
      <w:r>
        <w:rPr>
          <w:rFonts w:ascii="Consolas" w:hAnsi="Consolas"/>
          <w:sz w:val="18"/>
        </w:rPr>
        <w:t>d2_metr5y_model.py</w:t>
      </w:r>
      <w:r>
        <w:t xml:space="preserve"> y los estados modelo viven </w:t>
      </w:r>
      <w:r>
        <w:rPr>
          <w:b/>
        </w:rPr>
        <w:t>solo en el worktree</w:t>
      </w:r>
    </w:p>
    <w:p>
      <w:pPr>
        <w:spacing w:after="80"/>
      </w:pPr>
      <w:r>
        <w:rPr>
          <w:rFonts w:ascii="Consolas" w:hAnsi="Consolas"/>
          <w:sz w:val="18"/>
        </w:rPr>
        <w:t>catalaxia-cnvmig</w:t>
      </w:r>
      <w:r>
        <w:t>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docs/runbooks/06_PROVENANCE.md</w:t>
      </w:r>
      <w:r>
        <w:t xml:space="preserve"> §4 (lo único que se</w:t>
      </w:r>
    </w:p>
    <w:p>
      <w:pPr>
        <w:spacing w:after="80"/>
      </w:pPr>
      <w:r>
        <w:t xml:space="preserve">puede afirmar desde el repo principal); </w:t>
      </w:r>
      <w:r>
        <w:rPr>
          <w:rFonts w:ascii="Consolas" w:hAnsi="Consolas"/>
          <w:sz w:val="18"/>
        </w:rPr>
        <w:t>docs/manual/MANUAL_SCOPE.md</w:t>
      </w:r>
      <w:r>
        <w:t xml:space="preserve"> §0, §1.1</w:t>
      </w:r>
    </w:p>
    <w:p>
      <w:pPr>
        <w:spacing w:after="80"/>
      </w:pPr>
      <w:r>
        <w:t xml:space="preserve">fila 6-7, </w:t>
      </w:r>
      <w:r>
        <w:rPr>
          <w:rFonts w:ascii="Consolas" w:hAnsi="Consolas"/>
          <w:sz w:val="18"/>
        </w:rPr>
        <w:t>C-2</w:t>
      </w:r>
      <w:r>
        <w:t xml:space="preserve">, </w:t>
      </w:r>
      <w:r>
        <w:rPr>
          <w:rFonts w:ascii="Consolas" w:hAnsi="Consolas"/>
          <w:sz w:val="18"/>
        </w:rPr>
        <w:t>D-1</w:t>
      </w:r>
      <w:r>
        <w:t xml:space="preserve">, </w:t>
      </w:r>
      <w:r>
        <w:rPr>
          <w:rFonts w:ascii="Consolas" w:hAnsi="Consolas"/>
          <w:sz w:val="18"/>
        </w:rPr>
        <w:t>L-11</w:t>
      </w:r>
      <w:r>
        <w:t xml:space="preserve">, </w:t>
      </w:r>
      <w:r>
        <w:rPr>
          <w:rFonts w:ascii="Consolas" w:hAnsi="Consolas"/>
          <w:sz w:val="18"/>
        </w:rPr>
        <w:t>L-12</w:t>
      </w:r>
      <w:r>
        <w:t xml:space="preserve">, </w:t>
      </w:r>
      <w:r>
        <w:rPr>
          <w:rFonts w:ascii="Consolas" w:hAnsi="Consolas"/>
          <w:sz w:val="18"/>
        </w:rPr>
        <w:t>L-10</w:t>
      </w:r>
      <w:r>
        <w:t xml:space="preserve">; </w:t>
      </w:r>
      <w:r>
        <w:rPr>
          <w:rFonts w:ascii="Consolas" w:hAnsi="Consolas"/>
          <w:sz w:val="18"/>
        </w:rPr>
        <w:t>MANUAL_KNOWLEDGE_INVENTORY.md</w:t>
      </w:r>
    </w:p>
    <w:p>
      <w:pPr>
        <w:spacing w:after="80"/>
      </w:pPr>
      <w:r>
        <w:t>§5 (</w:t>
      </w:r>
      <w:r>
        <w:rPr>
          <w:rFonts w:ascii="Consolas" w:hAnsi="Consolas"/>
          <w:sz w:val="18"/>
        </w:rPr>
        <w:t>ARQ-03</w:t>
      </w:r>
      <w:r>
        <w:t xml:space="preserve">, </w:t>
      </w:r>
      <w:r>
        <w:rPr>
          <w:rFonts w:ascii="Consolas" w:hAnsi="Consolas"/>
          <w:sz w:val="18"/>
        </w:rPr>
        <w:t>DIR-01</w:t>
      </w:r>
      <w:r>
        <w:t xml:space="preserve">, </w:t>
      </w:r>
      <w:r>
        <w:rPr>
          <w:rFonts w:ascii="Consolas" w:hAnsi="Consolas"/>
          <w:sz w:val="18"/>
        </w:rPr>
        <w:t>DEC-03</w:t>
      </w:r>
      <w:r>
        <w:t xml:space="preserve">); </w:t>
      </w:r>
      <w:r>
        <w:rPr>
          <w:rFonts w:ascii="Consolas" w:hAnsi="Consolas"/>
          <w:sz w:val="18"/>
        </w:rPr>
        <w:t>outputs/docs/fase_cnv/METROGAS_GOLDEN_RUN_REPORT.md</w:t>
      </w:r>
      <w:r>
        <w:t xml:space="preserve"> §5-§6.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fact_key vs. econ_key — la ocurrencia y el hecho</w:t>
      </w:r>
    </w:p>
    <w:p>
      <w:pPr>
        <w:spacing w:after="80"/>
      </w:pPr>
      <w:r>
        <w:t>Todo lo que el pipeline toca tiene dos identidades, y confundirlas es el error</w:t>
      </w:r>
    </w:p>
    <w:p>
      <w:pPr>
        <w:spacing w:after="80"/>
      </w:pPr>
      <w:r>
        <w:t>de modelado más caro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`fact_key`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`econ_key`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qué identifica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**la ocurrencia** — el valor tal como un documento lo declaró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**el hecho económico** — independiente del documento que lo declaró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serialización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componente de `(entity, documento, qname, context, unidad)`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serialización canónica del hecho económico (entidad, concepto, contexto, unidad, medición)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disponible en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repo principal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**solo en el worktree** (`036_economic_identity`)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NULL hoy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nunca en la capa normalizada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 para SEC** — alcance, **no** omisión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poblado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los tres pilotos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**solo METR** (vía el adaptador del worktree)</w:t>
            </w:r>
          </w:p>
        </w:tc>
      </w:tr>
    </w:tbl>
    <w:p/>
    <w:p>
      <w:pPr>
        <w:spacing w:after="80"/>
      </w:pPr>
      <w:r>
        <w:rPr>
          <w:b/>
        </w:rPr>
        <w:t>Varias ocurrencias pueden compartir `econ_key` sin ser un duplicado.</w:t>
      </w:r>
      <w:r>
        <w:t xml:space="preserve"> Ejemplo</w:t>
      </w:r>
    </w:p>
    <w:p>
      <w:pPr>
        <w:spacing w:after="80"/>
      </w:pPr>
      <w:r>
        <w:t xml:space="preserve">real, del </w:t>
      </w:r>
      <w:r>
        <w:rPr>
          <w:rFonts w:ascii="Consolas" w:hAnsi="Consolas"/>
          <w:sz w:val="18"/>
        </w:rPr>
        <w:t>METR_TIKR_2025_REPORT.md</w:t>
      </w:r>
      <w:r>
        <w:t xml:space="preserve"> §8 — </w:t>
      </w:r>
      <w:r>
        <w:rPr>
          <w:rFonts w:ascii="Consolas" w:hAnsi="Consolas"/>
          <w:sz w:val="18"/>
        </w:rPr>
        <w:t>Revenue</w:t>
      </w:r>
      <w:r>
        <w:t xml:space="preserve"> FY2025 CONSOLIDADO:</w:t>
      </w:r>
    </w:p>
    <w:p>
      <w:pPr>
        <w:pStyle w:val="CodeBlock"/>
        <w:ind w:left="288"/>
      </w:pPr>
      <w:r>
        <w:t>documento   d96fd259-…-17af592b99f9.html · Presentación #3487124</w:t>
        <w:br/>
        <w:t>código      3000100 · impreso 1.217.305,00 · escala 10⁶</w:t>
        <w:br/>
        <w:t>fact_key    e270dfb8681a133b088b38a677bdc3bb0e828d1072f208a50c6df247160a57f3</w:t>
        <w:br/>
        <w:t>econ_key    9b0c12ce7825100d46e6c61bd80a26cd40f563064472e3ba56eb67be18e1a7c6</w:t>
      </w:r>
    </w:p>
    <w:p>
      <w:pPr>
        <w:spacing w:after="80"/>
      </w:pPr>
      <w:r>
        <w:rPr>
          <w:b/>
        </w:rPr>
        <w:t>Lo que `econ_key` habilita, y por qué exige `measurement_date`:</w:t>
      </w:r>
      <w:r>
        <w:t xml:space="preserve"> bajo IAS 29</w:t>
      </w:r>
    </w:p>
    <w:p>
      <w:pPr>
        <w:spacing w:after="80"/>
      </w:pPr>
      <w:r>
        <w:t xml:space="preserve">el mismo período puede tener </w:t>
      </w:r>
      <w:r>
        <w:rPr>
          <w:b/>
        </w:rPr>
        <w:t>dos mediciones legítimas</w:t>
      </w:r>
      <w:r>
        <w:t xml:space="preserve"> — el cierre en moneda</w:t>
      </w:r>
    </w:p>
    <w:p>
      <w:pPr>
        <w:spacing w:after="80"/>
      </w:pPr>
      <w:r>
        <w:t>del propio ejercicio y el comparativo re-expresado a moneda del ejercicio</w:t>
      </w:r>
    </w:p>
    <w:p>
      <w:pPr>
        <w:spacing w:after="80"/>
      </w:pPr>
      <w:r>
        <w:t xml:space="preserve">siguiente. Eso </w:t>
      </w:r>
      <w:r>
        <w:rPr>
          <w:b/>
        </w:rPr>
        <w:t>no</w:t>
      </w:r>
      <w:r>
        <w:t xml:space="preserve"> es un duplicado: es el mismo hecho económico, dos veces</w:t>
      </w:r>
    </w:p>
    <w:p>
      <w:pPr>
        <w:spacing w:after="80"/>
      </w:pPr>
      <w:r>
        <w:t xml:space="preserve">medido. </w:t>
      </w:r>
      <w:r>
        <w:rPr>
          <w:rFonts w:ascii="Consolas" w:hAnsi="Consolas"/>
          <w:sz w:val="18"/>
        </w:rPr>
        <w:t>econ_key</w:t>
      </w:r>
      <w:r>
        <w:t xml:space="preserve"> + </w:t>
      </w:r>
      <w:r>
        <w:rPr>
          <w:rFonts w:ascii="Consolas" w:hAnsi="Consolas"/>
          <w:sz w:val="18"/>
        </w:rPr>
        <w:t>measurement_date</w:t>
      </w:r>
      <w:r>
        <w:t xml:space="preserve"> es el par que las distingue. El defecto</w:t>
      </w:r>
    </w:p>
    <w:p>
      <w:pPr>
        <w:spacing w:after="80"/>
      </w:pPr>
      <w:r>
        <w:t xml:space="preserve">está cuantificado en el reporte TIKR: por eso </w:t>
      </w:r>
      <w:r>
        <w:rPr>
          <w:rFonts w:ascii="Consolas" w:hAnsi="Consolas"/>
          <w:sz w:val="18"/>
        </w:rPr>
        <w:t>ROE</w:t>
      </w:r>
      <w:r>
        <w:t xml:space="preserve"> TIKR = 14,80 % solo</w:t>
      </w:r>
    </w:p>
    <w:p>
      <w:pPr>
        <w:spacing w:after="80"/>
      </w:pPr>
      <w:r>
        <w:t>reproduce si el patrimonio de apertura se re-expresa con el factor 1,3155.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La frontera arquitectónica declarada</w:t>
      </w:r>
    </w:p>
    <w:p>
      <w:pPr>
        <w:spacing w:after="80"/>
      </w:pPr>
      <w:r>
        <w:t>El plan maestro declara una cadena de cuatro eslabones:</w:t>
      </w:r>
    </w:p>
    <w:p>
      <w:pPr>
        <w:pStyle w:val="CodeBlock"/>
        <w:ind w:left="288"/>
      </w:pPr>
      <w:r>
        <w:t>Source Adapter → Canonical Model → Financial Model → Ratio Engine</w:t>
      </w:r>
    </w:p>
    <w:p>
      <w:pPr>
        <w:spacing w:after="80"/>
      </w:pPr>
      <w:r>
        <w:rPr>
          <w:b/>
        </w:rPr>
        <w:t>`KNOWN_LIMITATION (L-11)`</w:t>
      </w:r>
      <w:r>
        <w:t xml:space="preserve"> — el </w:t>
      </w:r>
      <w:r>
        <w:rPr>
          <w:b/>
        </w:rPr>
        <w:t>Financial Model no está persistido</w:t>
      </w:r>
      <w:r>
        <w:t>: se</w:t>
      </w:r>
    </w:p>
    <w:p>
      <w:pPr>
        <w:spacing w:after="80"/>
      </w:pPr>
      <w:r>
        <w:t xml:space="preserve">arma </w:t>
      </w:r>
      <w:r>
        <w:rPr>
          <w:b/>
        </w:rPr>
        <w:t>en memoria</w:t>
      </w:r>
      <w:r>
        <w:t xml:space="preserve"> y el script que lo implementa (</w:t>
      </w:r>
      <w:r>
        <w:rPr>
          <w:rFonts w:ascii="Consolas" w:hAnsi="Consolas"/>
          <w:sz w:val="18"/>
        </w:rPr>
        <w:t>d2_metr5y_model.py</w:t>
      </w:r>
      <w:r>
        <w:t>) vive</w:t>
      </w:r>
    </w:p>
    <w:p>
      <w:pPr>
        <w:spacing w:after="80"/>
      </w:pPr>
      <w:r>
        <w:t>solo en el worktree. El repo principal termina en el Canonical Model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derived.fact</w:t>
      </w:r>
      <w:r>
        <w:t>) y el Ratio Engine construye sus estados ad hoc.</w:t>
      </w:r>
    </w:p>
    <w:p>
      <w:pPr>
        <w:spacing w:after="80"/>
      </w:pPr>
      <w:r>
        <w:rPr>
          <w:b/>
        </w:rPr>
        <w:t>`KNOWN_LIMITATION (L-12)`</w:t>
      </w:r>
      <w:r>
        <w:t xml:space="preserve"> — pese a la arquitectura declarada,</w:t>
      </w:r>
    </w:p>
    <w:p>
      <w:pPr>
        <w:spacing w:after="80"/>
      </w:pPr>
      <w:r>
        <w:rPr>
          <w:rFonts w:ascii="Consolas" w:hAnsi="Consolas"/>
          <w:sz w:val="18"/>
        </w:rPr>
        <w:t>ratio_engine.py</w:t>
      </w:r>
      <w:r>
        <w:t xml:space="preserve"> </w:t>
      </w:r>
      <w:r>
        <w:rPr>
          <w:b/>
        </w:rPr>
        <w:t>sigue siendo SEC-first</w:t>
      </w:r>
      <w:r>
        <w:t xml:space="preserve"> (</w:t>
      </w:r>
      <w:r>
        <w:rPr>
          <w:rFonts w:ascii="Consolas" w:hAnsi="Consolas"/>
          <w:sz w:val="18"/>
        </w:rPr>
        <w:t>ARQ-03</w:t>
      </w:r>
      <w:r>
        <w:t xml:space="preserve"> en el inventario de</w:t>
      </w:r>
    </w:p>
    <w:p>
      <w:pPr>
        <w:spacing w:after="80"/>
      </w:pPr>
      <w:r>
        <w:t xml:space="preserve">conocimiento): toma </w:t>
      </w:r>
      <w:r>
        <w:rPr>
          <w:rFonts w:ascii="Consolas" w:hAnsi="Consolas"/>
          <w:sz w:val="18"/>
        </w:rPr>
        <w:t>--cik</w:t>
      </w:r>
      <w:r>
        <w:t xml:space="preserve"> e itera </w:t>
      </w:r>
      <w:r>
        <w:rPr>
          <w:rFonts w:ascii="Consolas" w:hAnsi="Consolas"/>
          <w:sz w:val="18"/>
        </w:rPr>
        <w:t>ciks_del_universo()</w:t>
      </w:r>
      <w:r>
        <w:t>. **El Ratio Engine no</w:t>
      </w:r>
    </w:p>
    <w:p>
      <w:pPr>
        <w:spacing w:after="80"/>
      </w:pPr>
      <w:r>
        <w:t>consume hoy lo que la arquitectura dice que debería consumir.** Es un hecho</w:t>
      </w:r>
    </w:p>
    <w:p>
      <w:pPr>
        <w:spacing w:after="80"/>
      </w:pPr>
      <w:r>
        <w:t xml:space="preserve">medido, no una opinión: </w:t>
      </w:r>
      <w:r>
        <w:rPr>
          <w:rFonts w:ascii="Consolas" w:hAnsi="Consolas"/>
          <w:sz w:val="18"/>
        </w:rPr>
        <w:t>ratio_engine.py:556-562</w:t>
      </w:r>
      <w:r>
        <w:t xml:space="preserve"> lo declara — el motor está</w:t>
      </w:r>
    </w:p>
    <w:p>
      <w:pPr>
        <w:spacing w:after="80"/>
      </w:pPr>
      <w:r>
        <w:t>homologado solo para el universo SEC y su cadena de fallback son tags</w:t>
      </w:r>
    </w:p>
    <w:p>
      <w:pPr>
        <w:spacing w:after="80"/>
      </w:pPr>
      <w:r>
        <w:t>us-gaap/ifrs.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Qué forma tiene el Financial Model</w:t>
      </w:r>
    </w:p>
    <w:p>
      <w:pPr>
        <w:spacing w:after="80"/>
      </w:pPr>
      <w:r>
        <w:t xml:space="preserve">Cuando exista, el modelo financiero organiza los hechos en </w:t>
      </w:r>
      <w:r>
        <w:rPr>
          <w:b/>
        </w:rPr>
        <w:t>estados</w:t>
      </w:r>
      <w:r>
        <w:t xml:space="preserve"> y en</w:t>
      </w:r>
    </w:p>
    <w:p>
      <w:pPr>
        <w:spacing w:after="80"/>
      </w:pPr>
      <w:r>
        <w:rPr>
          <w:b/>
        </w:rPr>
        <w:t>series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contiene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regla de período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**Balance**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activos, pasivos, patrimonio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INSTANT (*stock*)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**Resultado**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ingresos, costos, resultados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DURATION (*flujo*)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**Flujo de efectivo**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CFO, CFI, CFF y desglose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**Capital**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acciones emitidas, promedio, diluidas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INSTANT (count)</w:t>
            </w:r>
          </w:p>
        </w:tc>
      </w:tr>
    </w:tbl>
    <w:p/>
    <w:p>
      <w:pPr>
        <w:spacing w:after="80"/>
      </w:pPr>
      <w:r>
        <w:rPr>
          <w:b/>
        </w:rPr>
        <w:t>Reglas que el modelo no puede romper</w:t>
      </w:r>
      <w:r>
        <w:t xml:space="preserve"> (todas con evidencia en datos):</w:t>
      </w:r>
    </w:p>
    <w:p>
      <w:pPr>
        <w:pStyle w:val="ListNumber"/>
      </w:pPr>
      <w:r>
        <w:rPr>
          <w:b/>
        </w:rPr>
        <w:t>Nunca sumar un INSTANT como si fuera DURATION</w:t>
      </w:r>
      <w:r>
        <w:t>, ni al revés. Verificado en</w:t>
      </w:r>
    </w:p>
    <w:p>
      <w:pPr>
        <w:spacing w:after="80"/>
      </w:pPr>
      <w:r>
        <w:t xml:space="preserve">   los 2.795 hechos canónicos de METR: flujos → 1.038 </w:t>
      </w:r>
      <w:r>
        <w:rPr>
          <w:rFonts w:ascii="Consolas" w:hAnsi="Consolas"/>
          <w:sz w:val="18"/>
        </w:rPr>
        <w:t>DURATION</w:t>
      </w:r>
      <w:r>
        <w:t>, saldos → 1.070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INSTANT</w:t>
      </w:r>
      <w:r>
        <w:t xml:space="preserve">, </w:t>
      </w:r>
      <w:r>
        <w:rPr>
          <w:b/>
        </w:rPr>
        <w:t>ninguno cruzado</w:t>
      </w:r>
      <w:r>
        <w:t>.</w:t>
      </w:r>
    </w:p>
    <w:p>
      <w:pPr>
        <w:pStyle w:val="ListNumber"/>
      </w:pPr>
      <w:r>
        <w:rPr>
          <w:b/>
        </w:rPr>
        <w:t>La unidad nunca se pierde.</w:t>
      </w:r>
      <w:r>
        <w:t xml:space="preserve"> La escala vive en </w:t>
      </w:r>
      <w:r>
        <w:rPr>
          <w:rFonts w:ascii="Consolas" w:hAnsi="Consolas"/>
          <w:sz w:val="18"/>
        </w:rPr>
        <w:t>unit_ref</w:t>
      </w:r>
      <w:r>
        <w:t xml:space="preserve">; </w:t>
      </w:r>
      <w:r>
        <w:rPr>
          <w:rFonts w:ascii="Consolas" w:hAnsi="Consolas"/>
          <w:sz w:val="18"/>
        </w:rPr>
        <w:t>decimals</w:t>
      </w:r>
      <w:r>
        <w:t xml:space="preserve"> es</w:t>
      </w:r>
    </w:p>
    <w:p>
      <w:pPr>
        <w:spacing w:after="80"/>
      </w:pPr>
      <w:r>
        <w:t xml:space="preserve">   NULL por decisión certificada (desacople precisión/escala). Un hecho sin</w:t>
      </w:r>
    </w:p>
    <w:p>
      <w:pPr>
        <w:spacing w:after="80"/>
      </w:pPr>
      <w:r>
        <w:t xml:space="preserve">   unidad no entra en ningún ratio: </w:t>
      </w:r>
      <w:r>
        <w:rPr>
          <w:rFonts w:ascii="Consolas" w:hAnsi="Consolas"/>
          <w:sz w:val="18"/>
        </w:rPr>
        <w:t>NOT_CALCULABLE</w:t>
      </w:r>
      <w:r>
        <w:t>.</w:t>
      </w:r>
    </w:p>
    <w:p>
      <w:pPr>
        <w:pStyle w:val="ListNumber"/>
      </w:pPr>
      <w:r>
        <w:rPr>
          <w:b/>
        </w:rPr>
        <w:t>Consolidado y standalone son perímetros distintos, no variantes.</w:t>
      </w:r>
    </w:p>
    <w:p>
      <w:pPr>
        <w:spacing w:after="80"/>
      </w:pPr>
      <w:r>
        <w:t xml:space="preserve">   Codificado en </w:t>
      </w:r>
      <w:r>
        <w:rPr>
          <w:rFonts w:ascii="Consolas" w:hAnsi="Consolas"/>
          <w:sz w:val="18"/>
        </w:rPr>
        <w:t>PARENTESCO</w:t>
      </w:r>
      <w:r>
        <w:t xml:space="preserve"> del </w:t>
      </w:r>
      <w:r>
        <w:rPr>
          <w:rFonts w:ascii="Consolas" w:hAnsi="Consolas"/>
          <w:sz w:val="18"/>
        </w:rPr>
        <w:t>context_id</w:t>
      </w:r>
      <w:r>
        <w:t>. Para METR: 1.398 hechos</w:t>
      </w:r>
    </w:p>
    <w:p>
      <w:pPr>
        <w:spacing w:after="80"/>
      </w:pPr>
      <w:r>
        <w:t xml:space="preserve">   CONSOLIDADO y 1.397 INDIVIDUAL — los dos lados del mismo emisor.</w:t>
      </w:r>
    </w:p>
    <w:p>
      <w:pPr>
        <w:pStyle w:val="ListNumber"/>
      </w:pPr>
      <w:r>
        <w:rPr>
          <w:b/>
        </w:rPr>
        <w:t>La moneda es la del hecho</w:t>
      </w:r>
      <w:r>
        <w:t>, no la del emisor, no la del usuario.</w:t>
      </w:r>
    </w:p>
    <w:p>
      <w:pPr>
        <w:pStyle w:val="ListNumber"/>
      </w:pPr>
      <w:r>
        <w:rPr>
          <w:b/>
        </w:rPr>
        <w:t>Series FY / Quarterly / YTD / TTM se declaran, no se infieren.</w:t>
      </w:r>
      <w:r>
        <w:t xml:space="preserve"> La CNV</w:t>
      </w:r>
    </w:p>
    <w:p>
      <w:pPr>
        <w:spacing w:after="80"/>
      </w:pPr>
      <w:r>
        <w:t xml:space="preserve">   acumula YTD: un "Q3" son nueve meses, y todo </w:t>
      </w:r>
      <w:r>
        <w:rPr>
          <w:rFonts w:ascii="Consolas" w:hAnsi="Consolas"/>
          <w:sz w:val="18"/>
        </w:rPr>
        <w:t>DURATION</w:t>
      </w:r>
      <w:r>
        <w:t xml:space="preserve"> arranca el 1 de</w:t>
      </w:r>
    </w:p>
    <w:p>
      <w:pPr>
        <w:spacing w:after="80"/>
      </w:pPr>
      <w:r>
        <w:t xml:space="preserve">   enero (verificado en los 1.038 + 111).</w:t>
      </w:r>
    </w:p>
    <w:p>
      <w:pPr>
        <w:pStyle w:val="ListNumber"/>
      </w:pPr>
      <w:r>
        <w:rPr>
          <w:b/>
        </w:rPr>
        <w:t>Stock vs. flujo ≠ INSTANT vs. DURATION como sinónimos reemplazables:</w:t>
      </w:r>
    </w:p>
    <w:p>
      <w:pPr>
        <w:spacing w:after="80"/>
      </w:pPr>
      <w:r>
        <w:t xml:space="preserve">   la CNV misma publica ratios (prefijo </w:t>
      </w:r>
      <w:r>
        <w:rPr>
          <w:rFonts w:ascii="Consolas" w:hAnsi="Consolas"/>
          <w:sz w:val="18"/>
        </w:rPr>
        <w:t>CNV_</w:t>
      </w:r>
      <w:r>
        <w:t xml:space="preserve">, unidad </w:t>
      </w:r>
      <w:r>
        <w:rPr>
          <w:rFonts w:ascii="Consolas" w:hAnsi="Consolas"/>
          <w:sz w:val="18"/>
        </w:rPr>
        <w:t>xbrli:pure</w:t>
      </w:r>
      <w:r>
        <w:t>) que son</w:t>
      </w:r>
    </w:p>
    <w:p>
      <w:pPr>
        <w:spacing w:after="80"/>
      </w:pPr>
      <w:r>
        <w:t xml:space="preserve">   INSTANT (liquidez) o DURATION (margen) según su naturaleza.</w:t>
      </w:r>
    </w:p>
    <w:p>
      <w:pPr>
        <w:spacing w:after="80"/>
      </w:pPr>
      <w:r>
        <w:rPr>
          <w:b/>
        </w:rPr>
        <w:t>`KNOWN_LIMITATION (L-10)`</w:t>
      </w:r>
      <w:r>
        <w:t xml:space="preserve"> — el perímetro no es computable desde el</w:t>
      </w:r>
    </w:p>
    <w:p>
      <w:pPr>
        <w:spacing w:after="80"/>
      </w:pPr>
      <w:r>
        <w:t xml:space="preserve">formulario: el documento declara </w:t>
      </w:r>
      <w:r>
        <w:rPr>
          <w:rFonts w:ascii="Consolas" w:hAnsi="Consolas"/>
          <w:sz w:val="18"/>
        </w:rPr>
        <w:t>tipo_balance</w:t>
      </w:r>
      <w:r>
        <w:t>, no de qué consolidación</w:t>
      </w:r>
    </w:p>
    <w:p>
      <w:pPr>
        <w:spacing w:after="80"/>
      </w:pPr>
      <w:r>
        <w:t>proviene. No se inventa.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 realidad verificable desde el repo principal</w:t>
      </w:r>
    </w:p>
    <w:p>
      <w:pPr>
        <w:spacing w:after="80"/>
      </w:pPr>
      <w:r>
        <w:t xml:space="preserve">Desde el repo principal </w:t>
      </w:r>
      <w:r>
        <w:rPr>
          <w:b/>
        </w:rPr>
        <w:t>no hay comandos ejecutables</w:t>
      </w:r>
      <w:r>
        <w:t xml:space="preserve"> para este capítulo.</w:t>
      </w:r>
    </w:p>
    <w:p>
      <w:pPr>
        <w:spacing w:after="80"/>
      </w:pPr>
      <w:r>
        <w:t xml:space="preserve">Lo que sí se puede afirmar (fuente </w:t>
      </w:r>
      <w:r>
        <w:rPr>
          <w:rFonts w:ascii="Consolas" w:hAnsi="Consolas"/>
          <w:sz w:val="18"/>
        </w:rPr>
        <w:t>06_PROVENANCE.md</w:t>
      </w:r>
      <w:r>
        <w:t xml:space="preserve"> §4):</w:t>
      </w:r>
    </w:p>
    <w:p>
      <w:pPr>
        <w:pStyle w:val="ListBullet"/>
      </w:pPr>
      <w:r>
        <w:rPr>
          <w:rFonts w:ascii="Consolas" w:hAnsi="Consolas"/>
          <w:sz w:val="18"/>
        </w:rPr>
        <w:t>econ_key</w:t>
      </w:r>
      <w:r>
        <w:t xml:space="preserve"> es una </w:t>
      </w:r>
      <w:r>
        <w:rPr>
          <w:b/>
        </w:rPr>
        <w:t>columna real del modelo canónico</w:t>
      </w:r>
      <w:r>
        <w:t>, no un concepto de</w:t>
      </w:r>
    </w:p>
    <w:p>
      <w:pPr>
        <w:spacing w:after="80"/>
      </w:pPr>
      <w:r>
        <w:t xml:space="preserve">  pizarra; su documento de identidad es un contrato aparte</w:t>
      </w:r>
    </w:p>
    <w:p>
      <w:pPr>
        <w:spacing w:after="80"/>
      </w:pPr>
      <w:r>
        <w:t xml:space="preserve">  (</w:t>
      </w:r>
      <w:r>
        <w:rPr>
          <w:rFonts w:ascii="Consolas" w:hAnsi="Consolas"/>
          <w:sz w:val="18"/>
        </w:rPr>
        <w:t>outputs/docs/fase_cnv/W1_1_FACT_IDENTITY_CONTRACT.md</w:t>
      </w:r>
      <w:r>
        <w:t>).</w:t>
      </w:r>
    </w:p>
    <w:p>
      <w:pPr>
        <w:pStyle w:val="ListBullet"/>
      </w:pPr>
      <w:r>
        <w:t>Aunque se documente "en rama", la verificación es explícita: **comparar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ratio_engine.py</w:t>
      </w:r>
      <w:r>
        <w:t xml:space="preserve"> contra </w:t>
      </w:r>
      <w:r>
        <w:rPr>
          <w:rFonts w:ascii="Consolas" w:hAnsi="Consolas"/>
          <w:sz w:val="18"/>
        </w:rPr>
        <w:t>d2_metr5y_model.py</w:t>
      </w:r>
      <w:r>
        <w:t>**. El operador debe poder decir</w:t>
      </w:r>
    </w:p>
    <w:p>
      <w:pPr>
        <w:spacing w:after="80"/>
      </w:pPr>
      <w:r>
        <w:t xml:space="preserve">  en qué momento el motor de ratios consume un estado construido por el modelo</w:t>
      </w:r>
    </w:p>
    <w:p>
      <w:pPr>
        <w:spacing w:after="80"/>
      </w:pPr>
      <w:r>
        <w:t xml:space="preserve">  y no volvió a armar todo sobre </w:t>
      </w:r>
      <w:r>
        <w:rPr>
          <w:rFonts w:ascii="Consolas" w:hAnsi="Consolas"/>
          <w:sz w:val="18"/>
        </w:rPr>
        <w:t>derived.fact</w:t>
      </w:r>
      <w:r>
        <w:t>.</w:t>
      </w:r>
    </w:p>
    <w:p>
      <w:pPr>
        <w:pStyle w:val="ListBullet"/>
      </w:pPr>
      <w:r>
        <w:rPr>
          <w:b/>
        </w:rPr>
        <w:t>METR es el único piloto con `econ_key` poblado</w:t>
      </w:r>
      <w:r>
        <w:t xml:space="preserve"> — por el adaptador del</w:t>
      </w:r>
    </w:p>
    <w:p>
      <w:pPr>
        <w:spacing w:after="80"/>
      </w:pPr>
      <w:r>
        <w:t xml:space="preserve">  worktree, </w:t>
      </w:r>
      <w:r>
        <w:rPr>
          <w:rFonts w:ascii="Consolas" w:hAnsi="Consolas"/>
          <w:sz w:val="18"/>
        </w:rPr>
        <w:t>c4_cnv_adapter.py</w:t>
      </w:r>
      <w:r>
        <w:t>. Cualquier ejemplo que se documente es</w:t>
      </w:r>
    </w:p>
    <w:p>
      <w:pPr>
        <w:spacing w:after="80"/>
      </w:pPr>
      <w:r>
        <w:t xml:space="preserve">  necesariamente CNV, no SEC.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VI</w:t>
      </w:r>
    </w:p>
    <w:p>
      <w:pPr>
        <w:spacing w:after="80"/>
      </w:pPr>
      <w:r>
        <w:t>Este capítulo queda **sin ejecución y sin verificación hasta que se resuelva</w:t>
      </w:r>
    </w:p>
    <w:p>
      <w:pPr>
        <w:spacing w:after="80"/>
      </w:pPr>
      <w:r>
        <w:t>D-1** (¿repo principal, worktree, o los dos?). Hasta entonces:</w:t>
      </w:r>
    </w:p>
    <w:p>
      <w:pPr>
        <w:pStyle w:val="ListBullet"/>
      </w:pPr>
      <w:r>
        <w:rPr>
          <w:rFonts w:ascii="Consolas" w:hAnsi="Consolas"/>
          <w:sz w:val="18"/>
        </w:rPr>
        <w:t>fact_key</w:t>
      </w:r>
      <w:r>
        <w:t>: usable, documentado en la Parte XI.</w:t>
      </w:r>
    </w:p>
    <w:p>
      <w:pPr>
        <w:pStyle w:val="ListBullet"/>
      </w:pPr>
      <w:r>
        <w:rPr>
          <w:rFonts w:ascii="Consolas" w:hAnsi="Consolas"/>
          <w:sz w:val="18"/>
        </w:rPr>
        <w:t>econ_key</w:t>
      </w:r>
      <w:r>
        <w:t xml:space="preserve">: </w:t>
      </w:r>
      <w:r>
        <w:rPr>
          <w:b/>
        </w:rPr>
        <w:t>no</w:t>
      </w:r>
      <w:r>
        <w:t xml:space="preserve"> usable desde el repo principal.</w:t>
      </w:r>
    </w:p>
    <w:p>
      <w:pPr>
        <w:pStyle w:val="ListBullet"/>
      </w:pPr>
      <w:r>
        <w:t xml:space="preserve">Financial Model: </w:t>
      </w:r>
      <w:r>
        <w:rPr>
          <w:b/>
        </w:rPr>
        <w:t>no</w:t>
      </w:r>
      <w:r>
        <w:t xml:space="preserve"> persistido (</w:t>
      </w:r>
      <w:r>
        <w:rPr>
          <w:rFonts w:ascii="Consolas" w:hAnsi="Consolas"/>
          <w:sz w:val="18"/>
        </w:rPr>
        <w:t>L-11</w:t>
      </w:r>
      <w:r>
        <w:t>); motor de ratios SEC-first</w:t>
      </w:r>
    </w:p>
    <w:p>
      <w:pPr>
        <w:spacing w:after="80"/>
      </w:pPr>
      <w:r>
        <w:t xml:space="preserve">  (</w:t>
      </w:r>
      <w:r>
        <w:rPr>
          <w:rFonts w:ascii="Consolas" w:hAnsi="Consolas"/>
          <w:sz w:val="18"/>
        </w:rPr>
        <w:t>L-12</w:t>
      </w:r>
      <w:r>
        <w:t>).</w:t>
      </w:r>
    </w:p>
    <w:p>
      <w:pPr>
        <w:pStyle w:val="ListBullet"/>
      </w:pPr>
      <w:r>
        <w:t xml:space="preserve">Certificación pendiente: </w:t>
      </w:r>
      <w:r>
        <w:rPr>
          <w:b/>
        </w:rPr>
        <w:t>C-2</w:t>
      </w:r>
      <w:r>
        <w:t xml:space="preserve"> (Economic Facts + Financial Model).</w:t>
      </w:r>
    </w:p>
    <w:p>
      <w:pPr>
        <w:spacing w:after="80"/>
      </w:pPr>
      <w:r>
        <w:t>No está permitido declarar que el sistema "tiene un modelo financiero" mientras</w:t>
      </w:r>
    </w:p>
    <w:p>
      <w:pPr>
        <w:spacing w:after="80"/>
      </w:pPr>
      <w:r>
        <w:t>el Financial Model se arme en memoria dentro de un trabajo aparte.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*Este capítulo describe una frontera, no una implementación: documenta lo que</w:t>
      </w:r>
    </w:p>
    <w:p>
      <w:pPr>
        <w:spacing w:after="80"/>
      </w:pPr>
      <w:r>
        <w:t>la arquitectura declara y lo que el código del repo principal realmente hace.*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MANUAL_PART_VI · Economic Facts y Financial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MANUAL_PART_VI · Economic Facts y Financial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