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XIV — HOMOLOGACIÓN TIKR</w:t>
      </w:r>
    </w:p>
    <w:p>
      <w:pPr>
        <w:spacing w:after="200"/>
      </w:pPr>
      <w:r>
        <w:rPr>
          <w:b/>
          <w:sz w:val="22"/>
        </w:rPr>
        <w:t>Identificación: Homologacion TIKR</w:t>
      </w:r>
    </w:p>
    <w:p>
      <w:pPr>
        <w:spacing w:after="80"/>
      </w:pPr>
      <w:r>
        <w:t xml:space="preserve">TIKR es </w:t>
      </w:r>
      <w:r>
        <w:rPr>
          <w:b/>
        </w:rPr>
        <w:t>benchmark secundario, no autoridad primaria.</w:t>
      </w:r>
      <w:r>
        <w:t xml:space="preserve"> Catalaxia se nutre de</w:t>
      </w:r>
    </w:p>
    <w:p>
      <w:pPr>
        <w:spacing w:after="80"/>
      </w:pPr>
      <w:r>
        <w:t>SEC EDGAR (XBRL) y CNV; TIKR de hecho toma sus datos de la misma SEC. Ir</w:t>
      </w:r>
    </w:p>
    <w:p>
      <w:pPr>
        <w:spacing w:after="80"/>
      </w:pPr>
      <w:r>
        <w:t>directo a la fuente elimina un intermediario: **TIKR no se usa en ningún punto</w:t>
      </w:r>
    </w:p>
    <w:p>
      <w:pPr>
        <w:spacing w:after="80"/>
      </w:pPr>
      <w:r>
        <w:t>del pipeline</w:t>
      </w:r>
      <w:r>
        <w:rPr>
          <w:b/>
        </w:rPr>
        <w:t xml:space="preserve"> (`docs/06-decisiones-tecnicas.md`). Se usa para </w:t>
      </w:r>
      <w:r>
        <w:t>homologar**</w:t>
      </w:r>
    </w:p>
    <w:p>
      <w:pPr>
        <w:spacing w:after="80"/>
      </w:pPr>
      <w:r>
        <w:t>— para medir qué tan bien reproduce Catalaxia lo que un proveedor reconocido</w:t>
      </w:r>
    </w:p>
    <w:p>
      <w:pPr>
        <w:spacing w:after="80"/>
      </w:pPr>
      <w:r>
        <w:t>publica.</w:t>
      </w:r>
    </w:p>
    <w:p>
      <w:pPr>
        <w:spacing w:after="80"/>
      </w:pPr>
      <w:r>
        <w:rPr>
          <w:b/>
        </w:rPr>
        <w:t>Estado:</w:t>
      </w:r>
      <w:r>
        <w:t xml:space="preserve"> </w:t>
      </w:r>
      <w:r>
        <w:rPr>
          <w:rFonts w:ascii="Consolas" w:hAnsi="Consolas"/>
          <w:sz w:val="18"/>
        </w:rPr>
        <w:t>NOT_IMPLEMENTED</w:t>
      </w:r>
      <w:r>
        <w:t xml:space="preserve"> en el repo principal. El procedimiento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h1_tikr_metr_homologacion.py</w:t>
      </w:r>
      <w:r>
        <w:t xml:space="preserve">) vive solo en el worktree </w:t>
      </w:r>
      <w:r>
        <w:rPr>
          <w:rFonts w:ascii="Consolas" w:hAnsi="Consolas"/>
          <w:sz w:val="18"/>
        </w:rPr>
        <w:t>catalaxia-cnvmig</w:t>
      </w:r>
      <w:r>
        <w:t>.</w:t>
      </w:r>
    </w:p>
    <w:p>
      <w:pPr>
        <w:spacing w:after="80"/>
      </w:pPr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outputs/docs/fase_cnv/METR_TIKR_2025_REPORT.md</w:t>
      </w:r>
    </w:p>
    <w:p>
      <w:pPr>
        <w:spacing w:after="80"/>
      </w:pPr>
      <w:r>
        <w:t xml:space="preserve">completo (447 líneas); </w:t>
      </w:r>
      <w:r>
        <w:rPr>
          <w:rFonts w:ascii="Consolas" w:hAnsi="Consolas"/>
          <w:sz w:val="18"/>
        </w:rPr>
        <w:t>docs/runbooks/appendices/GOLDEN_RUNS.md</w:t>
      </w:r>
      <w:r>
        <w:t xml:space="preserve"> §2;</w:t>
      </w:r>
    </w:p>
    <w:p>
      <w:pPr>
        <w:spacing w:after="80"/>
      </w:pPr>
      <w:r>
        <w:rPr>
          <w:rFonts w:ascii="Consolas" w:hAnsi="Consolas"/>
          <w:sz w:val="18"/>
        </w:rPr>
        <w:t>docs/review/HOMOLOGATION_FINDINGS.md</w:t>
      </w:r>
      <w:r>
        <w:t>;</w:t>
      </w:r>
    </w:p>
    <w:p>
      <w:pPr>
        <w:spacing w:after="80"/>
      </w:pPr>
      <w:r>
        <w:rPr>
          <w:rFonts w:ascii="Consolas" w:hAnsi="Consolas"/>
          <w:sz w:val="18"/>
        </w:rPr>
        <w:t>docs/manual/MANUAL_SCOPE.md</w:t>
      </w:r>
      <w:r>
        <w:t xml:space="preserve"> </w:t>
      </w:r>
      <w:r>
        <w:rPr>
          <w:rFonts w:ascii="Consolas" w:hAnsi="Consolas"/>
          <w:sz w:val="18"/>
        </w:rPr>
        <w:t>C-4</w:t>
      </w:r>
      <w:r>
        <w:t xml:space="preserve">, </w:t>
      </w:r>
      <w:r>
        <w:rPr>
          <w:rFonts w:ascii="Consolas" w:hAnsi="Consolas"/>
          <w:sz w:val="18"/>
        </w:rPr>
        <w:t>D-4</w:t>
      </w:r>
      <w:r>
        <w:t xml:space="preserve">, </w:t>
      </w:r>
      <w:r>
        <w:rPr>
          <w:rFonts w:ascii="Consolas" w:hAnsi="Consolas"/>
          <w:sz w:val="18"/>
        </w:rPr>
        <w:t>N-8</w:t>
      </w:r>
      <w:r>
        <w:t>;</w:t>
      </w:r>
    </w:p>
    <w:p>
      <w:pPr>
        <w:spacing w:after="80"/>
      </w:pPr>
      <w:r>
        <w:rPr>
          <w:rFonts w:ascii="Consolas" w:hAnsi="Consolas"/>
          <w:sz w:val="18"/>
        </w:rPr>
        <w:t>docs/manual/MANUAL_KNOWLEDGE_INVENTORY.md</w:t>
      </w:r>
      <w:r>
        <w:t xml:space="preserve"> §5 (</w:t>
      </w:r>
      <w:r>
        <w:rPr>
          <w:rFonts w:ascii="Consolas" w:hAnsi="Consolas"/>
          <w:sz w:val="18"/>
        </w:rPr>
        <w:t>TIKR-03</w:t>
      </w:r>
      <w:r>
        <w:t>), §2 (</w:t>
      </w:r>
      <w:r>
        <w:rPr>
          <w:rFonts w:ascii="Consolas" w:hAnsi="Consolas"/>
          <w:sz w:val="18"/>
        </w:rPr>
        <w:t>DEC-04</w:t>
      </w:r>
      <w:r>
        <w:t>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1 · Cómo se homóloga — el método</w:t>
      </w:r>
    </w:p>
    <w:p>
      <w:pPr>
        <w:spacing w:after="80"/>
      </w:pPr>
      <w:r>
        <w:t>Cada métrica de TIKR se compara contra **una métrica de Catalaxia derivada de</w:t>
      </w:r>
    </w:p>
    <w:p>
      <w:pPr>
        <w:spacing w:after="80"/>
      </w:pPr>
      <w:r>
        <w:t>evidencia primaria**, y el resultado se clasifica. La regla del método, sacada</w:t>
      </w:r>
    </w:p>
    <w:p>
      <w:pPr>
        <w:spacing w:after="80"/>
      </w:pPr>
      <w:r>
        <w:t xml:space="preserve">de </w:t>
      </w:r>
      <w:r>
        <w:rPr>
          <w:rFonts w:ascii="Consolas" w:hAnsi="Consolas"/>
          <w:sz w:val="18"/>
        </w:rPr>
        <w:t>HOMOLOGATION_FINDINGS.md</w:t>
      </w:r>
      <w:r>
        <w:t>: *no volver a declarar algo que los artefactos</w:t>
      </w:r>
    </w:p>
    <w:p>
      <w:pPr>
        <w:spacing w:after="80"/>
      </w:pPr>
      <w:r>
        <w:t>desmienten* — cada finding se verifica contra la base, ninguno se da por</w:t>
      </w:r>
    </w:p>
    <w:p>
      <w:pPr>
        <w:spacing w:after="80"/>
      </w:pPr>
      <w:r>
        <w:t>cerrado por haber sido mencionado antes.</w:t>
      </w:r>
    </w:p>
    <w:p>
      <w:pPr>
        <w:spacing w:after="80"/>
      </w:pPr>
      <w:r>
        <w:rPr>
          <w:b/>
        </w:rPr>
        <w:t>El enunciado general (implementado en el worktree)</w:t>
      </w:r>
      <w:r>
        <w:t xml:space="preserve"> clasifica en estos 12</w:t>
      </w:r>
    </w:p>
    <w:p>
      <w:pPr>
        <w:spacing w:after="80"/>
      </w:pPr>
      <w:r>
        <w:t>estados:</w:t>
      </w:r>
    </w:p>
    <w:p>
      <w:pPr>
        <w:pStyle w:val="CodeBlock"/>
        <w:ind w:left="288"/>
      </w:pPr>
      <w:r>
        <w:t>DIFFERENT_DEFINITION · PERIOD_MISMATCH · CURRENCY_MISMATCH · UNIT_MISMATCH</w:t>
        <w:br/>
        <w:t>PERIMETER_MISMATCH · SOURCE_MISMATCH · TIKR_ONLY · CATALAXIA_ONLY</w:t>
        <w:br/>
        <w:t>CATALAXIA_MISSING · TIKR_MISSING · ANOMALY · UNRESOLVED</w:t>
      </w:r>
    </w:p>
    <w:p>
      <w:pPr>
        <w:spacing w:after="80"/>
      </w:pPr>
      <w:r>
        <w:rPr>
          <w:b/>
        </w:rPr>
        <w:t>`KNOWN_LIMITATION (D-4):`</w:t>
      </w:r>
      <w:r>
        <w:t xml:space="preserve"> un encargo anterior pedía usar</w:t>
      </w:r>
    </w:p>
    <w:p>
      <w:pPr>
        <w:spacing w:after="80"/>
      </w:pPr>
      <w:r>
        <w:rPr>
          <w:rFonts w:ascii="Consolas" w:hAnsi="Consolas"/>
          <w:sz w:val="18"/>
        </w:rPr>
        <w:t>METHODOLOGY_DIFFERENCE</w:t>
      </w:r>
      <w:r>
        <w:t xml:space="preserve"> y </w:t>
      </w:r>
      <w:r>
        <w:rPr>
          <w:rFonts w:ascii="Consolas" w:hAnsi="Consolas"/>
          <w:sz w:val="18"/>
        </w:rPr>
        <w:t>DATE_DIFFERENCE</w:t>
      </w:r>
      <w:r>
        <w:t xml:space="preserve">. </w:t>
      </w:r>
      <w:r>
        <w:rPr>
          <w:b/>
        </w:rPr>
        <w:t>No están implementados</w:t>
      </w:r>
      <w:r>
        <w:t xml:space="preserve"> — el</w:t>
      </w:r>
    </w:p>
    <w:p>
      <w:pPr>
        <w:spacing w:after="80"/>
      </w:pPr>
      <w:r>
        <w:t>set que existe es el de 12 estados de arriba. Nadie mezcla los dos vocabularios</w:t>
      </w:r>
    </w:p>
    <w:p>
      <w:pPr>
        <w:spacing w:after="80"/>
      </w:pPr>
      <w:r>
        <w:t>en un mismo reporte.</w:t>
      </w:r>
    </w:p>
    <w:p>
      <w:pPr>
        <w:spacing w:after="80"/>
      </w:pPr>
      <w:r>
        <w:rPr>
          <w:b/>
        </w:rPr>
        <w:t>FX (más `DEC-04`):</w:t>
      </w:r>
      <w:r>
        <w:t xml:space="preserve"> Catalaxia usa MEP; TIKR usa el mayorista. La brecha</w:t>
      </w:r>
    </w:p>
    <w:p>
      <w:pPr>
        <w:spacing w:after="80"/>
      </w:pPr>
      <w:r>
        <w:t xml:space="preserve">entre ambos está </w:t>
      </w:r>
      <w:r>
        <w:rPr>
          <w:b/>
        </w:rPr>
        <w:t>medida</w:t>
      </w:r>
      <w:r>
        <w:t xml:space="preserve"> (0,0–0,3 % en general, 85 % en 2021) y es **una</w:t>
      </w:r>
    </w:p>
    <w:p>
      <w:pPr>
        <w:spacing w:after="80"/>
      </w:pPr>
      <w:r>
        <w:t>metodología, no un error**. Ante una diferencia de ese orden se la clasifica</w:t>
      </w:r>
    </w:p>
    <w:p>
      <w:pPr>
        <w:spacing w:after="80"/>
      </w:pPr>
      <w:r>
        <w:rPr>
          <w:rFonts w:ascii="Consolas" w:hAnsi="Consolas"/>
          <w:sz w:val="18"/>
        </w:rPr>
        <w:t>CURRENCY_MISMATCH</w:t>
      </w:r>
      <w:r>
        <w:t>, no se corrige el dato.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2 · El resultado medido — METR FY2025</w:t>
      </w:r>
    </w:p>
    <w:p>
      <w:pPr>
        <w:spacing w:after="80"/>
      </w:pPr>
      <w:r>
        <w:t xml:space="preserve">Caso: METR, fixture aislado </w:t>
      </w:r>
      <w:r>
        <w:rPr>
          <w:rFonts w:ascii="Consolas" w:hAnsi="Consolas"/>
          <w:sz w:val="18"/>
        </w:rPr>
        <w:t>cnvmig</w:t>
      </w:r>
      <w:r>
        <w:t>, catalaxia intacta, sin commits.</w:t>
      </w:r>
    </w:p>
    <w:p>
      <w:pPr>
        <w:pStyle w:val="CodeBlock"/>
        <w:ind w:left="288"/>
      </w:pPr>
      <w:r>
        <w:t>Métricas TIKR evaluadas                     152</w:t>
        <w:br/>
        <w:t xml:space="preserve">  estados financieros                        95</w:t>
        <w:br/>
        <w:t xml:space="preserve">  ratios                                     39</w:t>
        <w:br/>
        <w:t xml:space="preserve">  segmentos                                  18</w:t>
        <w:br/>
        <w:br/>
        <w:t>MATCH_EXACT                                  35   (23,0 %)</w:t>
        <w:br/>
        <w:t>MATCH_DERIVED                                 8   ( 5,3 %)</w:t>
        <w:br/>
        <w:t>MATCH_ROUNDING                                8   ( 5,3 %)</w:t>
        <w:br/>
        <w:t>COINCIDENCIAS                                51   (33,6 %)</w:t>
        <w:br/>
        <w:br/>
        <w:t>DEFINITION_DIFFERENCE                        27   (17,8 %)</w:t>
        <w:br/>
        <w:t>INPUT_DIFFERENCE                              1</w:t>
        <w:br/>
        <w:t>DIFERENCIAS EXPLICADAS                       28   (18,4 %)</w:t>
        <w:br/>
        <w:br/>
        <w:t>CATALAXIA_MISSING_INPUT                      66   (43,4 %)</w:t>
        <w:br/>
        <w:t>TIKR_DEFINITION_UNVERIFIED                    2</w:t>
        <w:br/>
        <w:t>TIKR_DERIVED_NOT_REPRODUCIBLE                 2</w:t>
        <w:br/>
        <w:t>UNRESOLVED                                    4</w:t>
        <w:br/>
        <w:t>CATALAXIA_ERROR                               0</w:t>
      </w:r>
    </w:p>
    <w:p>
      <w:pPr>
        <w:spacing w:after="80"/>
      </w:pPr>
      <w:r>
        <w:rPr>
          <w:b/>
        </w:rPr>
        <w:t>Cero errores de Catalaxia.</w:t>
      </w:r>
      <w:r>
        <w:t xml:space="preserve"> Además de las coincidencias, **28 diferencias</w:t>
      </w:r>
    </w:p>
    <w:p>
      <w:pPr>
        <w:spacing w:after="80"/>
      </w:pPr>
      <w:r>
        <w:t>quedan explicadas con aritmética exacta** (no con narrativa) y el 43 % restante</w:t>
      </w:r>
    </w:p>
    <w:p>
      <w:pPr>
        <w:spacing w:after="80"/>
      </w:pPr>
      <w:r>
        <w:t>es desglose que la CNV no publica en el EEFF resumido — un problema de ingesta,</w:t>
      </w:r>
    </w:p>
    <w:p>
      <w:pPr>
        <w:spacing w:after="80"/>
      </w:pPr>
      <w:r>
        <w:t>no de modelo.</w:t>
      </w:r>
    </w:p>
    <w:p>
      <w:pPr>
        <w:spacing w:after="80"/>
      </w:pPr>
      <w:r>
        <w:t>Los totales estructurales coinciden: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métrica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TIKR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Catalaxia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Δ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---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--: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--: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--: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Total Assets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1.390.076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1.390.076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Total Liabilities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429.731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429.731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Total Equity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960.345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960.345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CFO / CFI / CFF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89.042 / −58.733 / −42.338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idénticos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Net Income (ambos perímetros)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130.656 / 132.483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ídem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**0**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3 · Los hallazgos que explican las diferencias</w:t>
      </w:r>
    </w:p>
    <w:p>
      <w:pPr>
        <w:spacing w:after="80"/>
      </w:pPr>
      <w:r>
        <w:t>**1 · El hallazgo que resuelve la mitad de las diferencias: el perímetro</w:t>
      </w:r>
    </w:p>
    <w:p>
      <w:pPr>
        <w:spacing w:after="80"/>
      </w:pPr>
      <w:r>
        <w:t>INDIVIDUAL de la CNV es, exactamente, el segmento "MetroGAS Distribution" de</w:t>
      </w:r>
    </w:p>
    <w:p>
      <w:pPr>
        <w:spacing w:after="80"/>
      </w:pPr>
      <w:r>
        <w:t>TIKR.</w:t>
      </w:r>
      <w:r>
        <w:rPr>
          <w:b/>
        </w:rPr>
        <w:t xml:space="preserve"> Cuatro métricas independientes con diferencia </w:t>
      </w:r>
      <w:r>
        <w:t>cero**; la minoritaria</w:t>
      </w:r>
    </w:p>
    <w:p>
      <w:pPr>
        <w:spacing w:after="80"/>
      </w:pPr>
      <w:r>
        <w:t>sale sin residuo:</w:t>
      </w:r>
    </w:p>
    <w:p>
      <w:pPr>
        <w:pStyle w:val="CodeBlock"/>
        <w:ind w:left="288"/>
      </w:pPr>
      <w:r>
        <w:t>NetIncome INDIVIDUAL − CONSOLIDADO = 130.656 − 132.483 = −1.827  EXACTO</w:t>
        <w:br/>
        <w:t>Equity    CONSOLIDADO − INDIVIDUAL = 960.345 − 958.465 = + 1.880  EXACTO</w:t>
      </w:r>
    </w:p>
    <w:p>
      <w:pPr>
        <w:spacing w:after="80"/>
      </w:pPr>
      <w:r>
        <w:rPr>
          <w:b/>
        </w:rPr>
        <w:t>2 · Operating Income</w:t>
      </w:r>
      <w:r>
        <w:t xml:space="preserve"> — </w:t>
      </w:r>
      <w:r>
        <w:rPr>
          <w:rFonts w:ascii="Consolas" w:hAnsi="Consolas"/>
          <w:sz w:val="18"/>
        </w:rPr>
        <w:t>196.311</w:t>
      </w:r>
      <w:r>
        <w:t xml:space="preserve"> coincide exactamente con el "Segment</w:t>
      </w:r>
    </w:p>
    <w:p>
      <w:pPr>
        <w:spacing w:after="80"/>
      </w:pPr>
      <w:r>
        <w:t xml:space="preserve">Total" de TIKR; TIKR reporta </w:t>
      </w:r>
      <w:r>
        <w:rPr>
          <w:rFonts w:ascii="Consolas" w:hAnsi="Consolas"/>
          <w:sz w:val="18"/>
        </w:rPr>
        <w:t>188.583</w:t>
      </w:r>
      <w:r>
        <w:t xml:space="preserve"> porque reclasifica </w:t>
      </w:r>
      <w:r>
        <w:rPr>
          <w:b/>
        </w:rPr>
        <w:t>7.728</w:t>
      </w:r>
      <w:r>
        <w:t xml:space="preserve"> a gasto</w:t>
      </w:r>
    </w:p>
    <w:p>
      <w:pPr>
        <w:spacing w:after="80"/>
      </w:pPr>
      <w:r>
        <w:t xml:space="preserve">operativo. </w:t>
      </w:r>
      <w:r>
        <w:rPr>
          <w:i/>
        </w:rPr>
        <w:t>Qué</w:t>
      </w:r>
      <w:r>
        <w:t xml:space="preserve"> renglón reclasifica no se puede determinar del EEFF resumido</w:t>
      </w:r>
    </w:p>
    <w:p>
      <w:pPr>
        <w:spacing w:after="80"/>
      </w:pPr>
      <w:r>
        <w:t xml:space="preserve">→ </w:t>
      </w:r>
      <w:r>
        <w:rPr>
          <w:rFonts w:ascii="Consolas" w:hAnsi="Consolas"/>
          <w:sz w:val="18"/>
        </w:rPr>
        <w:t>DEFINITION_DIFFERENCE</w:t>
      </w:r>
      <w:r>
        <w:t>, no error.</w:t>
      </w:r>
    </w:p>
    <w:p>
      <w:pPr>
        <w:spacing w:after="80"/>
      </w:pPr>
      <w:r>
        <w:rPr>
          <w:b/>
        </w:rPr>
        <w:t>3 · EBITDA — consistente en su diferencia:</w:t>
      </w:r>
    </w:p>
    <w:p>
      <w:pPr>
        <w:pStyle w:val="CodeBlock"/>
        <w:ind w:left="288"/>
      </w:pPr>
      <w:r>
        <w:t>Catalaxia  256.694 = OperatingIncome 196.311 + D&amp;A 60.383</w:t>
        <w:br/>
        <w:t>TIKR       231.071  parte de SU operativo (188.583) y de SU D&amp;A (42.554)</w:t>
        <w:br/>
        <w:t>D&amp;A CNV (3011600) = 42.554 + 17.829 (amort. cargos diferidos) = 60.383  EXACTO</w:t>
      </w:r>
    </w:p>
    <w:p>
      <w:pPr>
        <w:spacing w:after="80"/>
      </w:pPr>
      <w:r>
        <w:rPr>
          <w:b/>
        </w:rPr>
        <w:t>4 · Total Debt — la diferencia mayor del balance:</w:t>
      </w:r>
      <w:r>
        <w:t xml:space="preserve"> Catalaxia 144.559</w:t>
      </w:r>
    </w:p>
    <w:p>
      <w:pPr>
        <w:spacing w:after="80"/>
      </w:pPr>
      <w:r>
        <w:t>(71.079 + 73.480) vs TIKR 86.550. Los códigos 2322200 y 2312300 agregan más</w:t>
      </w:r>
    </w:p>
    <w:p>
      <w:pPr>
        <w:spacing w:after="80"/>
      </w:pPr>
      <w:r>
        <w:t>que la deuda financiera de TIKR, y arrastran a Net Debt, Debt/Equity,</w:t>
      </w:r>
    </w:p>
    <w:p>
      <w:pPr>
        <w:spacing w:after="80"/>
      </w:pPr>
      <w:r>
        <w:t>Debt/Capital, Debt/EBITDA y Net Debt/EBITDA.</w:t>
      </w:r>
    </w:p>
    <w:p>
      <w:pPr>
        <w:spacing w:after="80"/>
      </w:pPr>
      <w:r>
        <w:rPr>
          <w:b/>
        </w:rPr>
        <w:t>5 · Net Change in Cash:</w:t>
      </w:r>
      <w:r>
        <w:t xml:space="preserve"> </w:t>
      </w:r>
      <w:r>
        <w:rPr>
          <w:rFonts w:ascii="Consolas" w:hAnsi="Consolas"/>
          <w:sz w:val="18"/>
        </w:rPr>
        <w:t>CFO+CFI+CFF = −12.029 = CashFlowNeto</w:t>
      </w:r>
      <w:r>
        <w:t xml:space="preserve"> de</w:t>
      </w:r>
    </w:p>
    <w:p>
      <w:pPr>
        <w:spacing w:after="80"/>
      </w:pPr>
      <w:r>
        <w:t xml:space="preserve">Catalaxia; </w:t>
      </w:r>
      <w:r>
        <w:rPr>
          <w:rFonts w:ascii="Consolas" w:hAnsi="Consolas"/>
          <w:sz w:val="18"/>
        </w:rPr>
        <w:t>−12.029 + ajuste cambiario (−32.698) = −44.727</w:t>
      </w:r>
      <w:r>
        <w:t xml:space="preserve"> = Net Change TIKR.</w:t>
      </w:r>
    </w:p>
    <w:p>
      <w:pPr>
        <w:spacing w:after="80"/>
      </w:pPr>
      <w:r>
        <w:rPr>
          <w:b/>
        </w:rPr>
        <w:t>Catalaxia excluye el ajuste cambiario del subtotal; TIKR lo incluye.</w:t>
      </w:r>
      <w:r>
        <w:t xml:space="preserve"> El</w:t>
      </w:r>
    </w:p>
    <w:p>
      <w:pPr>
        <w:spacing w:after="80"/>
      </w:pPr>
      <w:r>
        <w:t>ajuste se deriva por diferencia, exacto.</w:t>
      </w:r>
    </w:p>
    <w:p>
      <w:pPr>
        <w:spacing w:after="80"/>
      </w:pPr>
      <w:r>
        <w:rPr>
          <w:b/>
        </w:rPr>
        <w:t>6 · Cash Beginning y el factor 1,3155:</w:t>
      </w:r>
      <w:r>
        <w:t xml:space="preserve"> Catalaxia tiene el cierre 2024 en</w:t>
      </w:r>
    </w:p>
    <w:p>
      <w:pPr>
        <w:spacing w:after="80"/>
      </w:pPr>
      <w:r>
        <w:t xml:space="preserve">moneda de diciembre de 2024; TIKR usa el comparativo </w:t>
      </w:r>
      <w:r>
        <w:rPr>
          <w:b/>
        </w:rPr>
        <w:t>re-expresado</w:t>
      </w:r>
      <w:r>
        <w:t xml:space="preserve"> a moneda</w:t>
      </w:r>
    </w:p>
    <w:p>
      <w:pPr>
        <w:spacing w:after="80"/>
      </w:pPr>
      <w:r>
        <w:t xml:space="preserve">de diciembre de 2025. 160.859 / 122.280 = </w:t>
      </w:r>
      <w:r>
        <w:rPr>
          <w:b/>
        </w:rPr>
        <w:t>1,3155</w:t>
      </w:r>
      <w:r>
        <w:t xml:space="preserve"> → el ROE (14,80 %) solo</w:t>
      </w:r>
    </w:p>
    <w:p>
      <w:pPr>
        <w:spacing w:after="80"/>
      </w:pPr>
      <w:r>
        <w:t>reproduce re-expresando el patrimonio de apertura. **Lo que falta no es la</w:t>
      </w:r>
    </w:p>
    <w:p>
      <w:pPr>
        <w:spacing w:after="80"/>
      </w:pPr>
      <w:r>
        <w:t>fórmula: es el comparativo re-expresado.** El defecto está cuantificado ahora.</w:t>
      </w:r>
    </w:p>
    <w:p>
      <w:pPr>
        <w:spacing w:after="80"/>
      </w:pPr>
      <w:r>
        <w:rPr>
          <w:b/>
        </w:rPr>
        <w:t>7 · Dos definiciones de TIKR que no se pudieron verificar</w:t>
      </w:r>
      <w:r>
        <w:t xml:space="preserve"> — ROA 8,3 % y</w:t>
      </w:r>
    </w:p>
    <w:p>
      <w:pPr>
        <w:spacing w:after="80"/>
      </w:pPr>
      <w:r>
        <w:t>Operating Income Margin 10,9 % (ninguna variante los reproduce). **No se</w:t>
      </w:r>
    </w:p>
    <w:p>
      <w:pPr>
        <w:spacing w:after="80"/>
      </w:pPr>
      <w:r>
        <w:t>inventó una definición para cerrarlos.** Además, TIKR es inconsistente consigo</w:t>
      </w:r>
    </w:p>
    <w:p>
      <w:pPr>
        <w:spacing w:after="80"/>
      </w:pPr>
      <w:r>
        <w:t xml:space="preserve">mismo: usa saldo </w:t>
      </w:r>
      <w:r>
        <w:rPr>
          <w:i/>
        </w:rPr>
        <w:t>promedio</w:t>
      </w:r>
      <w:r>
        <w:t xml:space="preserve"> en el ROE y saldo </w:t>
      </w:r>
      <w:r>
        <w:rPr>
          <w:i/>
        </w:rPr>
        <w:t>de cierre</w:t>
      </w:r>
      <w:r>
        <w:t xml:space="preserve"> en el Asset Turnover.</w:t>
      </w:r>
    </w:p>
    <w:p>
      <w:pPr>
        <w:spacing w:after="80"/>
      </w:pPr>
      <w:r>
        <w:rPr>
          <w:b/>
        </w:rPr>
        <w:t>8 · Segmentos:</w:t>
      </w:r>
      <w:r>
        <w:t xml:space="preserve"> 10 de 18 exactos. </w:t>
      </w:r>
      <w:r>
        <w:rPr>
          <w:rFonts w:ascii="Consolas" w:hAnsi="Consolas"/>
          <w:sz w:val="18"/>
        </w:rPr>
        <w:t>Segment Total</w:t>
      </w:r>
      <w:r>
        <w:t xml:space="preserve"> = CONSOLIDADO;</w:t>
      </w:r>
    </w:p>
    <w:p>
      <w:pPr>
        <w:spacing w:after="80"/>
      </w:pPr>
      <w:r>
        <w:rPr>
          <w:rFonts w:ascii="Consolas" w:hAnsi="Consolas"/>
          <w:sz w:val="18"/>
        </w:rPr>
        <w:t>MetroGAS Distribution</w:t>
      </w:r>
      <w:r>
        <w:t xml:space="preserve"> = INDIVIDUAL; MetroENERGY y eliminaciones solo son</w:t>
      </w:r>
    </w:p>
    <w:p>
      <w:pPr>
        <w:spacing w:after="80"/>
      </w:pPr>
      <w:r>
        <w:t xml:space="preserve">derivables </w:t>
      </w:r>
      <w:r>
        <w:rPr>
          <w:b/>
        </w:rPr>
        <w:t>en conjunto</w:t>
      </w:r>
      <w:r>
        <w:t xml:space="preserve"> (CONSOLIDADO − INDIVIDUAL).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Paso 4 · La verificación no es opcional</w:t>
      </w:r>
    </w:p>
    <w:p>
      <w:pPr>
        <w:pStyle w:val="ListBullet"/>
      </w:pPr>
      <w:r>
        <w:rPr>
          <w:b/>
        </w:rPr>
        <w:t>Auditoría independiente</w:t>
      </w:r>
      <w:r>
        <w:t xml:space="preserve"> </w:t>
      </w:r>
      <w:r>
        <w:rPr>
          <w:rFonts w:ascii="Consolas" w:hAnsi="Consolas"/>
          <w:sz w:val="18"/>
        </w:rPr>
        <w:t>c4_auditoria_metr_tikr.py</w:t>
      </w:r>
      <w:r>
        <w:t>: 22 facts + 8</w:t>
      </w:r>
    </w:p>
    <w:p>
      <w:pPr>
        <w:spacing w:after="80"/>
      </w:pPr>
      <w:r>
        <w:t xml:space="preserve">  identidades + 3 márgenes, </w:t>
      </w:r>
      <w:r>
        <w:rPr>
          <w:b/>
        </w:rPr>
        <w:t>0 fallas</w:t>
      </w:r>
      <w:r>
        <w:t>. No importa el adaptador ni el módulo</w:t>
      </w:r>
    </w:p>
    <w:p>
      <w:pPr>
        <w:spacing w:after="80"/>
      </w:pPr>
      <w:r>
        <w:t xml:space="preserve">  semántico: tiene su propio parser del RAW y re-verifica desde el archivo</w:t>
      </w:r>
    </w:p>
    <w:p>
      <w:pPr>
        <w:spacing w:after="80"/>
      </w:pPr>
      <w:r>
        <w:t xml:space="preserve">  (SHA-256, número impreso, escala). El auditor encontró y corrigió un error de</w:t>
      </w:r>
    </w:p>
    <w:p>
      <w:pPr>
        <w:spacing w:after="80"/>
      </w:pPr>
      <w:r>
        <w:t xml:space="preserve">  la propia comparación (márgenes de distinto perímetro).</w:t>
      </w:r>
    </w:p>
    <w:p>
      <w:pPr>
        <w:pStyle w:val="ListBullet"/>
      </w:pPr>
      <w:r>
        <w:rPr>
          <w:b/>
        </w:rPr>
        <w:t>Mutaciones adversariales</w:t>
      </w:r>
      <w:r>
        <w:t xml:space="preserve"> (</w:t>
      </w:r>
      <w:r>
        <w:rPr>
          <w:rFonts w:ascii="Consolas" w:hAnsi="Consolas"/>
          <w:sz w:val="18"/>
        </w:rPr>
        <w:t>tests/test_metr_tikr_2025.py</w:t>
      </w:r>
      <w:r>
        <w:t>): las 10</w:t>
      </w:r>
    </w:p>
    <w:p>
      <w:pPr>
        <w:spacing w:after="80"/>
      </w:pPr>
      <w:r>
        <w:t xml:space="preserve">  mutaciones (valor, unidad, escala, período, perímetro, entidad, SHA, num/den,</w:t>
      </w:r>
    </w:p>
    <w:p>
      <w:pPr>
        <w:spacing w:after="80"/>
      </w:pPr>
      <w:r>
        <w:t xml:space="preserve">  atribución, documento equivocado) </w:t>
      </w:r>
      <w:r>
        <w:rPr>
          <w:b/>
        </w:rPr>
        <w:t>fallan donde deben</w:t>
      </w:r>
      <w:r>
        <w:t>.</w:t>
      </w:r>
    </w:p>
    <w:p>
      <w:pPr>
        <w:pStyle w:val="ListBullet"/>
      </w:pPr>
      <w:r>
        <w:rPr>
          <w:b/>
        </w:rPr>
        <w:t>Idempotencia y regresión:</w:t>
      </w:r>
      <w:r>
        <w:t xml:space="preserve"> 3 matrices con </w:t>
      </w:r>
      <w:r>
        <w:rPr>
          <w:rFonts w:ascii="Consolas" w:hAnsi="Consolas"/>
          <w:sz w:val="18"/>
        </w:rPr>
        <w:t>sha256</w:t>
      </w:r>
      <w:r>
        <w:t xml:space="preserve"> idéntico en 2ª corrida;</w:t>
      </w:r>
    </w:p>
    <w:p>
      <w:pPr>
        <w:spacing w:after="80"/>
      </w:pPr>
      <w:r>
        <w:t xml:space="preserve">  suite completa 378 passed · 3 failed (F-038, preexistentes) · 1 skipped; el</w:t>
      </w:r>
    </w:p>
    <w:p>
      <w:pPr>
        <w:spacing w:after="80"/>
      </w:pPr>
      <w:r>
        <w:t xml:space="preserve">  proceso es de solo lectura — </w:t>
      </w:r>
      <w:r>
        <w:rPr>
          <w:b/>
        </w:rPr>
        <w:t>no escribió una fila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GATE de la Parte XIV</w:t>
      </w:r>
    </w:p>
    <w:p>
      <w:pPr>
        <w:pStyle w:val="CodeBlock"/>
        <w:ind w:left="288"/>
      </w:pPr>
      <w:r>
        <w:t>METR_TIKR_2025_GATE = PASS_WITH_WARNINGS</w:t>
      </w:r>
    </w:p>
    <w:p>
      <w:pPr>
        <w:spacing w:after="80"/>
      </w:pPr>
      <w:r>
        <w:rPr>
          <w:b/>
        </w:rPr>
        <w:t>PASS</w:t>
      </w:r>
      <w:r>
        <w:t xml:space="preserve"> porque 51/152 coinciden (33,6 %), las diferencias explicadas cierran</w:t>
      </w:r>
    </w:p>
    <w:p>
      <w:pPr>
        <w:spacing w:after="80"/>
      </w:pPr>
      <w:r>
        <w:t xml:space="preserve">con aritmética exacta, hay </w:t>
      </w:r>
      <w:r>
        <w:rPr>
          <w:b/>
        </w:rPr>
        <w:t>cero errores de Catalaxia</w:t>
      </w:r>
      <w:r>
        <w:t>, el auditor</w:t>
      </w:r>
    </w:p>
    <w:p>
      <w:pPr>
        <w:spacing w:after="80"/>
      </w:pPr>
      <w:r>
        <w:t>independiente reproduce cada match, las 10 mutaciones fallan, y SEC/CNV/</w:t>
      </w:r>
    </w:p>
    <w:p>
      <w:pPr>
        <w:spacing w:after="80"/>
      </w:pPr>
      <w:r>
        <w:rPr>
          <w:rFonts w:ascii="Consolas" w:hAnsi="Consolas"/>
          <w:sz w:val="18"/>
        </w:rPr>
        <w:t>catalaxia</w:t>
      </w:r>
      <w:r>
        <w:t xml:space="preserve"> quedaron intactos. </w:t>
      </w:r>
      <w:r>
        <w:rPr>
          <w:b/>
        </w:rPr>
        <w:t>WITH_WARNINGS</w:t>
      </w:r>
      <w:r>
        <w:t xml:space="preserve"> porque el 43,4 % de la</w:t>
      </w:r>
    </w:p>
    <w:p>
      <w:pPr>
        <w:spacing w:after="80"/>
      </w:pPr>
      <w:r>
        <w:t>superficie TIKR no tiene insumo, dos definiciones de TIKR quedaron sin</w:t>
      </w:r>
    </w:p>
    <w:p>
      <w:pPr>
        <w:spacing w:after="80"/>
      </w:pPr>
      <w:r>
        <w:t>verificar y el Operating Income solo se explicó a medias.</w:t>
      </w:r>
    </w:p>
    <w:p>
      <w:pPr>
        <w:spacing w:after="80"/>
      </w:pPr>
      <w:r>
        <w:rPr>
          <w:b/>
        </w:rPr>
        <w:t>Lectura que responde la pregunta del ciclo:</w:t>
      </w:r>
      <w:r>
        <w:t xml:space="preserve"> Catalaxia reproduce hoy</w:t>
      </w:r>
    </w:p>
    <w:p>
      <w:pPr>
        <w:spacing w:after="80"/>
      </w:pPr>
      <w:r>
        <w:rPr>
          <w:b/>
        </w:rPr>
        <w:t>un tercio</w:t>
      </w:r>
      <w:r>
        <w:t xml:space="preserve"> de la superficie TIKR de METR desde evidencia primaria de la CNV,</w:t>
      </w:r>
    </w:p>
    <w:p>
      <w:pPr>
        <w:spacing w:after="80"/>
      </w:pPr>
      <w:r>
        <w:t xml:space="preserve">y explica con aritmética exacta </w:t>
      </w:r>
      <w:r>
        <w:rPr>
          <w:b/>
        </w:rPr>
        <w:t>otro quinto</w:t>
      </w:r>
      <w:r>
        <w:t>. El 43 % restante no es un</w:t>
      </w:r>
    </w:p>
    <w:p>
      <w:pPr>
        <w:spacing w:after="80"/>
      </w:pPr>
      <w:r>
        <w:t>problema de modelo — es desglose que no está ingestado.</w:t>
      </w:r>
    </w:p>
    <w:p>
      <w:pPr>
        <w:spacing w:after="80"/>
      </w:pPr>
      <w:r>
        <w:rPr>
          <w:b/>
        </w:rPr>
        <w:t>Pendiente para generalizar:</w:t>
      </w:r>
      <w:r>
        <w:t xml:space="preserve"> el único benchmark que existe es el de METR</w:t>
      </w:r>
    </w:p>
    <w:p>
      <w:pPr>
        <w:spacing w:after="80"/>
      </w:pPr>
      <w:r>
        <w:t>(N-8) y el procedimiento vive en el worktree. Homologar no es "hacer que las</w:t>
      </w:r>
    </w:p>
    <w:p>
      <w:pPr>
        <w:spacing w:after="80"/>
      </w:pPr>
      <w:r>
        <w:t>cifras coincidan": es **producir el mismo estado por un camino independiente</w:t>
      </w:r>
    </w:p>
    <w:p>
      <w:pPr>
        <w:spacing w:after="80"/>
      </w:pPr>
      <w:r>
        <w:t>y clasificar la diferencia**.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</w:t>
      </w:r>
      <w:r>
        <w:rPr>
          <w:rFonts w:ascii="Consolas" w:hAnsi="Consolas"/>
          <w:sz w:val="18"/>
        </w:rPr>
        <w:t>N-8</w:t>
      </w:r>
      <w:r>
        <w:t xml:space="preserve">: no hay benchmarks distintos de TIKR. </w:t>
      </w:r>
      <w:r>
        <w:rPr>
          <w:rFonts w:ascii="Consolas" w:hAnsi="Consolas"/>
          <w:sz w:val="18"/>
        </w:rPr>
        <w:t>C-4</w:t>
      </w:r>
      <w:r>
        <w:t>: tramo C de CNV +</w:t>
      </w:r>
    </w:p>
    <w:p>
      <w:pPr>
        <w:spacing w:after="80"/>
      </w:pPr>
      <w:r>
        <w:t>homologación TIKR, pendiente de resolución D-1.*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MANUAL_PART_XIV · Homologacion TIKR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MANUAL_PART_XIV · Homologacion TIKR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