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XVI — GOLDEN RUN</w:t>
      </w:r>
    </w:p>
    <w:p>
      <w:pPr>
        <w:spacing w:after="200"/>
      </w:pPr>
      <w:r>
        <w:rPr>
          <w:b/>
          <w:sz w:val="22"/>
        </w:rPr>
        <w:t>Identificación: Golden Run</w:t>
      </w:r>
    </w:p>
    <w:p>
      <w:pPr>
        <w:spacing w:after="80"/>
      </w:pPr>
      <w:r>
        <w:t xml:space="preserve">Un </w:t>
      </w:r>
      <w:r>
        <w:rPr>
          <w:b/>
        </w:rPr>
        <w:t>Golden Run</w:t>
      </w:r>
      <w:r>
        <w:t xml:space="preserve"> es la ejecución completa y aislada del pipeline sobre un</w:t>
      </w:r>
    </w:p>
    <w:p>
      <w:pPr>
        <w:spacing w:after="80"/>
      </w:pPr>
      <w:r>
        <w:t>piloto, con estado explícito por artefacto, verificación independiente y un</w:t>
      </w:r>
    </w:p>
    <w:p>
      <w:pPr>
        <w:spacing w:after="80"/>
      </w:pPr>
      <w:r>
        <w:t>veredicto. **No es "correrlo y que termine": es correrlo y poder probar qué</w:t>
      </w:r>
    </w:p>
    <w:p>
      <w:pPr>
        <w:spacing w:after="80"/>
      </w:pPr>
      <w:r>
        <w:t>pasó con cada documento.**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docs/runbooks/appendices/GOLDEN_RUNS.md</w:t>
      </w:r>
      <w:r>
        <w:t xml:space="preserve"> completo;</w:t>
      </w:r>
    </w:p>
    <w:p>
      <w:pPr>
        <w:spacing w:after="80"/>
      </w:pPr>
      <w:r>
        <w:rPr>
          <w:rFonts w:ascii="Consolas" w:hAnsi="Consolas"/>
          <w:sz w:val="18"/>
        </w:rPr>
        <w:t>outputs/docs/fase_cnv/METROGAS_GOLDEN_RUN_REPORT.md</w:t>
      </w:r>
      <w:r>
        <w:t xml:space="preserve"> completo;</w:t>
      </w:r>
    </w:p>
    <w:p>
      <w:pPr>
        <w:spacing w:after="80"/>
      </w:pPr>
      <w:r>
        <w:rPr>
          <w:rFonts w:ascii="Consolas" w:hAnsi="Consolas"/>
          <w:sz w:val="18"/>
        </w:rPr>
        <w:t>outputs/docs/fase_cnv/METR_FY2024_E2E_REPORT.md</w:t>
      </w:r>
      <w:r>
        <w:t xml:space="preserve"> y</w:t>
      </w:r>
    </w:p>
    <w:p>
      <w:pPr>
        <w:spacing w:after="80"/>
      </w:pPr>
      <w:r>
        <w:rPr>
          <w:rFonts w:ascii="Consolas" w:hAnsi="Consolas"/>
          <w:sz w:val="18"/>
        </w:rPr>
        <w:t>METR_FY2024_SNAPSHOT.json</w:t>
      </w:r>
      <w:r>
        <w:t xml:space="preserve"> (digests reproducibles).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El procedimiento estándar</w:t>
      </w:r>
    </w:p>
    <w:p>
      <w:pPr>
        <w:pStyle w:val="ListNumber"/>
      </w:pPr>
      <w:r>
        <w:rPr>
          <w:b/>
        </w:rPr>
        <w:t>Aislar el entorno.</w:t>
      </w:r>
      <w:r>
        <w:t xml:space="preserve"> Fixture de base de datos propio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metr_golden.db</w:t>
      </w:r>
      <w:r>
        <w:t xml:space="preserve"> / base </w:t>
      </w:r>
      <w:r>
        <w:rPr>
          <w:rFonts w:ascii="Consolas" w:hAnsi="Consolas"/>
          <w:sz w:val="18"/>
        </w:rPr>
        <w:t>metrgolden</w:t>
      </w:r>
      <w:r>
        <w:t xml:space="preserve">@5433, </w:t>
      </w:r>
      <w:r>
        <w:rPr>
          <w:rFonts w:ascii="Consolas" w:hAnsi="Consolas"/>
          <w:sz w:val="18"/>
        </w:rPr>
        <w:t>kogolden</w:t>
      </w:r>
      <w:r>
        <w:t>, etc.). Nunca la</w:t>
      </w:r>
    </w:p>
    <w:p>
      <w:pPr>
        <w:spacing w:after="80"/>
      </w:pPr>
      <w:r>
        <w:t xml:space="preserve">   base homologada ni producción.</w:t>
      </w:r>
    </w:p>
    <w:p>
      <w:pPr>
        <w:pStyle w:val="ListNumber"/>
      </w:pPr>
      <w:r>
        <w:rPr>
          <w:b/>
        </w:rPr>
        <w:t>Verificar el entorno</w:t>
      </w:r>
      <w:r>
        <w:t xml:space="preserve"> → Parte II: puerto </w:t>
      </w:r>
      <w:r>
        <w:rPr>
          <w:rFonts w:ascii="Consolas" w:hAnsi="Consolas"/>
          <w:sz w:val="18"/>
        </w:rPr>
        <w:t>5433</w:t>
      </w:r>
      <w:r>
        <w:t xml:space="preserve"> (nunca 5432),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EXT-010</w:t>
      </w:r>
      <w:r>
        <w:t xml:space="preserve">, </w:t>
      </w:r>
      <w:r>
        <w:rPr>
          <w:rFonts w:ascii="Consolas" w:hAnsi="Consolas"/>
          <w:sz w:val="18"/>
        </w:rPr>
        <w:t>s.describe()</w:t>
      </w:r>
      <w:r>
        <w:t xml:space="preserve"> con </w:t>
      </w:r>
      <w:r>
        <w:rPr>
          <w:rFonts w:ascii="Consolas" w:hAnsi="Consolas"/>
          <w:sz w:val="18"/>
        </w:rPr>
        <w:t>prod=False</w:t>
      </w:r>
      <w:r>
        <w:t xml:space="preserve">, producción en solo </w:t>
      </w:r>
      <w:r>
        <w:rPr>
          <w:rFonts w:ascii="Consolas" w:hAnsi="Consolas"/>
          <w:sz w:val="18"/>
        </w:rPr>
        <w:t>public</w:t>
      </w:r>
      <w:r>
        <w:t>.</w:t>
      </w:r>
    </w:p>
    <w:p>
      <w:pPr>
        <w:pStyle w:val="ListNumber"/>
      </w:pPr>
      <w:r>
        <w:rPr>
          <w:b/>
        </w:rPr>
        <w:t>Verificar la identidad</w:t>
      </w:r>
      <w:r>
        <w:t xml:space="preserve"> → S01 / tramo CNV A: la entidad existe y no se</w:t>
      </w:r>
    </w:p>
    <w:p>
      <w:pPr>
        <w:spacing w:after="80"/>
      </w:pPr>
      <w:r>
        <w:t xml:space="preserve">   inventa ningún ancla.</w:t>
      </w:r>
    </w:p>
    <w:p>
      <w:pPr>
        <w:pStyle w:val="ListNumber"/>
      </w:pPr>
      <w:r>
        <w:rPr>
          <w:b/>
        </w:rPr>
        <w:t>Correr la cadena</w:t>
      </w:r>
      <w:r>
        <w:t xml:space="preserve"> </w:t>
      </w:r>
      <w:r>
        <w:rPr>
          <w:rFonts w:ascii="Consolas" w:hAnsi="Consolas"/>
          <w:sz w:val="18"/>
        </w:rPr>
        <w:t>S00 → S01 → S02 → S03 → S04</w:t>
      </w:r>
      <w:r>
        <w:t xml:space="preserve"> (SEC) o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C3 → job5 → normalización → adaptador canónico</w:t>
      </w:r>
      <w:r>
        <w:t xml:space="preserve"> (CNV).</w:t>
      </w:r>
    </w:p>
    <w:p>
      <w:pPr>
        <w:pStyle w:val="ListNumber"/>
      </w:pPr>
      <w:r>
        <w:rPr>
          <w:b/>
        </w:rPr>
        <w:t>Modelo y ratios</w:t>
      </w:r>
      <w:r>
        <w:t>: Financial Model (si está en rama) y ratio engine,</w:t>
      </w:r>
    </w:p>
    <w:p>
      <w:pPr>
        <w:spacing w:after="80"/>
      </w:pPr>
      <w:r>
        <w:t xml:space="preserve">   sin persistir primero.</w:t>
      </w:r>
    </w:p>
    <w:p>
      <w:pPr>
        <w:pStyle w:val="ListNumber"/>
      </w:pPr>
      <w:r>
        <w:rPr>
          <w:b/>
        </w:rPr>
        <w:t>Provenance</w:t>
      </w:r>
      <w:r>
        <w:t xml:space="preserve">: por cada fact, </w:t>
      </w:r>
      <w:r>
        <w:rPr>
          <w:rFonts w:ascii="Consolas" w:hAnsi="Consolas"/>
          <w:sz w:val="18"/>
        </w:rPr>
        <w:t>hecho → documento → RAW → SHA256</w:t>
      </w:r>
      <w:r>
        <w:t>.</w:t>
      </w:r>
    </w:p>
    <w:p>
      <w:pPr>
        <w:pStyle w:val="ListNumber"/>
      </w:pPr>
      <w:r>
        <w:rPr>
          <w:b/>
        </w:rPr>
        <w:t>Segunda (y tercera) corrida</w:t>
      </w:r>
      <w:r>
        <w:t xml:space="preserve">: misma entrada → mismo </w:t>
      </w:r>
      <w:r>
        <w:rPr>
          <w:rFonts w:ascii="Consolas" w:hAnsi="Consolas"/>
          <w:sz w:val="18"/>
        </w:rPr>
        <w:t>hash_out</w:t>
      </w:r>
      <w:r>
        <w:t>, 0</w:t>
      </w:r>
    </w:p>
    <w:p>
      <w:pPr>
        <w:spacing w:after="80"/>
      </w:pPr>
      <w:r>
        <w:t xml:space="preserve">   inserts, digests idénticos.</w:t>
      </w:r>
    </w:p>
    <w:p>
      <w:pPr>
        <w:pStyle w:val="ListNumber"/>
      </w:pPr>
      <w:r>
        <w:rPr>
          <w:b/>
        </w:rPr>
        <w:t>Comparar hashes y conteos</w:t>
      </w:r>
      <w:r>
        <w:t xml:space="preserve"> antes/después, incluida la huella de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data/screener.db</w:t>
      </w:r>
      <w:r>
        <w:t xml:space="preserve"> y de producción.</w:t>
      </w:r>
    </w:p>
    <w:p>
      <w:pPr>
        <w:pStyle w:val="ListNumber"/>
      </w:pPr>
      <w:r>
        <w:rPr>
          <w:b/>
        </w:rPr>
        <w:t>Auditar por un camino independiente</w:t>
      </w:r>
      <w:r>
        <w:t xml:space="preserve"> (parser y motor propios), y</w:t>
      </w:r>
    </w:p>
    <w:p>
      <w:pPr>
        <w:spacing w:after="80"/>
      </w:pPr>
      <w:r>
        <w:t xml:space="preserve">   </w:t>
      </w:r>
      <w:r>
        <w:rPr>
          <w:b/>
        </w:rPr>
        <w:t>mutar</w:t>
      </w:r>
      <w:r>
        <w:t xml:space="preserve"> un valor para demostrar que la verificación lo detecta.</w:t>
      </w:r>
    </w:p>
    <w:p>
      <w:pPr>
        <w:pStyle w:val="ListNumber"/>
      </w:pPr>
      <w:r>
        <w:rPr>
          <w:b/>
        </w:rPr>
        <w:t>Escribir el reporte</w:t>
      </w:r>
      <w:r>
        <w:t xml:space="preserve"> con el veredicto y los entregables.</w:t>
      </w:r>
    </w:p>
    <w:p>
      <w:pPr>
        <w:spacing w:after="80"/>
      </w:pPr>
      <w:r>
        <w:rPr>
          <w:b/>
        </w:rPr>
        <w:t>Caso YPF, los comandos en orden</w:t>
      </w:r>
      <w:r>
        <w:t xml:space="preserve"> (</w:t>
      </w:r>
      <w:r>
        <w:rPr>
          <w:rFonts w:ascii="Consolas" w:hAnsi="Consolas"/>
          <w:sz w:val="18"/>
        </w:rPr>
        <w:t>GOLDEN_RUNS.md</w:t>
      </w:r>
      <w:r>
        <w:t xml:space="preserve"> §1):</w:t>
      </w:r>
    </w:p>
    <w:p>
      <w:pPr>
        <w:spacing w:after="80"/>
      </w:pPr>
      <w:r>
        <w:rPr>
          <w:rFonts w:ascii="Consolas" w:hAnsi="Consolas"/>
          <w:sz w:val="18"/>
        </w:rPr>
        <w:t>ENGINE_DB_PORT=5433</w:t>
      </w:r>
      <w:r>
        <w:t xml:space="preserve"> para S00, S01, </w:t>
      </w:r>
      <w:r>
        <w:rPr>
          <w:rFonts w:ascii="Consolas" w:hAnsi="Consolas"/>
          <w:sz w:val="18"/>
        </w:rPr>
        <w:t>s02_fetch_ypf.py</w:t>
      </w:r>
      <w:r>
        <w:t xml:space="preserve">, </w:t>
      </w:r>
      <w:r>
        <w:rPr>
          <w:rFonts w:ascii="Consolas" w:hAnsi="Consolas"/>
          <w:sz w:val="18"/>
        </w:rPr>
        <w:t>s03_parse_ypf.py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S04 --dry-run</w:t>
      </w:r>
      <w:r>
        <w:t xml:space="preserve"> (obligatorio) y </w:t>
      </w:r>
      <w:r>
        <w:rPr>
          <w:rFonts w:ascii="Consolas" w:hAnsi="Consolas"/>
          <w:sz w:val="18"/>
        </w:rPr>
        <w:t>S04</w:t>
      </w:r>
      <w:r>
        <w:t xml:space="preserve">, y </w:t>
      </w:r>
      <w:r>
        <w:rPr>
          <w:rFonts w:ascii="Consolas" w:hAnsi="Consolas"/>
          <w:sz w:val="18"/>
        </w:rPr>
        <w:t>ratio_engine.py --cik 0000904851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Qué se exige de un Golden Run</w:t>
      </w:r>
    </w:p>
    <w:p>
      <w:pPr>
        <w:spacing w:after="80"/>
      </w:pPr>
      <w:r>
        <w:rPr>
          <w:b/>
        </w:rPr>
        <w:t>La verificación determinística</w:t>
      </w:r>
      <w:r>
        <w:t xml:space="preserve"> (no los conteos, que dependen de cuántos</w:t>
      </w:r>
    </w:p>
    <w:p>
      <w:pPr>
        <w:spacing w:after="80"/>
      </w:pPr>
      <w:r>
        <w:t>filings tenga EDGAR hoy):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señal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 exigido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los gates de las etapas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**6/6 en `PASS`**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`rows_failed`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`filings_rejected`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segunda corrida de S03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**checkpoint hit + el mismo `hash_out`**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`hash_in` / `hash_out` impresos e iguales al de S03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**intacta** (`public` y nada más)</w:t>
            </w:r>
          </w:p>
        </w:tc>
      </w:tr>
    </w:tbl>
    <w:p/>
    <w:p>
      <w:pPr>
        <w:spacing w:after="80"/>
      </w:pPr>
      <w:r>
        <w:rPr>
          <w:b/>
        </w:rPr>
        <w:t>`RUNBOOK GAP (RG-01):`</w:t>
      </w:r>
      <w:r>
        <w:t xml:space="preserve"> no hay valores canónicos publicados para los</w:t>
      </w:r>
    </w:p>
    <w:p>
      <w:pPr>
        <w:spacing w:after="80"/>
      </w:pPr>
      <w:r>
        <w:t>conteos (filings de YPF en EDGAR crecen con el tiempo). Lo que sí es</w:t>
      </w:r>
    </w:p>
    <w:p>
      <w:pPr>
        <w:spacing w:after="80"/>
      </w:pPr>
      <w:r>
        <w:t>determinístico es lo de arriba — se exige eso, no un número de filas.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Casos existentes — qué esperar de cada uno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veredicto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referencia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**YPF** (SEC)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completo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`GOLDEN_RUNS.md` §1: 6 gates PASS, primer uso del pipeline fuera de un fixture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**KO** (SEC, US-GAAP puro)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golden run en `kogolden`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 (6 hallazgos pendientes, ver Parte XIII)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primera generalización fuera del golden case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**METR** (CNV)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golden run CNV completo (worktree)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`METROGAS_GOLDEN_RUN_REPORT.md`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 FY2024** (E2E certificado, worktree)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snapshot certificado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`PASS` con salvedad de origen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`METR_FY2024_E2E_REPORT.md` + digests en `METR_FY2024_SNAPSHOT.json`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 FY2025** (homologación TIKR)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comparación 152 métricas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Parte XIV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**METR 30/09/2024** (diagnóstico)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caso obligatorio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9/10 preguntas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Parte XV, `GOLDEN_RUNS.md` §3</w:t>
            </w:r>
          </w:p>
        </w:tc>
      </w:tr>
    </w:tbl>
    <w:p/>
    <w:p>
      <w:pPr>
        <w:spacing w:after="80"/>
      </w:pPr>
      <w:r>
        <w:rPr>
          <w:b/>
        </w:rPr>
        <w:t>El reporte de METR (referencia de estructura):</w:t>
      </w:r>
      <w:r>
        <w:t xml:space="preserve"> veredicto; resumen con 10</w:t>
      </w:r>
    </w:p>
    <w:p>
      <w:pPr>
        <w:spacing w:after="80"/>
      </w:pPr>
      <w:r>
        <w:t>métricas (`documentos con estado 286/286 · reconciliación cierra · SHA 286/286</w:t>
      </w:r>
    </w:p>
    <w:p>
      <w:pPr>
        <w:spacing w:after="80"/>
      </w:pPr>
      <w:r>
        <w:t>· hechos canónicos 2.795 · violaciones 0 · idempotencia 0 inserts · auditoría</w:t>
      </w:r>
    </w:p>
    <w:p>
      <w:pPr>
        <w:spacing w:after="80"/>
      </w:pPr>
      <w:r>
        <w:t>PASS · tests 18/18 · producción sin cambios`); census; provenance del RAW;</w:t>
      </w:r>
    </w:p>
    <w:p>
      <w:pPr>
        <w:spacing w:after="80"/>
      </w:pPr>
      <w:r>
        <w:t>extracción; semántica; canonical; ratios; auditoría independiente; tests;</w:t>
      </w:r>
    </w:p>
    <w:p>
      <w:pPr>
        <w:spacing w:after="80"/>
      </w:pPr>
      <w:r>
        <w:t>problemas encontrados; aislamiento; gate.</w:t>
      </w:r>
    </w:p>
    <w:p>
      <w:pPr>
        <w:spacing w:after="80"/>
      </w:pPr>
      <w:r>
        <w:rPr>
          <w:b/>
        </w:rPr>
        <w:t>El veredicto de METR, para calibrar:</w:t>
      </w:r>
      <w:r>
        <w:t xml:space="preserve"> </w:t>
      </w:r>
      <w:r>
        <w:rPr>
          <w:rFonts w:ascii="Consolas" w:hAnsi="Consolas"/>
          <w:sz w:val="18"/>
        </w:rPr>
        <w:t>PASS_WITH_WARNINGS</w:t>
      </w:r>
      <w:r>
        <w:t xml:space="preserve">,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8"/>
        </w:rPr>
        <w:t>PASS</w:t>
      </w:r>
      <w:r>
        <w:t xml:space="preserve"> —</w:t>
      </w:r>
    </w:p>
    <w:p>
      <w:pPr>
        <w:spacing w:after="80"/>
      </w:pPr>
      <w:r>
        <w:t>el criterio "ratios pasan donde existen inputs" falla (14/14 insumos</w:t>
      </w:r>
    </w:p>
    <w:p>
      <w:pPr>
        <w:spacing w:after="80"/>
      </w:pPr>
      <w:r>
        <w:t>disponibles, 0 calculados, porque el motor homologado excluye CNV por diseño),</w:t>
      </w:r>
    </w:p>
    <w:p>
      <w:pPr>
        <w:spacing w:after="80"/>
      </w:pPr>
      <w:r>
        <w:t xml:space="preserve">y </w:t>
      </w:r>
      <w:r>
        <w:rPr>
          <w:b/>
        </w:rPr>
        <w:t>no es `BLOCKED`</w:t>
      </w:r>
      <w:r>
        <w:t xml:space="preserve"> porque ninguna condición de integridad falla. Las tres</w:t>
      </w:r>
    </w:p>
    <w:p>
      <w:pPr>
        <w:spacing w:after="80"/>
      </w:pPr>
      <w:r>
        <w:t>advertencias en orden de impacto: P1 (el 79 % de las descargas no trajo el</w:t>
      </w:r>
    </w:p>
    <w:p>
      <w:pPr>
        <w:spacing w:after="80"/>
      </w:pPr>
      <w:r>
        <w:t>documento — el techo real de cobertura es 60 documentos, no 286), P4 (sin</w:t>
      </w:r>
    </w:p>
    <w:p>
      <w:pPr>
        <w:spacing w:after="80"/>
      </w:pPr>
      <w:r>
        <w:t>motor homologado CNV no hay ratios), P2 (dos hechos económicos existen en el</w:t>
      </w:r>
    </w:p>
    <w:p>
      <w:pPr>
        <w:spacing w:after="80"/>
      </w:pPr>
      <w:r>
        <w:t xml:space="preserve">RAW y no caben en el modelo: la PK económica de </w:t>
      </w:r>
      <w:r>
        <w:rPr>
          <w:rFonts w:ascii="Consolas" w:hAnsi="Consolas"/>
          <w:sz w:val="18"/>
        </w:rPr>
        <w:t>cnv_estados_v2</w:t>
      </w:r>
      <w:r>
        <w:t xml:space="preserve"> pierde</w:t>
      </w:r>
    </w:p>
    <w:p>
      <w:pPr>
        <w:spacing w:after="80"/>
      </w:pPr>
      <w:r>
        <w:t>ocurrencias).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 prueba que certifica un Golden Run</w:t>
      </w:r>
    </w:p>
    <w:p>
      <w:pPr>
        <w:spacing w:after="80"/>
      </w:pPr>
      <w:r>
        <w:t xml:space="preserve">Dos corridas de </w:t>
      </w:r>
      <w:r>
        <w:rPr>
          <w:b/>
        </w:rPr>
        <w:t>cualquier</w:t>
      </w:r>
      <w:r>
        <w:t xml:space="preserve"> etapa deben producir el mismo digest; dos</w:t>
      </w:r>
    </w:p>
    <w:p>
      <w:pPr>
        <w:spacing w:after="80"/>
      </w:pPr>
      <w:r>
        <w:t>corridas de todo el pipeline deben producir los mismos digests de las matrices</w:t>
      </w:r>
    </w:p>
    <w:p>
      <w:pPr>
        <w:spacing w:after="80"/>
      </w:pPr>
      <w:r>
        <w:t xml:space="preserve">de salida y </w:t>
      </w:r>
      <w:r>
        <w:rPr>
          <w:b/>
        </w:rPr>
        <w:t>0 inserts vigentes</w:t>
      </w:r>
      <w:r>
        <w:t>. Ejemplo documentado (METR canonical):</w:t>
      </w:r>
    </w:p>
    <w:p>
      <w:pPr>
        <w:pStyle w:val="CodeBlock"/>
        <w:ind w:left="288"/>
      </w:pPr>
      <w:r>
        <w:t>derived_metr  2795   63b9ce0e874153c4558e8c75acdaca45</w:t>
        <w:br/>
        <w:t>valores       2795   c5fd623fca726dd54f909f6b3b0bc177</w:t>
        <w:br/>
        <w:t>parsed_metr   2795   3d69ed07e07e059659f4116ca9d44630</w:t>
        <w:br/>
        <w:t>sec_intacto  133902  63629c0fc2ee76ad8038660c4815b443   ← SEC no se tocó</w:t>
      </w:r>
    </w:p>
    <w:p>
      <w:pPr>
        <w:spacing w:after="80"/>
      </w:pPr>
      <w:r>
        <w:rPr>
          <w:b/>
        </w:rPr>
        <w:t>Todo Golden Run termina con una auditoría independiente</w:t>
      </w:r>
      <w:r>
        <w:t xml:space="preserve"> (parser y motor</w:t>
      </w:r>
    </w:p>
    <w:p>
      <w:pPr>
        <w:spacing w:after="80"/>
      </w:pPr>
      <w:r>
        <w:t>propios, con su propia transcripción del plan de cuentas) y **con una mutación</w:t>
      </w:r>
    </w:p>
    <w:p>
      <w:pPr>
        <w:spacing w:after="80"/>
      </w:pPr>
      <w:r>
        <w:t>adversarial** que demuestre que el sistema detecta el cambio. El reporte de</w:t>
      </w:r>
    </w:p>
    <w:p>
      <w:pPr>
        <w:spacing w:after="80"/>
      </w:pPr>
      <w:r>
        <w:t xml:space="preserve">METR: </w:t>
      </w:r>
      <w:r>
        <w:rPr>
          <w:rFonts w:ascii="Consolas" w:hAnsi="Consolas"/>
          <w:sz w:val="18"/>
        </w:rPr>
        <w:t>c5_metr_golden_auditoria.py</w:t>
      </w:r>
      <w:r>
        <w:t xml:space="preserve">, 0 fallas, y </w:t>
      </w:r>
      <w:r>
        <w:rPr>
          <w:rFonts w:ascii="Consolas" w:hAnsi="Consolas"/>
          <w:sz w:val="18"/>
        </w:rPr>
        <w:t>tests/test_metr_golden_run.py</w:t>
      </w:r>
    </w:p>
    <w:p>
      <w:pPr>
        <w:spacing w:after="80"/>
      </w:pPr>
      <w:r>
        <w:t>18/18, donde la mutación del coverage guard rompe la reconciliación en los tres</w:t>
      </w:r>
    </w:p>
    <w:p>
      <w:pPr>
        <w:spacing w:after="80"/>
      </w:pPr>
      <w:r>
        <w:t>casos.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XVI</w:t>
      </w:r>
    </w:p>
    <w:p>
      <w:pPr>
        <w:spacing w:after="80"/>
      </w:pPr>
      <w:r>
        <w:t>Un Golden Run está bien hecho cuando: (1) se corrió en aislamiento; (2) cada</w:t>
      </w:r>
    </w:p>
    <w:p>
      <w:pPr>
        <w:spacing w:after="80"/>
      </w:pPr>
      <w:r>
        <w:t>documento tiene estado con motivo; (3) la reconciliación de cobertura cierra;</w:t>
      </w:r>
    </w:p>
    <w:p>
      <w:pPr>
        <w:spacing w:after="80"/>
      </w:pPr>
      <w:r>
        <w:t>(4) el SHA se recomputó y la provenance llega al archivo; (5) la segunda corrida</w:t>
      </w:r>
    </w:p>
    <w:p>
      <w:pPr>
        <w:spacing w:after="80"/>
      </w:pPr>
      <w:r>
        <w:t>da digests idénticos y 0 inserts; (6) la auditoría independiente no encontró</w:t>
      </w:r>
    </w:p>
    <w:p>
      <w:pPr>
        <w:spacing w:after="80"/>
      </w:pPr>
      <w:r>
        <w:t xml:space="preserve">fallas; (7) una mutación fue detectada; (8) producción y </w:t>
      </w:r>
      <w:r>
        <w:rPr>
          <w:rFonts w:ascii="Consolas" w:hAnsi="Consolas"/>
          <w:sz w:val="18"/>
        </w:rPr>
        <w:t>screener.db</w:t>
      </w:r>
      <w:r>
        <w:t xml:space="preserve"> quedaron</w:t>
      </w:r>
    </w:p>
    <w:p>
      <w:pPr>
        <w:spacing w:after="80"/>
      </w:pPr>
      <w:r>
        <w:t>intactos salvo el tramo que se está ejercitando; y (9) el veredicto se declara</w:t>
      </w:r>
    </w:p>
    <w:p>
      <w:pPr>
        <w:spacing w:after="80"/>
      </w:pPr>
      <w:r>
        <w:t xml:space="preserve">con </w:t>
      </w:r>
      <w:r>
        <w:rPr>
          <w:rFonts w:ascii="Consolas" w:hAnsi="Consolas"/>
          <w:sz w:val="18"/>
        </w:rPr>
        <w:t>PASS_WITH_WARNINGS</w:t>
      </w:r>
      <w:r>
        <w:t xml:space="preserve"> si algún criterio no se cumple — **se enumera, no se</w:t>
      </w:r>
    </w:p>
    <w:p>
      <w:pPr>
        <w:spacing w:after="80"/>
      </w:pPr>
      <w:r>
        <w:t>esconde**.</w:t>
      </w:r>
    </w:p>
    <w:p>
      <w:pPr>
        <w:spacing w:after="80"/>
      </w:pPr>
      <w:r>
        <w:rPr>
          <w:b/>
        </w:rPr>
        <w:t>`KNOWN_LIMITATION (L-4):`</w:t>
      </w:r>
      <w:r>
        <w:t xml:space="preserve"> no hay un gate agregado con exit code que</w:t>
      </w:r>
    </w:p>
    <w:p>
      <w:pPr>
        <w:spacing w:after="80"/>
      </w:pPr>
      <w:r>
        <w:t xml:space="preserve">automatice (3) y (5): se leen de los reportes. </w:t>
      </w:r>
      <w:r>
        <w:rPr>
          <w:rFonts w:ascii="Consolas" w:hAnsi="Consolas"/>
          <w:sz w:val="18"/>
        </w:rPr>
        <w:t>GOLDEN_RUNS.md</w:t>
      </w:r>
      <w:r>
        <w:t xml:space="preserve"> §1 advierte:</w:t>
      </w:r>
    </w:p>
    <w:p>
      <w:pPr>
        <w:spacing w:after="80"/>
      </w:pPr>
      <w:r>
        <w:rPr>
          <w:b/>
        </w:rPr>
        <w:t>si estos casos no dan lo esperado, no sigas con datos reales.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*Ninguno de estos veredictos documentados se obtuvo corrigiendo código para</w:t>
      </w:r>
    </w:p>
    <w:p>
      <w:pPr>
        <w:spacing w:after="80"/>
      </w:pPr>
      <w:r>
        <w:t>que la corrida pasara: se obtuvo corriendo el pipeline existente y midiéndolo.*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MANUAL_PART_XVI · Golden Run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MANUAL_PART_XVI · Golden Run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