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ANEXO D · BIBLIOTECA OFICIAL DE DIAGRAMAS</w:t>
      </w:r>
    </w:p>
    <w:p>
      <w:r>
        <w:rPr>
          <w:b/>
          <w:color w:val="3B82F6"/>
          <w:sz w:val="20"/>
        </w:rPr>
        <w:t>Identificación: Anexo D Biblioteca oficial de diagramas v2.0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ANEXO D · BIBLIOTECA OFICIAL DE DIAGRAMAS</w:t>
      </w:r>
    </w:p>
    <w:p>
      <w:r>
        <w:t xml:space="preserve">Los diagramas oficiales del </w:t>
      </w:r>
      <w:r>
        <w:rPr>
          <w:b/>
        </w:rPr>
        <w:t>Manual Operativo Catalaxia v2.0</w:t>
      </w:r>
      <w:r>
        <w:t xml:space="preserve"> (marca webshooks ·</w:t>
      </w:r>
    </w:p>
    <w:p>
      <w:r>
        <w:rPr>
          <w:i/>
        </w:rPr>
        <w:t>Procesos · Datos · Validación · Resultados</w:t>
      </w:r>
      <w:r>
        <w:t>). Es la identidad visual de la</w:t>
      </w:r>
    </w:p>
    <w:p>
      <w:r>
        <w:t>plataforma: cada figura de esta biblioteca explica un mecanismo que el manual</w:t>
      </w:r>
    </w:p>
    <w:p>
      <w:r>
        <w:t>desarrolla en texto en las Partes correspondientes. Las Partes citan estas figuras</w:t>
      </w:r>
    </w:p>
    <w:p>
      <w:r>
        <w:t>por número cuando vuelven sobre el tema.</w:t>
      </w:r>
    </w:p>
    <w:p>
      <w:pPr>
        <w:ind w:left="360"/>
      </w:pPr>
      <w:r>
        <w:rPr>
          <w:i/>
          <w:color w:val="5A646E"/>
        </w:rPr>
        <w:t>Regla: estas imágenes son la fuente visual oficial. Si un diagrama del</w:t>
      </w:r>
    </w:p>
    <w:p>
      <w:pPr>
        <w:ind w:left="360"/>
      </w:pPr>
      <w:r>
        <w:rPr>
          <w:i/>
          <w:color w:val="5A646E"/>
        </w:rPr>
        <w:t>manual y una imagen de esta biblioteca divergen, manda la biblioteca y se</w:t>
      </w:r>
    </w:p>
    <w:p>
      <w:pPr>
        <w:ind w:left="360"/>
      </w:pPr>
      <w:r>
        <w:rPr>
          <w:i/>
          <w:color w:val="5A646E"/>
        </w:rPr>
        <w:t>actualiza la otra.</w:t>
      </w:r>
    </w:p>
    <w:p>
      <w:pPr>
        <w:pStyle w:val="Heading2"/>
      </w:pPr>
      <w:r>
        <w:t>Figura 11 — Diagrama de procesos (end-to-end)</w:t>
      </w:r>
    </w:p>
    <w:p>
      <w:r>
        <w:t>Extracción, transformación y publicación de datos financieros. Vista completa del</w:t>
      </w:r>
    </w:p>
    <w:p>
      <w:r>
        <w:t>proceso operativo de Catalaxia (fuentes → ingesta → transformación → cálculo →</w:t>
      </w:r>
    </w:p>
    <w:p>
      <w:r>
        <w:t>validación → publicación).</w:t>
      </w:r>
    </w:p>
    <w:p>
      <w:pPr>
        <w:jc w:val="center"/>
      </w:pPr>
      <w:r>
        <w:rPr>
          <w:b/>
        </w:rPr>
        <w:t>[Imagen: Figura 11 · Diagrama de procesos end-to-end]</w:t>
        <w:br/>
      </w:r>
      <w:r>
        <w:rPr>
          <w:i/>
          <w:color w:val="7B899A"/>
          <w:sz w:val="16"/>
        </w:rPr>
        <w:t>images/capturas/proceso_end_to_end.png</w:t>
      </w:r>
    </w:p>
    <w:p>
      <w:pPr>
        <w:pStyle w:val="Heading2"/>
      </w:pPr>
      <w:r>
        <w:t>Serie "Biblioteca de diagramas" (figuras 12–22)</w:t>
      </w:r>
    </w:p>
    <w:p>
      <w:r>
        <w:t>Índice de la serie y cada diagrama que la compone:</w:t>
      </w:r>
    </w:p>
    <w:p>
      <w:pPr>
        <w:jc w:val="center"/>
      </w:pPr>
      <w:r>
        <w:rPr>
          <w:b/>
        </w:rPr>
        <w:t>[Imagen: Figura 12 · Índice de la serie Biblioteca de diagramas]</w:t>
        <w:br/>
      </w:r>
      <w:r>
        <w:rPr>
          <w:i/>
          <w:color w:val="7B899A"/>
          <w:sz w:val="16"/>
        </w:rPr>
        <w:t>images/capturas/biblioteca_indice.png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Diagrama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 donde se desarrolla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 — Cálculo de un ratio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Cadena de bloques (provenance)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 de estados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 (Idempotencia)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Contratos de cálculo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Ratios — familia y categorías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financiero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 (Economic Facts + Financial Model)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19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de capas (CPaaS)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§1, XVIII (Qué falta)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sistemas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end-to-end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datos y mapa de lectura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13 · Procedimiento — cálculo de un ratio]</w:t>
        <w:br/>
      </w:r>
      <w:r>
        <w:rPr>
          <w:i/>
          <w:color w:val="7B899A"/>
          <w:sz w:val="16"/>
        </w:rPr>
        <w:t>images/capturas/setA_02_procedimiento_ratio.png</w:t>
      </w:r>
    </w:p>
    <w:p>
      <w:pPr>
        <w:jc w:val="center"/>
      </w:pPr>
      <w:r>
        <w:rPr>
          <w:b/>
        </w:rPr>
        <w:t>[Imagen: Figura 14 · Cadena de bloques (provenance)]</w:t>
        <w:br/>
      </w:r>
      <w:r>
        <w:rPr>
          <w:i/>
          <w:color w:val="7B899A"/>
          <w:sz w:val="16"/>
        </w:rPr>
        <w:t>images/capturas/setA_04_cadena_bloques.png</w:t>
      </w:r>
    </w:p>
    <w:p>
      <w:pPr>
        <w:jc w:val="center"/>
      </w:pPr>
      <w:r>
        <w:rPr>
          <w:b/>
        </w:rPr>
        <w:t>[Imagen: Figura 15 · Diagrama de estados]</w:t>
        <w:br/>
      </w:r>
      <w:r>
        <w:rPr>
          <w:i/>
          <w:color w:val="7B899A"/>
          <w:sz w:val="16"/>
        </w:rPr>
        <w:t>images/capturas/setA_05_diagrama_estados.png</w:t>
      </w:r>
    </w:p>
    <w:p>
      <w:pPr>
        <w:jc w:val="center"/>
      </w:pPr>
      <w:r>
        <w:rPr>
          <w:b/>
        </w:rPr>
        <w:t>[Imagen: Figura 16 · Contratos de cálculo]</w:t>
        <w:br/>
      </w:r>
      <w:r>
        <w:rPr>
          <w:i/>
          <w:color w:val="7B899A"/>
          <w:sz w:val="16"/>
        </w:rPr>
        <w:t>images/capturas/setA_06_contratos_calculo.png</w:t>
      </w:r>
    </w:p>
    <w:p>
      <w:pPr>
        <w:jc w:val="center"/>
      </w:pPr>
      <w:r>
        <w:rPr>
          <w:b/>
        </w:rPr>
        <w:t>[Imagen: Figura 17 · Ratios — familia y categorías]</w:t>
        <w:br/>
      </w:r>
      <w:r>
        <w:rPr>
          <w:i/>
          <w:color w:val="7B899A"/>
          <w:sz w:val="16"/>
        </w:rPr>
        <w:t>images/capturas/setA_07_ratios.png</w:t>
      </w:r>
    </w:p>
    <w:p>
      <w:pPr>
        <w:jc w:val="center"/>
      </w:pPr>
      <w:r>
        <w:rPr>
          <w:b/>
        </w:rPr>
        <w:t>[Imagen: Figura 18 · Modelo financiero]</w:t>
        <w:br/>
      </w:r>
      <w:r>
        <w:rPr>
          <w:i/>
          <w:color w:val="7B899A"/>
          <w:sz w:val="16"/>
        </w:rPr>
        <w:t>images/capturas/setA_08_modelo_financiero.png</w:t>
      </w:r>
    </w:p>
    <w:p>
      <w:pPr>
        <w:jc w:val="center"/>
      </w:pPr>
      <w:r>
        <w:rPr>
          <w:b/>
        </w:rPr>
        <w:t>[Imagen: Figura 19 · Modelo de capas (CPaaS)]</w:t>
        <w:br/>
      </w:r>
      <w:r>
        <w:rPr>
          <w:i/>
          <w:color w:val="7B899A"/>
          <w:sz w:val="16"/>
        </w:rPr>
        <w:t>images/capturas/setA_09_modelo_capas.png</w:t>
      </w:r>
    </w:p>
    <w:p>
      <w:pPr>
        <w:jc w:val="center"/>
      </w:pPr>
      <w:r>
        <w:rPr>
          <w:b/>
        </w:rPr>
        <w:t>[Imagen: Figura 20 · Arquitectura de sistemas]</w:t>
        <w:br/>
      </w:r>
      <w:r>
        <w:rPr>
          <w:i/>
          <w:color w:val="7B899A"/>
          <w:sz w:val="16"/>
        </w:rPr>
        <w:t>images/capturas/setA_10_arquitectura_sistemas.png</w:t>
      </w:r>
    </w:p>
    <w:p>
      <w:pPr>
        <w:jc w:val="center"/>
      </w:pPr>
      <w:r>
        <w:rPr>
          <w:b/>
        </w:rPr>
        <w:t>[Imagen: Figura 21 · Arquitectura end-to-end]</w:t>
        <w:br/>
      </w:r>
      <w:r>
        <w:rPr>
          <w:i/>
          <w:color w:val="7B899A"/>
          <w:sz w:val="16"/>
        </w:rPr>
        <w:t>images/capturas/setA_11_arquitectura_e2e.png</w:t>
      </w:r>
    </w:p>
    <w:p>
      <w:pPr>
        <w:jc w:val="center"/>
      </w:pPr>
      <w:r>
        <w:rPr>
          <w:b/>
        </w:rPr>
        <w:t>[Imagen: Figura 22 · Arquitectura de datos y mapa de lectura]</w:t>
        <w:br/>
      </w:r>
      <w:r>
        <w:rPr>
          <w:i/>
          <w:color w:val="7B899A"/>
          <w:sz w:val="16"/>
        </w:rPr>
        <w:t>images/capturas/setA_12_arquitectura_datos.png</w:t>
      </w:r>
    </w:p>
    <w:p>
      <w:pPr>
        <w:pStyle w:val="Heading2"/>
      </w:pPr>
      <w:r>
        <w:t>Serie "Operativos" (figuras 23–35)</w:t>
      </w:r>
    </w:p>
    <w:p>
      <w:r>
        <w:t>Procedimientos y operación diaria. El índice y cada diagrama:</w:t>
      </w:r>
    </w:p>
    <w:p>
      <w:pPr>
        <w:jc w:val="center"/>
      </w:pPr>
      <w:r>
        <w:rPr>
          <w:b/>
        </w:rPr>
        <w:t>[Imagen: Figura 23 · Índice de la serie Operativos]</w:t>
        <w:br/>
      </w:r>
      <w:r>
        <w:rPr>
          <w:i/>
          <w:color w:val="7B899A"/>
          <w:sz w:val="16"/>
        </w:rPr>
        <w:t>images/capturas/operativos_indice.png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Diagrama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 donde se desarrolla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 — Onboarding de una nueva empresa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XVIII (Qué falta), III (Piloto YPF)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 — Actualización periódica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 (Golden Run), XIX (Anexo B)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Procesos de negocio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Cadena de bloques (blockchain de datos)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 de estados de una entidad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 (Idempotencia)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29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Contratos de cálculo (ROE)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Ratios — ejemplos de métricas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(Ratio Engine)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financiero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 (Economic Facts + Financial Model)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Modelo de capas (CPaaS)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XVIII (Qué falta)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sistemas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end-to-end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§1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35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de datos + mapa de lectura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(Provenance)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24 · Procedimiento — onboarding de una nueva empresa]</w:t>
        <w:br/>
      </w:r>
      <w:r>
        <w:rPr>
          <w:i/>
          <w:color w:val="7B899A"/>
          <w:sz w:val="16"/>
        </w:rPr>
        <w:t>images/capturas/setB_01_procedimiento_onboarding.png</w:t>
      </w:r>
    </w:p>
    <w:p>
      <w:pPr>
        <w:jc w:val="center"/>
      </w:pPr>
      <w:r>
        <w:rPr>
          <w:b/>
        </w:rPr>
        <w:t>[Imagen: Figura 25 · Procedimiento — actualización periódica]</w:t>
        <w:br/>
      </w:r>
      <w:r>
        <w:rPr>
          <w:i/>
          <w:color w:val="7B899A"/>
          <w:sz w:val="16"/>
        </w:rPr>
        <w:t>images/capturas/setB_02_actualizacion_periodica.png</w:t>
      </w:r>
    </w:p>
    <w:p>
      <w:pPr>
        <w:jc w:val="center"/>
      </w:pPr>
      <w:r>
        <w:rPr>
          <w:b/>
        </w:rPr>
        <w:t>[Imagen: Figura 26 · Procesos de negocio]</w:t>
        <w:br/>
      </w:r>
      <w:r>
        <w:rPr>
          <w:i/>
          <w:color w:val="7B899A"/>
          <w:sz w:val="16"/>
        </w:rPr>
        <w:t>images/capturas/setB_03_procesos_negocio.png</w:t>
      </w:r>
    </w:p>
    <w:p>
      <w:pPr>
        <w:jc w:val="center"/>
      </w:pPr>
      <w:r>
        <w:rPr>
          <w:b/>
        </w:rPr>
        <w:t>[Imagen: Figura 27 · Cadena de bloques (blockchain de datos)]</w:t>
        <w:br/>
      </w:r>
      <w:r>
        <w:rPr>
          <w:i/>
          <w:color w:val="7B899A"/>
          <w:sz w:val="16"/>
        </w:rPr>
        <w:t>images/capturas/setB_04_cadena_bloques.png</w:t>
      </w:r>
    </w:p>
    <w:p>
      <w:pPr>
        <w:jc w:val="center"/>
      </w:pPr>
      <w:r>
        <w:rPr>
          <w:b/>
        </w:rPr>
        <w:t>[Imagen: Figura 28 · Diagrama de estados de una entidad]</w:t>
        <w:br/>
      </w:r>
      <w:r>
        <w:rPr>
          <w:i/>
          <w:color w:val="7B899A"/>
          <w:sz w:val="16"/>
        </w:rPr>
        <w:t>images/capturas/setB_05_diagrama_estados.png</w:t>
      </w:r>
    </w:p>
    <w:p>
      <w:pPr>
        <w:jc w:val="center"/>
      </w:pPr>
      <w:r>
        <w:rPr>
          <w:b/>
        </w:rPr>
        <w:t>[Imagen: Figura 29 · Contratos de cálculo (ROE)]</w:t>
        <w:br/>
      </w:r>
      <w:r>
        <w:rPr>
          <w:i/>
          <w:color w:val="7B899A"/>
          <w:sz w:val="16"/>
        </w:rPr>
        <w:t>images/capturas/setB_06_contratos_calculo.png</w:t>
      </w:r>
    </w:p>
    <w:p>
      <w:pPr>
        <w:jc w:val="center"/>
      </w:pPr>
      <w:r>
        <w:rPr>
          <w:b/>
        </w:rPr>
        <w:t>[Imagen: Figura 30 · Ratios — ejemplos de métricas]</w:t>
        <w:br/>
      </w:r>
      <w:r>
        <w:rPr>
          <w:i/>
          <w:color w:val="7B899A"/>
          <w:sz w:val="16"/>
        </w:rPr>
        <w:t>images/capturas/setB_07_ratios.png</w:t>
      </w:r>
    </w:p>
    <w:p>
      <w:pPr>
        <w:jc w:val="center"/>
      </w:pPr>
      <w:r>
        <w:rPr>
          <w:b/>
        </w:rPr>
        <w:t>[Imagen: Figura 31 · Modelo financiero]</w:t>
        <w:br/>
      </w:r>
      <w:r>
        <w:rPr>
          <w:i/>
          <w:color w:val="7B899A"/>
          <w:sz w:val="16"/>
        </w:rPr>
        <w:t>images/capturas/setB_08_modelo_financiero.png</w:t>
      </w:r>
    </w:p>
    <w:p>
      <w:pPr>
        <w:jc w:val="center"/>
      </w:pPr>
      <w:r>
        <w:rPr>
          <w:b/>
        </w:rPr>
        <w:t>[Imagen: Figura 32 · Modelo de capas (CPaaS)]</w:t>
        <w:br/>
      </w:r>
      <w:r>
        <w:rPr>
          <w:i/>
          <w:color w:val="7B899A"/>
          <w:sz w:val="16"/>
        </w:rPr>
        <w:t>images/capturas/setB_09_modelo_capas.png</w:t>
      </w:r>
    </w:p>
    <w:p>
      <w:pPr>
        <w:jc w:val="center"/>
      </w:pPr>
      <w:r>
        <w:rPr>
          <w:b/>
        </w:rPr>
        <w:t>[Imagen: Figura 33 · Arquitectura de sistemas]</w:t>
        <w:br/>
      </w:r>
      <w:r>
        <w:rPr>
          <w:i/>
          <w:color w:val="7B899A"/>
          <w:sz w:val="16"/>
        </w:rPr>
        <w:t>images/capturas/setB_10_arquitectura_sistemas.png</w:t>
      </w:r>
    </w:p>
    <w:p>
      <w:pPr>
        <w:jc w:val="center"/>
      </w:pPr>
      <w:r>
        <w:rPr>
          <w:b/>
        </w:rPr>
        <w:t>[Imagen: Figura 34 · Arquitectura end-to-end]</w:t>
        <w:br/>
      </w:r>
      <w:r>
        <w:rPr>
          <w:i/>
          <w:color w:val="7B899A"/>
          <w:sz w:val="16"/>
        </w:rPr>
        <w:t>images/capturas/setB_11_arquitectura_e2e.png</w:t>
      </w:r>
    </w:p>
    <w:p>
      <w:pPr>
        <w:jc w:val="center"/>
      </w:pPr>
      <w:r>
        <w:rPr>
          <w:b/>
        </w:rPr>
        <w:t>[Imagen: Figura 35 · Arquitectura de datos + mapa de lectura]</w:t>
        <w:br/>
      </w:r>
      <w:r>
        <w:rPr>
          <w:i/>
          <w:color w:val="7B899A"/>
          <w:sz w:val="16"/>
        </w:rPr>
        <w:t>images/capturas/setB_12_arquitectura_datos.png</w:t>
      </w:r>
    </w:p>
    <w:p>
      <w:pPr>
        <w:pStyle w:val="Heading2"/>
      </w:pPr>
      <w:r>
        <w:t>Cómo se leen las dos series</w:t>
      </w:r>
    </w:p>
    <w:p>
      <w:r>
        <w:t xml:space="preserve">Son </w:t>
      </w:r>
      <w:r>
        <w:rPr>
          <w:b/>
        </w:rPr>
        <w:t>dos variantes de diseño</w:t>
      </w:r>
      <w:r>
        <w:t xml:space="preserve"> del mismo contenido: la serie *Biblioteca de</w:t>
      </w:r>
    </w:p>
    <w:p>
      <w:r>
        <w:t>diagramas</w:t>
      </w:r>
      <w:r>
        <w:rPr>
          <w:i/>
        </w:rPr>
        <w:t xml:space="preserve"> (figuras 12–22) es la versión catálogo; la serie </w:t>
      </w:r>
      <w:r>
        <w:t>Operativos* (figuras</w:t>
      </w:r>
    </w:p>
    <w:p>
      <w:r>
        <w:t>23–35) es la versión orientada a procedimientos con responsables, criterios de</w:t>
      </w:r>
    </w:p>
    <w:p>
      <w:r>
        <w:t>éxito y errores comunes. Cuando un capítulo haga falta, se cita la figura de la</w:t>
      </w:r>
    </w:p>
    <w:p>
      <w:r>
        <w:t>serie que mejor encaje; no se duplica imagen en el texto.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99A"/>
        <w:sz w:val="16"/>
      </w:rPr>
      <w:t>Manual Operativo Catalaxia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B899A"/>
        <w:sz w:val="16"/>
      </w:rPr>
      <w:t>MANUAL_PART_XXI · Anexo D Biblioteca oficial de diagramas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