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X — PROVENANCE</w:t>
      </w:r>
    </w:p>
    <w:p>
      <w:pPr>
        <w:spacing w:after="200"/>
      </w:pPr>
      <w:r>
        <w:rPr>
          <w:b/>
          <w:sz w:val="22"/>
        </w:rPr>
        <w:t>Identificación: Provenance</w:t>
      </w:r>
    </w:p>
    <w:p>
      <w:pPr>
        <w:spacing w:after="80"/>
      </w:pPr>
      <w:r>
        <w:t>Este capítulo responde la pregunta fundamental del proyecto: **¿de dónde</w:t>
      </w:r>
    </w:p>
    <w:p>
      <w:pPr>
        <w:spacing w:after="80"/>
      </w:pPr>
      <w:r>
        <w:t>salió este número?*</w:t>
      </w:r>
      <w:r>
        <w:rPr>
          <w:i/>
        </w:rPr>
        <w:t xml:space="preserve"> Y obliga, no sugiere: </w:t>
      </w:r>
      <w:r>
        <w:t>"un número sin provenance no se</w:t>
      </w:r>
    </w:p>
    <w:p>
      <w:pPr>
        <w:spacing w:after="80"/>
      </w:pPr>
      <w:r>
        <w:t>publica"* (</w:t>
      </w:r>
      <w:r>
        <w:rPr>
          <w:rFonts w:ascii="Consolas" w:hAnsi="Consolas"/>
          <w:sz w:val="18"/>
        </w:rPr>
        <w:t>06_PROVENANCE.md</w:t>
      </w:r>
      <w:r>
        <w:t xml:space="preserve"> §7).</w:t>
      </w:r>
    </w:p>
    <w:p>
      <w:pPr>
        <w:spacing w:after="80"/>
      </w:pPr>
      <w:r>
        <w:t>La cadena que todo número publicado debe poder recorrer:</w:t>
      </w:r>
    </w:p>
    <w:p>
      <w:pPr>
        <w:pStyle w:val="CodeBlock"/>
        <w:ind w:left="288"/>
      </w:pPr>
      <w:r>
        <w:t>RESULTADO → FÓRMULA → INSUMO → FACT → CONCEPTO → CONTEXTO → DOCUMENTO → RAW → SHA256</w:t>
      </w:r>
    </w:p>
    <w:p>
      <w:pPr>
        <w:spacing w:after="80"/>
      </w:pPr>
      <w:r>
        <w:t>Cada eslabón vive en una tabla con su clave exacta: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eslabón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dónde vive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clave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**resultado**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`derived.ratio`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`ratio_key`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**fórmula**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`derived.ratio.formula`, `formula_version`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**insumos**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`derived.ratio.inputs` (JSONB)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referencias a hechos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**fact**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`derived.fact`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`fact_key`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**origen del fact**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`derived.fact.source_fact_ids` (array)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→ `parsed.facts.fact_id`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**concepto**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`parsed.facts.qname` / `tag`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**contexto**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`parsed.facts.context_id`, `parsed.contexts`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**documento**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`parsed.facts.accession_number`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**RAW**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`parsed.facts.source_path`, `source_file`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**SHA256**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`parsed.facts.source_hash`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y `fetch_raw.download_log.sha256`</w:t>
            </w:r>
          </w:p>
        </w:tc>
      </w:tr>
    </w:tbl>
    <w:p/>
    <w:p>
      <w:pPr>
        <w:spacing w:after="80"/>
      </w:pPr>
      <w:r>
        <w:t>**El material de este capítulo está verificado en vivo (2026-09-04), no</w:t>
      </w:r>
    </w:p>
    <w:p>
      <w:pPr>
        <w:spacing w:after="80"/>
      </w:pPr>
      <w:r>
        <w:t xml:space="preserve">escrito de memoria.** Fuente primaria: </w:t>
      </w:r>
      <w:r>
        <w:rPr>
          <w:rFonts w:ascii="Consolas" w:hAnsi="Consolas"/>
          <w:sz w:val="18"/>
        </w:rPr>
        <w:t>docs/manual/ANNEX_YPF.md</w:t>
      </w:r>
      <w:r>
        <w:t xml:space="preserve"> §11 y</w:t>
      </w:r>
    </w:p>
    <w:p>
      <w:pPr>
        <w:spacing w:after="80"/>
      </w:pPr>
      <w:r>
        <w:rPr>
          <w:rFonts w:ascii="Consolas" w:hAnsi="Consolas"/>
          <w:sz w:val="18"/>
        </w:rPr>
        <w:t>docs/runbooks/06_PROVENANCE.md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Recorrido SEC desde un hecho publicado (verificado completo)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Partir de un número publicado en </w:t>
      </w:r>
      <w:r>
        <w:rPr>
          <w:rFonts w:ascii="Consolas" w:hAnsi="Consolas"/>
          <w:sz w:val="18"/>
        </w:rPr>
        <w:t>derived.fact</w:t>
      </w:r>
      <w:r>
        <w:t>, bajar hasta el archivo RAW y</w:t>
      </w:r>
    </w:p>
    <w:p>
      <w:pPr>
        <w:spacing w:after="80"/>
      </w:pPr>
      <w:r>
        <w:t>cerrar con un SHA256 verificado contra disco — sin preguntarle a nadie.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>Parte V (los hechos existen) y Partes III-IV (el RAW y el parseo existen).</w:t>
      </w:r>
    </w:p>
    <w:p>
      <w:pPr>
        <w:spacing w:after="80"/>
      </w:pPr>
      <w:r>
        <w:rPr>
          <w:b/>
        </w:rPr>
        <w:t>El hecho elegido:</w:t>
      </w:r>
      <w:r>
        <w:t xml:space="preserve"> </w:t>
      </w:r>
      <w:r>
        <w:rPr>
          <w:rFonts w:ascii="Consolas" w:hAnsi="Consolas"/>
          <w:sz w:val="18"/>
        </w:rPr>
        <w:t>Assets</w:t>
      </w:r>
      <w:r>
        <w:t xml:space="preserve"> (activo total), YPF, 2025-12-31,</w:t>
      </w:r>
    </w:p>
    <w:p>
      <w:pPr>
        <w:spacing w:after="80"/>
      </w:pPr>
      <w:r>
        <w:t>USD 29.439.000.000.</w:t>
      </w:r>
    </w:p>
    <w:p>
      <w:pPr>
        <w:spacing w:after="80"/>
      </w:pPr>
      <w:r>
        <w:rPr>
          <w:b/>
        </w:rPr>
        <w:t>1 · De `derived.fact` al `parsed.facts` de origen:</w:t>
      </w:r>
    </w:p>
    <w:p>
      <w:pPr>
        <w:pStyle w:val="CodeBlock"/>
        <w:ind w:left="288"/>
      </w:pPr>
      <w:r>
        <w:t>SELECT fact_key, tag, value_numeric, currency, report_period,</w:t>
        <w:br/>
        <w:t xml:space="preserve">       accession_number, source_fact_ids[1]</w:t>
        <w:br/>
        <w:t xml:space="preserve">  FROM derived.fact</w:t>
        <w:br/>
        <w:t xml:space="preserve"> WHERE cik='0000904851' AND valid_to IS NULL AND tag='Assets'</w:t>
        <w:br/>
        <w:t xml:space="preserve">   AND NOT is_dimensional</w:t>
        <w:br/>
        <w:t xml:space="preserve">   AND COALESCE(instant_date::text,end_date::text)=report_period::text</w:t>
        <w:br/>
        <w:t xml:space="preserve"> ORDER BY report_period DESC LIMIT 1;</w:t>
      </w:r>
    </w:p>
    <w:p>
      <w:pPr>
        <w:pStyle w:val="CodeBlock"/>
        <w:ind w:left="288"/>
      </w:pPr>
      <w:r>
        <w:t>fact_key = 7365a6c2b4d55fa9c48f88e8bf8485440a7e6bf6e66e9035a867e67e7b7f43a7</w:t>
        <w:br/>
        <w:t>tag      = Assets</w:t>
        <w:br/>
        <w:t>valor    = 29439000000 USD</w:t>
        <w:br/>
        <w:t>período  = 2025-12-31</w:t>
        <w:br/>
        <w:t>accession= 0001193125-26-126363</w:t>
        <w:br/>
        <w:t>source_fact_ids[1] = 165389</w:t>
      </w:r>
    </w:p>
    <w:p>
      <w:pPr>
        <w:spacing w:after="80"/>
      </w:pPr>
      <w:r>
        <w:rPr>
          <w:b/>
        </w:rPr>
        <w:t>2 · Del `parsed.facts` al RAW y su hash:</w:t>
      </w:r>
    </w:p>
    <w:p>
      <w:pPr>
        <w:pStyle w:val="CodeBlock"/>
        <w:ind w:left="288"/>
      </w:pPr>
      <w:r>
        <w:t>SELECT fact_id, cik, accession_number, qname, context_id,</w:t>
        <w:br/>
        <w:t xml:space="preserve">       source_file, source_path, source_hash</w:t>
        <w:br/>
        <w:t xml:space="preserve">  FROM parsed.facts WHERE fact_id=165389;</w:t>
      </w:r>
    </w:p>
    <w:p>
      <w:pPr>
        <w:pStyle w:val="CodeBlock"/>
        <w:ind w:left="288"/>
      </w:pPr>
      <w:r>
        <w:t>fact_id       = 165389</w:t>
        <w:br/>
        <w:t>qname         = https://xbrl.ifrs.org/taxonomy/2025-03-27/ifrs-full#Assets</w:t>
        <w:br/>
        <w:t>context_id    = PAsOn12_31_2025</w:t>
        <w:br/>
        <w:t>source_file   = d95578d20f.htm</w:t>
        <w:br/>
        <w:t>source_path   = CIK0000904851/filings/000119312526126363/</w:t>
        <w:br/>
        <w:t xml:space="preserve">                0001193125-26-126363-xbrl.zip!d95578d20f.htm</w:t>
        <w:br/>
        <w:t>source_hash   = 960c7a2e28de2028a26ca1ff73525b3b03ec333ebe2365ea261a07302f68d823</w:t>
      </w:r>
    </w:p>
    <w:p>
      <w:pPr>
        <w:spacing w:after="80"/>
      </w:pPr>
      <w:r>
        <w:rPr>
          <w:b/>
        </w:rPr>
        <w:t>`KNOWN_LIMITATION`</w:t>
      </w:r>
      <w:r>
        <w:t xml:space="preserve"> — nótese que el componente IFRS del </w:t>
      </w:r>
      <w:r>
        <w:rPr>
          <w:rFonts w:ascii="Consolas" w:hAnsi="Consolas"/>
          <w:sz w:val="18"/>
        </w:rPr>
        <w:t>qname</w:t>
      </w:r>
      <w:r>
        <w:t xml:space="preserve"> es</w:t>
      </w:r>
    </w:p>
    <w:p>
      <w:pPr>
        <w:spacing w:after="80"/>
      </w:pPr>
      <w:r>
        <w:rPr>
          <w:rFonts w:ascii="Consolas" w:hAnsi="Consolas"/>
          <w:sz w:val="18"/>
        </w:rPr>
        <w:t>https://xbrl.ifrs.org/taxonomy/2025-03-27/ifrs-full#Assets</w:t>
      </w:r>
      <w:r>
        <w:t>. Con este caso</w:t>
      </w:r>
    </w:p>
    <w:p>
      <w:pPr>
        <w:spacing w:after="80"/>
      </w:pPr>
      <w:r>
        <w:t>no se manifestaría, pero es el mismo punto de la Parte IV Paso 3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is_custom</w:t>
      </w:r>
      <w:r>
        <w:t>): la taxonomía vive en el penúltimo segmento, no en el último.</w:t>
      </w:r>
    </w:p>
    <w:p>
      <w:pPr>
        <w:spacing w:after="80"/>
      </w:pPr>
      <w:r>
        <w:rPr>
          <w:b/>
        </w:rPr>
        <w:t>3 · La verificación final — SHA256 del archivo real dentro del ZIP:</w:t>
      </w:r>
    </w:p>
    <w:p>
      <w:pPr>
        <w:pStyle w:val="CodeBlock"/>
        <w:ind w:left="288"/>
      </w:pPr>
      <w:r>
        <w:t>import zipfile, hashlib</w:t>
        <w:br/>
        <w:t>with zipfile.ZipFile("data/raw/engine/CIK0000904851/filings/"</w:t>
        <w:br/>
        <w:t xml:space="preserve">                      "000119312526126363/0001193125-26-126363-xbrl.zip") as zf:</w:t>
        <w:br/>
        <w:t xml:space="preserve">    data = zf.read("d95578d20f.htm")</w:t>
        <w:br/>
        <w:t>hashlib.sha256(data).hexdigest()</w:t>
      </w:r>
    </w:p>
    <w:p>
      <w:pPr>
        <w:pStyle w:val="CodeBlock"/>
        <w:ind w:left="288"/>
      </w:pPr>
      <w:r>
        <w:t>960c7a2e28de2028a26ca1ff73525b3b03ec333ebe2365ea261a07302f68d823</w:t>
      </w:r>
    </w:p>
    <w:p>
      <w:pPr>
        <w:spacing w:after="80"/>
      </w:pPr>
      <w:r>
        <w:rPr>
          <w:b/>
        </w:rPr>
        <w:t>Coincide, dígito por dígito, con `source_hash`.</w:t>
      </w:r>
      <w:r>
        <w:t xml:space="preserve"> La cadena</w:t>
      </w:r>
    </w:p>
    <w:p>
      <w:pPr>
        <w:spacing w:after="80"/>
      </w:pPr>
      <w:r>
        <w:rPr>
          <w:rFonts w:ascii="Consolas" w:hAnsi="Consolas"/>
          <w:sz w:val="18"/>
        </w:rPr>
        <w:t>derived.fact → parsed.facts → RAW → SHA256</w:t>
      </w:r>
      <w:r>
        <w:t xml:space="preserve"> cierra para este hecho.</w:t>
      </w:r>
    </w:p>
    <w:p>
      <w:pPr>
        <w:spacing w:after="80"/>
      </w:pPr>
      <w:r>
        <w:rPr>
          <w:b/>
        </w:rPr>
        <w:t>RESULTADO ESPERADO / VERIFICACIÓN</w:t>
      </w:r>
    </w:p>
    <w:p>
      <w:pPr>
        <w:spacing w:after="80"/>
      </w:pPr>
      <w:r>
        <w:t xml:space="preserve">El hash recalculado sobre el archivo en disco reproduce el </w:t>
      </w:r>
      <w:r>
        <w:rPr>
          <w:rFonts w:ascii="Consolas" w:hAnsi="Consolas"/>
          <w:sz w:val="18"/>
        </w:rPr>
        <w:t>source_hash</w:t>
      </w:r>
    </w:p>
    <w:p>
      <w:pPr>
        <w:spacing w:after="80"/>
      </w:pPr>
      <w:r>
        <w:t xml:space="preserve">almacenado. Verificado. Cualquier desvío → </w:t>
      </w:r>
      <w:r>
        <w:rPr>
          <w:b/>
        </w:rPr>
        <w:t>la fila fue alterada</w:t>
      </w:r>
      <w:r>
        <w:t>: tratála</w:t>
      </w:r>
    </w:p>
    <w:p>
      <w:pPr>
        <w:spacing w:after="80"/>
      </w:pPr>
      <w:r>
        <w:t>como incidente (regla de oro, al final).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Paso 2 — Recorrido SEC desde un </w:t>
      </w:r>
      <w:r>
        <w:rPr>
          <w:i/>
        </w:rPr>
        <w:t>ratio</w:t>
      </w:r>
      <w:r>
        <w:t xml:space="preserve"> publicado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Bajar desde </w:t>
      </w:r>
      <w:r>
        <w:rPr>
          <w:rFonts w:ascii="Consolas" w:hAnsi="Consolas"/>
          <w:sz w:val="18"/>
        </w:rPr>
        <w:t>derived.ratio</w:t>
      </w:r>
      <w:r>
        <w:t xml:space="preserve"> hasta la misma cadena, por la entrada que va de</w:t>
      </w:r>
    </w:p>
    <w:p>
      <w:pPr>
        <w:spacing w:after="80"/>
      </w:pPr>
      <w:r>
        <w:t>un resultado a sus insumos.</w:t>
      </w:r>
    </w:p>
    <w:p>
      <w:pPr>
        <w:spacing w:after="80"/>
      </w:pPr>
      <w:r>
        <w:rPr>
          <w:b/>
        </w:rPr>
        <w:t>Procedimiento</w:t>
      </w:r>
      <w:r>
        <w:t xml:space="preserve"> (</w:t>
      </w:r>
      <w:r>
        <w:rPr>
          <w:rFonts w:ascii="Consolas" w:hAnsi="Consolas"/>
          <w:sz w:val="18"/>
        </w:rPr>
        <w:t>06_PROVENANCE.md</w:t>
      </w:r>
      <w:r>
        <w:t xml:space="preserve"> §2):</w:t>
      </w:r>
    </w:p>
    <w:p>
      <w:pPr>
        <w:spacing w:after="80"/>
      </w:pPr>
      <w:r>
        <w:rPr>
          <w:b/>
        </w:rPr>
        <w:t>1 · El ratio y sus insumos:</w:t>
      </w:r>
    </w:p>
    <w:p>
      <w:pPr>
        <w:pStyle w:val="CodeBlock"/>
        <w:ind w:left="288"/>
      </w:pPr>
      <w:r>
        <w:t>docker exec catalaxia-engine-dev psql -U catalaxia -d catalaxia -c "</w:t>
        <w:br/>
        <w:t>SELECT r.canonical_id, r.value, r.formula, r.formula_version, r.status,</w:t>
        <w:br/>
        <w:t xml:space="preserve">       jsonb_pretty(r.inputs) AS insumos</w:t>
        <w:br/>
        <w:t xml:space="preserve">  FROM derived.ratio r</w:t>
        <w:br/>
        <w:t xml:space="preserve"> WHERE r.ratio_key = '&lt;RATIO_KEY&gt;'"</w:t>
      </w:r>
    </w:p>
    <w:p>
      <w:pPr>
        <w:spacing w:after="80"/>
      </w:pPr>
      <w:r>
        <w:rPr>
          <w:b/>
        </w:rPr>
        <w:t>2 · Por cada `fact_key` de `inputs`, el hecho y su origen:</w:t>
      </w:r>
    </w:p>
    <w:p>
      <w:pPr>
        <w:pStyle w:val="CodeBlock"/>
        <w:ind w:left="288"/>
      </w:pPr>
      <w:r>
        <w:t>docker exec catalaxia-engine-dev psql -U catalaxia -d catalaxia -c "</w:t>
        <w:br/>
        <w:t>SELECT d.qname, d.value_numeric, d.unit_measure, d.period_kind,</w:t>
        <w:br/>
        <w:t xml:space="preserve">       d.start_date, d.end_date, d.instant_date, d.context_id,</w:t>
        <w:br/>
        <w:t xml:space="preserve">       d.accession_number,</w:t>
        <w:br/>
        <w:t xml:space="preserve">       p.source_hash, p.source_path, p.source_file</w:t>
        <w:br/>
        <w:t xml:space="preserve">  FROM derived.fact d</w:t>
        <w:br/>
        <w:t xml:space="preserve">  JOIN parsed.facts p ON p.fact_id = d.source_fact_ids[1]</w:t>
        <w:br/>
        <w:t xml:space="preserve"> WHERE d.fact_key = '&lt;FACT_KEY&gt;'"</w:t>
      </w:r>
    </w:p>
    <w:p>
      <w:pPr>
        <w:spacing w:after="80"/>
      </w:pPr>
      <w:r>
        <w:rPr>
          <w:b/>
        </w:rPr>
        <w:t>3 · Verificá el archivo</w:t>
      </w:r>
      <w:r>
        <w:t xml:space="preserve"> (el </w:t>
      </w:r>
      <w:r>
        <w:rPr>
          <w:rFonts w:ascii="Consolas" w:hAnsi="Consolas"/>
          <w:sz w:val="18"/>
        </w:rPr>
        <w:t>source_path</w:t>
      </w:r>
      <w:r>
        <w:t xml:space="preserve"> apunta al archivo — dentro del</w:t>
      </w:r>
    </w:p>
    <w:p>
      <w:pPr>
        <w:spacing w:after="80"/>
      </w:pPr>
      <w:r>
        <w:t>ZIP cuando corresponde):</w:t>
      </w:r>
    </w:p>
    <w:p>
      <w:pPr>
        <w:pStyle w:val="CodeBlock"/>
        <w:ind w:left="288"/>
      </w:pPr>
      <w:r>
        <w:t>sha256sum "&lt;source_path&gt;"</w:t>
      </w:r>
    </w:p>
    <w:p>
      <w:pPr>
        <w:spacing w:after="80"/>
      </w:pPr>
      <w:r>
        <w:t xml:space="preserve">debe coincidir con </w:t>
      </w:r>
      <w:r>
        <w:rPr>
          <w:rFonts w:ascii="Consolas" w:hAnsi="Consolas"/>
          <w:sz w:val="18"/>
        </w:rPr>
        <w:t>source_hash</w:t>
      </w:r>
      <w:r>
        <w:t>.</w:t>
      </w:r>
    </w:p>
    <w:p>
      <w:pPr>
        <w:spacing w:after="80"/>
      </w:pPr>
      <w:r>
        <w:rPr>
          <w:b/>
        </w:rPr>
        <w:t>Qué garantiza el motor a nivel de ratio</w:t>
      </w:r>
      <w:r>
        <w:t xml:space="preserve"> (Parte VII, R10): cada fila de</w:t>
      </w:r>
    </w:p>
    <w:p>
      <w:pPr>
        <w:spacing w:after="80"/>
      </w:pPr>
      <w:r>
        <w:rPr>
          <w:rFonts w:ascii="Consolas" w:hAnsi="Consolas"/>
          <w:sz w:val="18"/>
        </w:rPr>
        <w:t>derived.ratio.inputs</w:t>
      </w:r>
      <w:r>
        <w:t xml:space="preserve"> guarda, por insumo, el tag elegido, la cadena</w:t>
      </w:r>
    </w:p>
    <w:p>
      <w:pPr>
        <w:spacing w:after="80"/>
      </w:pPr>
      <w:r>
        <w:t xml:space="preserve">evaluada, el </w:t>
      </w:r>
      <w:r>
        <w:rPr>
          <w:rFonts w:ascii="Consolas" w:hAnsi="Consolas"/>
          <w:sz w:val="18"/>
        </w:rPr>
        <w:t>fact_key</w:t>
      </w:r>
      <w:r>
        <w:t xml:space="preserve">, los </w:t>
      </w:r>
      <w:r>
        <w:rPr>
          <w:rFonts w:ascii="Consolas" w:hAnsi="Consolas"/>
          <w:sz w:val="18"/>
        </w:rPr>
        <w:t>source_fact_ids</w:t>
      </w:r>
      <w:r>
        <w:t xml:space="preserve"> y el hash del archivo fuente.</w:t>
      </w:r>
    </w:p>
    <w:p>
      <w:pPr>
        <w:spacing w:after="80"/>
      </w:pPr>
      <w:r>
        <w:t xml:space="preserve">La guarda F-061 exige que esa provenance pertenezca al </w:t>
      </w:r>
      <w:r>
        <w:rPr>
          <w:b/>
        </w:rPr>
        <w:t>mismo</w:t>
      </w:r>
      <w:r>
        <w:t xml:space="preserve"> emisor,</w:t>
      </w:r>
    </w:p>
    <w:p>
      <w:pPr>
        <w:spacing w:after="80"/>
      </w:pPr>
      <w:r>
        <w:t>filing y concepto.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La diferencia CNV — dos campos que no son opcionales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qué exige la cadena cuando la fuente es CNV, antes de asumir que el</w:t>
      </w:r>
    </w:p>
    <w:p>
      <w:pPr>
        <w:spacing w:after="80"/>
      </w:pPr>
      <w:r>
        <w:t>procedimiento SEC generaliza tal cual.</w:t>
      </w:r>
    </w:p>
    <w:p>
      <w:pPr>
        <w:spacing w:after="80"/>
      </w:pPr>
      <w:r>
        <w:t>En emisores argentinos la cadena es idéntica en el modelo canónico, con dos</w:t>
      </w:r>
    </w:p>
    <w:p>
      <w:pPr>
        <w:spacing w:after="80"/>
      </w:pPr>
      <w:r>
        <w:t xml:space="preserve">campos </w:t>
      </w:r>
      <w:r>
        <w:rPr>
          <w:b/>
        </w:rPr>
        <w:t>obligatorios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por qué importa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`measurement_date`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bajo **IAS 29** la cifra está expresada en el poder adquisitivo de ese cierre. Sin él, el número no está definido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perímetro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`CONSOLIDADO` o `INDIVIDUAL`, primer componente de `context_id`</w:t>
            </w:r>
          </w:p>
        </w:tc>
      </w:tr>
    </w:tbl>
    <w:p/>
    <w:p>
      <w:pPr>
        <w:spacing w:after="80"/>
      </w:pPr>
      <w:r>
        <w:rPr>
          <w:rFonts w:ascii="Consolas" w:hAnsi="Consolas"/>
          <w:sz w:val="18"/>
        </w:rPr>
        <w:t>context_id</w:t>
      </w:r>
      <w:r>
        <w:t xml:space="preserve"> de CNV tiene la forma</w:t>
      </w:r>
    </w:p>
    <w:p>
      <w:pPr>
        <w:spacing w:after="80"/>
      </w:pPr>
      <w:r>
        <w:rPr>
          <w:rFonts w:ascii="Consolas" w:hAnsi="Consolas"/>
          <w:sz w:val="18"/>
        </w:rPr>
        <w:t>PERIMETRO|KIND|inicio|fin|medición</w:t>
      </w:r>
      <w:r>
        <w:t>, por ejemplo:</w:t>
      </w:r>
    </w:p>
    <w:p>
      <w:pPr>
        <w:pStyle w:val="CodeBlock"/>
        <w:ind w:left="288"/>
      </w:pPr>
      <w:r>
        <w:t>CONSOLIDADO|DURATION|2024-01-01|2024-12-31|2024-12-31</w:t>
      </w:r>
    </w:p>
    <w:p>
      <w:pPr>
        <w:spacing w:after="80"/>
      </w:pPr>
      <w:r>
        <w:t>Ejemplo real y completo con SHA verificado:</w:t>
      </w:r>
    </w:p>
    <w:p>
      <w:pPr>
        <w:spacing w:after="80"/>
      </w:pPr>
      <w:r>
        <w:rPr>
          <w:rFonts w:ascii="Consolas" w:hAnsi="Consolas"/>
          <w:sz w:val="18"/>
        </w:rPr>
        <w:t>outputs/docs/fase_cnv/METR_FY2024_PROVENANCE.csv</w:t>
      </w:r>
      <w:r>
        <w:t xml:space="preserve"> — una fila por</w:t>
      </w:r>
    </w:p>
    <w:p>
      <w:pPr>
        <w:spacing w:after="80"/>
      </w:pPr>
      <w:r>
        <w:rPr>
          <w:i/>
        </w:rPr>
        <w:t>(ratio, rol, fact)</w:t>
      </w:r>
      <w:r>
        <w:t xml:space="preserve">, </w:t>
      </w:r>
      <w:r>
        <w:rPr>
          <w:b/>
        </w:rPr>
        <w:t>70 ratios cubiertos</w:t>
      </w:r>
      <w:r>
        <w:t xml:space="preserve"> (pilar METR, Parte IX).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Las dos identidades — no confundirlas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Que un operador nunca mezcle </w:t>
      </w:r>
      <w:r>
        <w:rPr>
          <w:i/>
        </w:rPr>
        <w:t>"este hecho, en este documento"</w:t>
      </w:r>
      <w:r>
        <w:t xml:space="preserve"> con *"qué se</w:t>
      </w:r>
    </w:p>
    <w:p>
      <w:pPr>
        <w:spacing w:after="80"/>
      </w:pPr>
      <w:r>
        <w:t>está midiendo"*.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  <w:t>clave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  <w:t>fórmula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  <w:t>qué identifica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**`fact_key`**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`sha256(entity_key\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accession\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qname\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context_id\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unit_measure)`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**la ocurrencia**: este hecho, en este documento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**`econ_key`**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`sha256(entity_id\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qname\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perimetro\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period_kind\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start\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end\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unit_measure\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measurement_date)`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**el hecho económico**: qué se mide, sin el documento</w:t>
            </w:r>
          </w:p>
        </w:tc>
      </w:tr>
    </w:tbl>
    <w:p/>
    <w:p>
      <w:pPr>
        <w:spacing w:after="80"/>
      </w:pPr>
      <w:r>
        <w:t xml:space="preserve">Serialización canónica de </w:t>
      </w:r>
      <w:r>
        <w:rPr>
          <w:rFonts w:ascii="Consolas" w:hAnsi="Consolas"/>
          <w:sz w:val="18"/>
        </w:rPr>
        <w:t>econ_key</w:t>
      </w:r>
      <w:r>
        <w:t xml:space="preserve"> (normativa, en</w:t>
      </w:r>
    </w:p>
    <w:p>
      <w:pPr>
        <w:spacing w:after="80"/>
      </w:pPr>
      <w:r>
        <w:rPr>
          <w:rFonts w:ascii="Consolas" w:hAnsi="Consolas"/>
          <w:sz w:val="18"/>
        </w:rPr>
        <w:t>migrations/engine/036_economic_identity.sql</w:t>
      </w:r>
      <w:r>
        <w:t xml:space="preserve">): separador </w:t>
      </w:r>
      <w:r>
        <w:rPr>
          <w:rFonts w:ascii="Consolas" w:hAnsi="Consolas"/>
          <w:sz w:val="18"/>
        </w:rPr>
        <w:t>|</w:t>
      </w:r>
      <w:r>
        <w:t xml:space="preserve"> exactamente</w:t>
      </w:r>
    </w:p>
    <w:p>
      <w:pPr>
        <w:spacing w:after="80"/>
      </w:pPr>
      <w:r>
        <w:t xml:space="preserve">uno entre campos; NULL como cadena </w:t>
      </w:r>
      <w:r>
        <w:rPr>
          <w:b/>
        </w:rPr>
        <w:t>vacía</w:t>
      </w:r>
      <w:r>
        <w:t xml:space="preserve"> (nunca </w:t>
      </w:r>
      <w:r>
        <w:rPr>
          <w:rFonts w:ascii="Consolas" w:hAnsi="Consolas"/>
          <w:sz w:val="18"/>
        </w:rPr>
        <w:t>'NULL'</w:t>
      </w:r>
      <w:r>
        <w:t>/</w:t>
      </w:r>
      <w:r>
        <w:rPr>
          <w:rFonts w:ascii="Consolas" w:hAnsi="Consolas"/>
          <w:sz w:val="18"/>
        </w:rPr>
        <w:t>'None'</w:t>
      </w:r>
      <w:r>
        <w:t>);</w:t>
      </w:r>
    </w:p>
    <w:p>
      <w:pPr>
        <w:spacing w:after="80"/>
      </w:pPr>
      <w:r>
        <w:t xml:space="preserve">fechas ISO-8601 sin hora ni zona; para INSTANT el </w:t>
      </w:r>
      <w:r>
        <w:rPr>
          <w:rFonts w:ascii="Consolas" w:hAnsi="Consolas"/>
          <w:sz w:val="18"/>
        </w:rPr>
        <w:t>end_date</w:t>
      </w:r>
      <w:r>
        <w:t xml:space="preserve"> es la fecha del</w:t>
      </w:r>
    </w:p>
    <w:p>
      <w:pPr>
        <w:spacing w:after="80"/>
      </w:pPr>
      <w:r>
        <w:t xml:space="preserve">instante y el </w:t>
      </w:r>
      <w:r>
        <w:rPr>
          <w:rFonts w:ascii="Consolas" w:hAnsi="Consolas"/>
          <w:sz w:val="18"/>
        </w:rPr>
        <w:t>start_date</w:t>
      </w:r>
      <w:r>
        <w:t xml:space="preserve"> queda vacío; UTF-8; digest sha256 hexadecimal</w:t>
      </w:r>
    </w:p>
    <w:p>
      <w:pPr>
        <w:spacing w:after="80"/>
      </w:pPr>
      <w:r>
        <w:t>minúscula.</w:t>
      </w:r>
    </w:p>
    <w:p>
      <w:pPr>
        <w:spacing w:after="80"/>
      </w:pPr>
      <w:r>
        <w:rPr>
          <w:b/>
        </w:rPr>
        <w:t>Consecuencia práctica:</w:t>
      </w:r>
      <w:r>
        <w:t xml:space="preserve"> varias ocurrencias pueden compartir </w:t>
      </w:r>
      <w:r>
        <w:rPr>
          <w:rFonts w:ascii="Consolas" w:hAnsi="Consolas"/>
          <w:sz w:val="18"/>
        </w:rPr>
        <w:t>econ_key</w:t>
      </w:r>
    </w:p>
    <w:p>
      <w:pPr>
        <w:spacing w:after="80"/>
      </w:pPr>
      <w:r>
        <w:t>sin ser un duplicado — es el mismo hecho declarado dos veces, y las dos</w:t>
      </w:r>
    </w:p>
    <w:p>
      <w:pPr>
        <w:spacing w:after="80"/>
      </w:pPr>
      <w:r>
        <w:t xml:space="preserve">declaraciones se conservan. En el ciclo actual </w:t>
      </w:r>
      <w:r>
        <w:rPr>
          <w:rFonts w:ascii="Consolas" w:hAnsi="Consolas"/>
          <w:sz w:val="18"/>
        </w:rPr>
        <w:t>econ_key</w:t>
      </w:r>
      <w:r>
        <w:t xml:space="preserve"> es **NULL para los</w:t>
      </w:r>
    </w:p>
    <w:p>
      <w:pPr>
        <w:spacing w:after="80"/>
      </w:pPr>
      <w:r>
        <w:t>hechos de SEC**: es el alcance (ver Parte IX), no una omisión.</w:t>
      </w:r>
    </w:p>
    <w:p>
      <w:pPr>
        <w:spacing w:after="80"/>
      </w:pPr>
      <w:r>
        <w:rPr>
          <w:b/>
        </w:rPr>
        <w:t>Verificarla a mano</w:t>
      </w:r>
      <w:r>
        <w:t xml:space="preserve"> — con </w:t>
      </w:r>
      <w:r>
        <w:rPr>
          <w:rFonts w:ascii="Consolas" w:hAnsi="Consolas"/>
          <w:sz w:val="18"/>
        </w:rPr>
        <w:t>fact_key</w:t>
      </w:r>
      <w:r>
        <w:t xml:space="preserve"> alcanza, porque sus cinco</w:t>
      </w:r>
    </w:p>
    <w:p>
      <w:pPr>
        <w:spacing w:after="80"/>
      </w:pPr>
      <w:r>
        <w:t>componentes están en la fila:</w:t>
      </w:r>
    </w:p>
    <w:p>
      <w:pPr>
        <w:pStyle w:val="CodeBlock"/>
        <w:ind w:left="288"/>
      </w:pPr>
      <w:r>
        <w:t>python - &lt;&lt;'PY'</w:t>
        <w:br/>
        <w:t>import hashlib</w:t>
        <w:br/>
        <w:t>entity_key, accn, qname, ctx, unit = "&lt;ek&gt;", "&lt;accn&gt;", "&lt;qname&gt;", "&lt;ctx&gt;", "&lt;unit&gt;"</w:t>
        <w:br/>
        <w:t>print(hashlib.sha256("|".join((entity_key, accn, qname, ctx, unit or "")).encode()).hexdigest())</w:t>
        <w:br/>
        <w:t>PY</w:t>
      </w:r>
    </w:p>
    <w:p>
      <w:pPr>
        <w:spacing w:after="80"/>
      </w:pPr>
      <w:r>
        <w:t xml:space="preserve">Si no reproduce el </w:t>
      </w:r>
      <w:r>
        <w:rPr>
          <w:rFonts w:ascii="Consolas" w:hAnsi="Consolas"/>
          <w:sz w:val="18"/>
        </w:rPr>
        <w:t>fact_key</w:t>
      </w:r>
      <w:r>
        <w:t xml:space="preserve"> almacenado, la fila fue alterada.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5 · Qué NO tiene provenance — el mapa honesto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Saber dónde deja de cerrarse la cadena, antes de publicar un número que no se</w:t>
      </w:r>
    </w:p>
    <w:p>
      <w:pPr>
        <w:spacing w:after="80"/>
      </w:pPr>
      <w:r>
        <w:t>sostiene.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Ratios SEC en `derived.ratio`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**sí**: `inputs` JSONB + `source_fact_ids`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Ratios CNV del snapshot FY2024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**sí**: `METR_FY2024_PROVENANCE.csv`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Hechos CNV en `screener.db`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**parcial**: hay `accn`, **no hay SHA256**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Precios de mercado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**parcial**: `market_fetch_log`, `market_raw_files`; el enlace a emisor no resuelve (`SG-10` / **L-5**)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Ratios que combinan mercado y contabilidad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**no reconstruibles hoy** por el punto anterior</w:t>
            </w:r>
          </w:p>
        </w:tc>
      </w:tr>
    </w:tbl>
    <w:p/>
    <w:p>
      <w:pPr>
        <w:spacing w:after="80"/>
      </w:pPr>
      <w:r>
        <w:rPr>
          <w:b/>
        </w:rPr>
        <w:t>`KNOWN_LIMITATION`</w:t>
      </w:r>
      <w:r>
        <w:t xml:space="preserve"> — es la causa estructural de que la valuación</w:t>
      </w:r>
    </w:p>
    <w:p>
      <w:pPr>
        <w:spacing w:after="80"/>
      </w:pPr>
      <w:r>
        <w:t>generalizada esté bloqueada (Parte IX/XI del plan de mercado): el enlace</w:t>
      </w:r>
    </w:p>
    <w:p>
      <w:pPr>
        <w:spacing w:after="80"/>
      </w:pPr>
      <w:r>
        <w:rPr>
          <w:rFonts w:ascii="Consolas" w:hAnsi="Consolas"/>
          <w:sz w:val="18"/>
        </w:rPr>
        <w:t>market_instruments.entity_id</w:t>
      </w:r>
      <w:r>
        <w:t xml:space="preserve"> es un entero legacy, no el </w:t>
      </w:r>
      <w:r>
        <w:rPr>
          <w:rFonts w:ascii="Consolas" w:hAnsi="Consolas"/>
          <w:sz w:val="18"/>
        </w:rPr>
        <w:t>entity_id</w:t>
      </w:r>
    </w:p>
    <w:p>
      <w:pPr>
        <w:spacing w:after="80"/>
      </w:pPr>
      <w:r>
        <w:t xml:space="preserve">namespaced del engine, y no hay tabla puente. </w:t>
      </w:r>
      <w:r>
        <w:rPr>
          <w:b/>
        </w:rPr>
        <w:t>Documentada, no arreglada</w:t>
      </w:r>
    </w:p>
    <w:p>
      <w:pPr>
        <w:spacing w:after="80"/>
      </w:pPr>
      <w:r>
        <w:t>en este manual.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Regla de oro</w:t>
      </w:r>
    </w:p>
    <w:p>
      <w:pPr>
        <w:ind w:left="360"/>
      </w:pPr>
      <w:r>
        <w:rPr>
          <w:i/>
        </w:rPr>
        <w:t>**Un número sin provenance no se publica.** Si no podés recorrer la cadena</w:t>
      </w:r>
    </w:p>
    <w:p>
      <w:pPr>
        <w:ind w:left="360"/>
      </w:pPr>
      <w:r>
        <w:rPr>
          <w:i/>
        </w:rPr>
        <w:t>hasta un SHA256 verificable, el resultado va a `NOT_CALCULABLE` con su</w:t>
      </w:r>
    </w:p>
    <w:p>
      <w:pPr>
        <w:ind w:left="360"/>
      </w:pPr>
      <w:r>
        <w:rPr>
          <w:i/>
        </w:rPr>
        <w:t>causa — no a la salida con una nota al pie.</w:t>
      </w:r>
    </w:p>
    <w:p>
      <w:pPr>
        <w:spacing w:after="80"/>
      </w:pPr>
      <w:r>
        <w:rPr>
          <w:b/>
        </w:rPr>
        <w:t>GATE de la Parte X:</w:t>
      </w:r>
      <w:r>
        <w:t xml:space="preserve"> un procedimiento de provenance está verificado si y</w:t>
      </w:r>
    </w:p>
    <w:p>
      <w:pPr>
        <w:spacing w:after="80"/>
      </w:pPr>
      <w:r>
        <w:t xml:space="preserve">sólo si </w:t>
      </w:r>
      <w:r>
        <w:rPr>
          <w:b/>
        </w:rPr>
        <w:t>reproduce</w:t>
      </w:r>
      <w:r>
        <w:t xml:space="preserve"> el </w:t>
      </w:r>
      <w:r>
        <w:rPr>
          <w:rFonts w:ascii="Consolas" w:hAnsi="Consolas"/>
          <w:sz w:val="18"/>
        </w:rPr>
        <w:t>source_hash</w:t>
      </w:r>
      <w:r>
        <w:t xml:space="preserve"> almacenado calculando el SHA256 del</w:t>
      </w:r>
    </w:p>
    <w:p>
      <w:pPr>
        <w:spacing w:after="80"/>
      </w:pPr>
      <w:r>
        <w:t xml:space="preserve">archivo en disco (Paso 1, completado para </w:t>
      </w:r>
      <w:r>
        <w:rPr>
          <w:rFonts w:ascii="Consolas" w:hAnsi="Consolas"/>
          <w:sz w:val="18"/>
        </w:rPr>
        <w:t>Assets</w:t>
      </w:r>
      <w:r>
        <w:t xml:space="preserve"> YPF 2025-12-31). La</w:t>
      </w:r>
    </w:p>
    <w:p>
      <w:pPr>
        <w:spacing w:after="80"/>
      </w:pPr>
      <w:r>
        <w:t>cadena de ratios queda verificable método por método (Paso 2); el resto del</w:t>
      </w:r>
    </w:p>
    <w:p>
      <w:pPr>
        <w:spacing w:after="80"/>
      </w:pPr>
      <w:r>
        <w:t>mapa (Paso 5) está dicho sin suavizar.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*Los comandos de este capítulo fueron ejecutados y sus salidas verificadas en</w:t>
      </w:r>
    </w:p>
    <w:p>
      <w:pPr>
        <w:spacing w:after="80"/>
      </w:pPr>
      <w:r>
        <w:t>vivo (2026-09-04), incluida la verificación de SHA256 contra el archivo físico</w:t>
      </w:r>
    </w:p>
    <w:p>
      <w:pPr>
        <w:spacing w:after="80"/>
      </w:pPr>
      <w:r>
        <w:t>dentro del ZIP. Ninguna operación escribe en producción (5432).*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MANUAL_PART_X · Provenance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MANUAL_PART_X · Provenance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