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4"/>
        </w:rPr>
        <w:t>CATALAXIA</w:t>
      </w:r>
    </w:p>
    <w:p>
      <w:pPr>
        <w:jc w:val="center"/>
      </w:pPr>
      <w:r>
        <w:rPr>
          <w:b/>
          <w:sz w:val="46"/>
        </w:rPr>
        <w:t>INFORME DE RESULTADOS</w:t>
      </w:r>
    </w:p>
    <w:p>
      <w:pPr>
        <w:jc w:val="center"/>
      </w:pPr>
      <w:r>
        <w:rPr>
          <w:color w:val="5A5A5A"/>
          <w:sz w:val="24"/>
        </w:rPr>
        <w:t>Resultados técnicos, cobertura, calidad y homologación</w:t>
      </w:r>
    </w:p>
    <w:p>
      <w:pPr>
        <w:jc w:val="center"/>
      </w:pPr>
      <w:r>
        <w:rPr>
          <w:sz w:val="18"/>
        </w:rPr>
        <w:t>YPF · KO · METROGAS · SEC/EDGAR · CNV · MARKET · RATIOS · TIKR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KPI</w:t>
            </w:r>
          </w:p>
        </w:tc>
        <w:tc>
          <w:tcPr>
            <w:tcW w:type="dxa" w:w="255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Resultado</w:t>
            </w:r>
          </w:p>
        </w:tc>
        <w:tc>
          <w:tcPr>
            <w:tcW w:type="dxa" w:w="255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KPI</w:t>
            </w:r>
          </w:p>
        </w:tc>
        <w:tc>
          <w:tcPr>
            <w:tcW w:type="dxa" w:w="255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7"/>
              </w:rPr>
              <w:t>YPF normalizados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7"/>
              </w:rPr>
              <w:t>47.930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7"/>
              </w:rPr>
              <w:t>KO facts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7"/>
              </w:rPr>
              <w:t>45.113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7"/>
              </w:rPr>
              <w:t>METR canonical facts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7"/>
              </w:rPr>
              <w:t>2.795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7"/>
              </w:rPr>
              <w:t>CNV documentos censados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7"/>
              </w:rPr>
              <w:t>286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7"/>
              </w:rPr>
              <w:t>Comparaciones TIKR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7"/>
              </w:rPr>
              <w:t>327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7"/>
              </w:rPr>
              <w:t>Ratios CNV calculables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7"/>
              </w:rPr>
              <w:t>38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7"/>
              </w:rPr>
              <w:t>Instrumentos Market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7"/>
              </w:rPr>
              <w:t>584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7"/>
              </w:rPr>
              <w:t>Precios diarios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7"/>
              </w:rPr>
              <w:t>4.799.938</w:t>
            </w:r>
          </w:p>
        </w:tc>
      </w:tr>
    </w:tbl>
    <w:p/>
    <w:p>
      <w:pPr>
        <w:jc w:val="center"/>
      </w:pPr>
      <w:r>
        <w:rPr>
          <w:i/>
        </w:rPr>
        <w:t>Corte: 05/09/2026</w:t>
      </w:r>
    </w:p>
    <w:p>
      <w:r>
        <w:br w:type="page"/>
      </w:r>
    </w:p>
    <w:p>
      <w:pPr>
        <w:pStyle w:val="Heading1"/>
      </w:pPr>
      <w:r>
        <w:t>0. ROADMAP DE CONFIABILIDAD — DÓNDE ESTAMOS Y HACIA DÓNDE VAMOS</w:t>
      </w:r>
    </w:p>
    <w:p>
      <w:r>
        <w:t>Este apartado contextualiza los resultados del informe. El avance se expresa mediante evidencia verificable, no mediante un porcentaje subjetivo: qué ya fue demostrado, qué está en consolidación y qué evidencia concreta falta para alcanzar el estándar final.</w:t>
      </w:r>
    </w:p>
    <w:p>
      <w:pPr>
        <w:pStyle w:val="Heading2"/>
      </w:pPr>
      <w:r>
        <w:t>0.1 El objetivo final</w:t>
      </w:r>
    </w:p>
    <w:p>
      <w:r>
        <w:t>Catalaxia busca que cada ratio publicado sea confiable, consistente y reproducible: su definición debe ser inequívoca; sus inputs deben ser identificables; la fórmula y las reglas de selección deben estar versionadas; el resultado debe poder reproducirse con los mismos inputs, código y configuración; y un tercero debe poder recorrer el lineage desde el ratio hasta el hecho financiero y la fuente primaria.</w:t>
      </w:r>
    </w:p>
    <w:p>
      <w:pPr>
        <w:pStyle w:val="Heading2"/>
      </w:pPr>
      <w:r>
        <w:t>0.2 Estado actual basado en evidencia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Área</w:t>
            </w:r>
          </w:p>
        </w:tc>
        <w:tc>
          <w:tcPr>
            <w:tcW w:type="dxa" w:w="2160"/>
          </w:tcPr>
          <w:p>
            <w:r>
              <w:t>Evidencia ya obtenida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Qué falta para cerrar</w:t>
            </w:r>
          </w:p>
        </w:tc>
      </w:tr>
      <w:tr>
        <w:tc>
          <w:tcPr>
            <w:tcW w:type="dxa" w:w="2160"/>
            <w:vAlign w:val="center"/>
          </w:tcPr>
          <w:p>
            <w:r>
              <w:t>SEC / extracción</w:t>
            </w:r>
          </w:p>
        </w:tc>
        <w:tc>
          <w:tcPr>
            <w:tcW w:type="dxa" w:w="2160"/>
            <w:vAlign w:val="center"/>
          </w:tcPr>
          <w:p>
            <w:r>
              <w:t>YPF: 47.930 hechos normalizados; KO: 45.113. S00–S04 con gates históricos PASS en pilotos.</w:t>
            </w:r>
          </w:p>
        </w:tc>
        <w:tc>
          <w:tcPr>
            <w:tcW w:type="dxa" w:w="2160"/>
            <w:vAlign w:val="center"/>
          </w:tcPr>
          <w:p>
            <w:r>
              <w:t>DEMOSTRADO EN PILOTOS</w:t>
            </w:r>
          </w:p>
        </w:tc>
        <w:tc>
          <w:tcPr>
            <w:tcW w:type="dxa" w:w="2160"/>
            <w:vAlign w:val="center"/>
          </w:tcPr>
          <w:p>
            <w:r>
              <w:t>Cerrar idempotencia de S00/S02 y consolidar un E2E limpio.</w:t>
            </w:r>
          </w:p>
        </w:tc>
      </w:tr>
      <w:tr>
        <w:tc>
          <w:tcPr>
            <w:tcW w:type="dxa" w:w="2160"/>
            <w:vAlign w:val="center"/>
          </w:tcPr>
          <w:p>
            <w:r>
              <w:t>Integridad / multi-emisor</w:t>
            </w:r>
          </w:p>
        </w:tc>
        <w:tc>
          <w:tcPr>
            <w:tcW w:type="dxa" w:w="2160"/>
            <w:vAlign w:val="center"/>
          </w:tcPr>
          <w:p>
            <w:r>
              <w:t>F-054: 0 punteros foreign/hanging sobre 135.077; F-055: 0 contradicciones económicas reales en 8 emisores.</w:t>
            </w:r>
          </w:p>
        </w:tc>
        <w:tc>
          <w:tcPr>
            <w:tcW w:type="dxa" w:w="2160"/>
            <w:vAlign w:val="center"/>
          </w:tcPr>
          <w:p>
            <w:r>
              <w:t>DEMOSTRADO</w:t>
            </w:r>
          </w:p>
        </w:tc>
        <w:tc>
          <w:tcPr>
            <w:tcW w:type="dxa" w:w="2160"/>
            <w:vAlign w:val="center"/>
          </w:tcPr>
          <w:p>
            <w:r>
              <w:t>Mantener estos controles como regresión permanente.</w:t>
            </w:r>
          </w:p>
        </w:tc>
      </w:tr>
      <w:tr>
        <w:tc>
          <w:tcPr>
            <w:tcW w:type="dxa" w:w="2160"/>
            <w:vAlign w:val="center"/>
          </w:tcPr>
          <w:p>
            <w:r>
              <w:t>Ratios</w:t>
            </w:r>
          </w:p>
        </w:tc>
        <w:tc>
          <w:tcPr>
            <w:tcW w:type="dxa" w:w="2160"/>
            <w:vAlign w:val="center"/>
          </w:tcPr>
          <w:p>
            <w:r>
              <w:t>Auditoría independiente 60/60; política explícita NOT_CALCULABLE; F-058 adversarial 8/8.</w:t>
            </w:r>
          </w:p>
        </w:tc>
        <w:tc>
          <w:tcPr>
            <w:tcW w:type="dxa" w:w="2160"/>
            <w:vAlign w:val="center"/>
          </w:tcPr>
          <w:p>
            <w:r>
              <w:t>VALIDADO EN PILOTOS</w:t>
            </w:r>
          </w:p>
        </w:tc>
        <w:tc>
          <w:tcPr>
            <w:tcW w:type="dxa" w:w="2160"/>
            <w:vAlign w:val="center"/>
          </w:tcPr>
          <w:p>
            <w:r>
              <w:t>Completar modelo económico, cobertura y publicación certificada.</w:t>
            </w:r>
          </w:p>
        </w:tc>
      </w:tr>
      <w:tr>
        <w:tc>
          <w:tcPr>
            <w:tcW w:type="dxa" w:w="2160"/>
            <w:vAlign w:val="center"/>
          </w:tcPr>
          <w:p>
            <w:r>
              <w:t>CNV / METR</w:t>
            </w:r>
          </w:p>
        </w:tc>
        <w:tc>
          <w:tcPr>
            <w:tcW w:type="dxa" w:w="2160"/>
            <w:vAlign w:val="center"/>
          </w:tcPr>
          <w:p>
            <w:r>
              <w:t>2.795 hechos canónicos; 286/286 censo; 0 violaciones semánticas; 1.763 hechos reconstruidos independientemente.</w:t>
            </w:r>
          </w:p>
        </w:tc>
        <w:tc>
          <w:tcPr>
            <w:tcW w:type="dxa" w:w="2160"/>
            <w:vAlign w:val="center"/>
          </w:tcPr>
          <w:p>
            <w:r>
              <w:t>EN CONSOLIDACIÓN</w:t>
            </w:r>
          </w:p>
        </w:tc>
        <w:tc>
          <w:tcPr>
            <w:tcW w:type="dxa" w:w="2160"/>
            <w:vAlign w:val="center"/>
          </w:tcPr>
          <w:p>
            <w:r>
              <w:t>Completar extracción de códigos faltantes y cerrar PDFs/provenance donde corresponda.</w:t>
            </w:r>
          </w:p>
        </w:tc>
      </w:tr>
      <w:tr>
        <w:tc>
          <w:tcPr>
            <w:tcW w:type="dxa" w:w="2160"/>
            <w:vAlign w:val="center"/>
          </w:tcPr>
          <w:p>
            <w:r>
              <w:t>Provenance</w:t>
            </w:r>
          </w:p>
        </w:tc>
        <w:tc>
          <w:tcPr>
            <w:tcW w:type="dxa" w:w="2160"/>
            <w:vAlign w:val="center"/>
          </w:tcPr>
          <w:p>
            <w:r>
              <w:t>En flujos SEC auditados se puede recorrer fact → parsed → filing/RAW → SHA256.</w:t>
            </w:r>
          </w:p>
        </w:tc>
        <w:tc>
          <w:tcPr>
            <w:tcW w:type="dxa" w:w="2160"/>
            <w:vAlign w:val="center"/>
          </w:tcPr>
          <w:p>
            <w:r>
              <w:t>PARCIALMENTE DEMOSTRADO</w:t>
            </w:r>
          </w:p>
        </w:tc>
        <w:tc>
          <w:tcPr>
            <w:tcW w:type="dxa" w:w="2160"/>
            <w:vAlign w:val="center"/>
          </w:tcPr>
          <w:p>
            <w:r>
              <w:t>Extender el estándar a Market/CNV y a todos los ratios publicados.</w:t>
            </w:r>
          </w:p>
        </w:tc>
      </w:tr>
      <w:tr>
        <w:tc>
          <w:tcPr>
            <w:tcW w:type="dxa" w:w="2160"/>
            <w:vAlign w:val="center"/>
          </w:tcPr>
          <w:p>
            <w:r>
              <w:t>Reproducibilidad</w:t>
            </w:r>
          </w:p>
        </w:tc>
        <w:tc>
          <w:tcPr>
            <w:tcW w:type="dxa" w:w="2160"/>
            <w:vAlign w:val="center"/>
          </w:tcPr>
          <w:p>
            <w:r>
              <w:t>S03/S04 tienen evidencia positiva; idempotencia secuencial demostrada en componentes auditados.</w:t>
            </w:r>
          </w:p>
        </w:tc>
        <w:tc>
          <w:tcPr>
            <w:tcW w:type="dxa" w:w="2160"/>
            <w:vAlign w:val="center"/>
          </w:tcPr>
          <w:p>
            <w:r>
              <w:t>PARCIAL</w:t>
            </w:r>
          </w:p>
        </w:tc>
        <w:tc>
          <w:tcPr>
            <w:tcW w:type="dxa" w:w="2160"/>
            <w:vAlign w:val="center"/>
          </w:tcPr>
          <w:p>
            <w:r>
              <w:t>Resolver S00/S02 y obtener una ejecución E2E repetida bajo el mismo snapshot.</w:t>
            </w:r>
          </w:p>
        </w:tc>
      </w:tr>
      <w:tr>
        <w:tc>
          <w:tcPr>
            <w:tcW w:type="dxa" w:w="2160"/>
            <w:vAlign w:val="center"/>
          </w:tcPr>
          <w:p>
            <w:r>
              <w:t>Homologación externa</w:t>
            </w:r>
          </w:p>
        </w:tc>
        <w:tc>
          <w:tcPr>
            <w:tcW w:type="dxa" w:w="2160"/>
            <w:vAlign w:val="center"/>
          </w:tcPr>
          <w:p>
            <w:r>
              <w:t>TIKR: 327 comparaciones; 25 MATCH, 16 CLOSE, 174 explicadas; 8 UNRESOLVED (2,4%).</w:t>
            </w:r>
          </w:p>
        </w:tc>
        <w:tc>
          <w:tcPr>
            <w:tcW w:type="dxa" w:w="2160"/>
            <w:vAlign w:val="center"/>
          </w:tcPr>
          <w:p>
            <w:r>
              <w:t>EN PROGRESO</w:t>
            </w:r>
          </w:p>
        </w:tc>
        <w:tc>
          <w:tcPr>
            <w:tcW w:type="dxa" w:w="2160"/>
            <w:vAlign w:val="center"/>
          </w:tcPr>
          <w:p>
            <w:r>
              <w:t>Investigar los 8 casos restantes y ampliar cobertura.</w:t>
            </w:r>
          </w:p>
        </w:tc>
      </w:tr>
      <w:tr>
        <w:tc>
          <w:tcPr>
            <w:tcW w:type="dxa" w:w="2160"/>
            <w:vAlign w:val="center"/>
          </w:tcPr>
          <w:p>
            <w:r>
              <w:t>Certificación global</w:t>
            </w:r>
          </w:p>
        </w:tc>
        <w:tc>
          <w:tcPr>
            <w:tcW w:type="dxa" w:w="2160"/>
            <w:vAlign w:val="center"/>
          </w:tcPr>
          <w:p>
            <w:r>
              <w:t>Los pilotos y auditorías muestran controles reales, pero todavía no existe certificación global.</w:t>
            </w:r>
          </w:p>
        </w:tc>
        <w:tc>
          <w:tcPr>
            <w:tcW w:type="dxa" w:w="2160"/>
            <w:vAlign w:val="center"/>
          </w:tcPr>
          <w:p>
            <w:r>
              <w:t>PENDIENTE</w:t>
            </w:r>
          </w:p>
        </w:tc>
        <w:tc>
          <w:tcPr>
            <w:tcW w:type="dxa" w:w="2160"/>
            <w:vAlign w:val="center"/>
          </w:tcPr>
          <w:p>
            <w:r>
              <w:t>Unificar gates, snapshot, provenance, idempotencia y auditoría en una única certificación.</w:t>
            </w:r>
          </w:p>
        </w:tc>
      </w:tr>
    </w:tbl>
    <w:p>
      <w:pPr>
        <w:pStyle w:val="Heading2"/>
      </w:pPr>
      <w:r>
        <w:t>0.3 Qué significa llegar a “ratio certificado”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Propiedad</w:t>
            </w:r>
          </w:p>
        </w:tc>
        <w:tc>
          <w:tcPr>
            <w:tcW w:type="dxa" w:w="2880"/>
          </w:tcPr>
          <w:p>
            <w:r>
              <w:t>Criterio verificable</w:t>
            </w:r>
          </w:p>
        </w:tc>
        <w:tc>
          <w:tcPr>
            <w:tcW w:type="dxa" w:w="2880"/>
          </w:tcPr>
          <w:p>
            <w:r>
              <w:t>Resultado esperado</w:t>
            </w:r>
          </w:p>
        </w:tc>
      </w:tr>
      <w:tr>
        <w:tc>
          <w:tcPr>
            <w:tcW w:type="dxa" w:w="2880"/>
          </w:tcPr>
          <w:p>
            <w:r>
              <w:t>Correcto</w:t>
            </w:r>
          </w:p>
        </w:tc>
        <w:tc>
          <w:tcPr>
            <w:tcW w:type="dxa" w:w="2880"/>
          </w:tcPr>
          <w:p>
            <w:r>
              <w:t>Inputs, unidades, períodos, perímetro y matemática coherentes con la definición económica.</w:t>
            </w:r>
          </w:p>
        </w:tc>
        <w:tc>
          <w:tcPr>
            <w:tcW w:type="dxa" w:w="2880"/>
          </w:tcPr>
          <w:p>
            <w:r>
              <w:t>El valor representa el concepto que declara representar.</w:t>
            </w:r>
          </w:p>
        </w:tc>
      </w:tr>
      <w:tr>
        <w:tc>
          <w:tcPr>
            <w:tcW w:type="dxa" w:w="2880"/>
          </w:tcPr>
          <w:p>
            <w:r>
              <w:t>Consistente</w:t>
            </w:r>
          </w:p>
        </w:tc>
        <w:tc>
          <w:tcPr>
            <w:tcW w:type="dxa" w:w="2880"/>
          </w:tcPr>
          <w:p>
            <w:r>
              <w:t>La definición canónica se aplica de la misma forma entre emisores y períodos comparables.</w:t>
            </w:r>
          </w:p>
        </w:tc>
        <w:tc>
          <w:tcPr>
            <w:tcW w:type="dxa" w:w="2880"/>
          </w:tcPr>
          <w:p>
            <w:r>
              <w:t>Las comparaciones no dependen de una etiqueta aislada o de una fuente particular.</w:t>
            </w:r>
          </w:p>
        </w:tc>
      </w:tr>
      <w:tr>
        <w:tc>
          <w:tcPr>
            <w:tcW w:type="dxa" w:w="2880"/>
          </w:tcPr>
          <w:p>
            <w:r>
              <w:t>Reproducible</w:t>
            </w:r>
          </w:p>
        </w:tc>
        <w:tc>
          <w:tcPr>
            <w:tcW w:type="dxa" w:w="2880"/>
          </w:tcPr>
          <w:p>
            <w:r>
              <w:t>Mismo snapshot + misma versión de código + misma configuración → mismo resultado.</w:t>
            </w:r>
          </w:p>
        </w:tc>
        <w:tc>
          <w:tcPr>
            <w:tcW w:type="dxa" w:w="2880"/>
          </w:tcPr>
          <w:p>
            <w:r>
              <w:t>Hashes y conteos estables; cero diferencias no explicadas.</w:t>
            </w:r>
          </w:p>
        </w:tc>
      </w:tr>
      <w:tr>
        <w:tc>
          <w:tcPr>
            <w:tcW w:type="dxa" w:w="2880"/>
          </w:tcPr>
          <w:p>
            <w:r>
              <w:t>Auditable</w:t>
            </w:r>
          </w:p>
        </w:tc>
        <w:tc>
          <w:tcPr>
            <w:tcW w:type="dxa" w:w="2880"/>
          </w:tcPr>
          <w:p>
            <w:r>
              <w:t>Ratio → fórmula → inputs → hecho → filing/RAW → archivo → SHA256.</w:t>
            </w:r>
          </w:p>
        </w:tc>
        <w:tc>
          <w:tcPr>
            <w:tcW w:type="dxa" w:w="2880"/>
          </w:tcPr>
          <w:p>
            <w:r>
              <w:t>Un tercero puede reconstruir el origen del resultado.</w:t>
            </w:r>
          </w:p>
        </w:tc>
      </w:tr>
      <w:tr>
        <w:tc>
          <w:tcPr>
            <w:tcW w:type="dxa" w:w="2880"/>
          </w:tcPr>
          <w:p>
            <w:r>
              <w:t>Certificable</w:t>
            </w:r>
          </w:p>
        </w:tc>
        <w:tc>
          <w:tcPr>
            <w:tcW w:type="dxa" w:w="2880"/>
          </w:tcPr>
          <w:p>
            <w:r>
              <w:t>Todos los controles/gates requeridos pasan y existe evidencia independiente.</w:t>
            </w:r>
          </w:p>
        </w:tc>
        <w:tc>
          <w:tcPr>
            <w:tcW w:type="dxa" w:w="2880"/>
          </w:tcPr>
          <w:p>
            <w:r>
              <w:t>El ratio puede publicarse con estado CERTIFIED.</w:t>
            </w:r>
          </w:p>
        </w:tc>
      </w:tr>
    </w:tbl>
    <w:p>
      <w:pPr>
        <w:pStyle w:val="Heading2"/>
      </w:pPr>
      <w:r>
        <w:t>0.4 Próximos hitos</w:t>
      </w:r>
    </w:p>
    <w:p>
      <w:r>
        <w:rPr>
          <w:b/>
        </w:rPr>
        <w:t xml:space="preserve">• </w:t>
      </w:r>
      <w:r>
        <w:t>Hito 1 — Reproducibilidad SEC: corregir/cerrar S00 y S02 y ejecutar un E2E limpio y repetible para YPF y KO.</w:t>
      </w:r>
    </w:p>
    <w:p>
      <w:r>
        <w:rPr>
          <w:b/>
        </w:rPr>
        <w:t xml:space="preserve">• </w:t>
      </w:r>
      <w:r>
        <w:t>Hito 2 — Modelo económico: formalizar Economic Facts y Financial Model para que los ratios no dependan únicamente de tags.</w:t>
      </w:r>
    </w:p>
    <w:p>
      <w:r>
        <w:rPr>
          <w:b/>
        </w:rPr>
        <w:t xml:space="preserve">• </w:t>
      </w:r>
      <w:r>
        <w:t>Hito 3 — CNV completo: ampliar vocabulario, preservar NIL versus cero, completar provenance y avanzar sobre PDF cuando sea necesario.</w:t>
      </w:r>
    </w:p>
    <w:p>
      <w:r>
        <w:rPr>
          <w:b/>
        </w:rPr>
        <w:t xml:space="preserve">• </w:t>
      </w:r>
      <w:r>
        <w:t>Hito 4 — Market + fundamentals: consolidar la relación instrumento → entidad y la trazabilidad de los inputs de valoración.</w:t>
      </w:r>
    </w:p>
    <w:p>
      <w:r>
        <w:rPr>
          <w:b/>
        </w:rPr>
        <w:t xml:space="preserve">• </w:t>
      </w:r>
      <w:r>
        <w:t>Hito 5 — Homologación: llevar los casos UNRESOLVED de TIKR a una explicación documentada o declararlos INCOMPARABLE/ANOMALY cuando la evidencia lo justifique.</w:t>
      </w:r>
    </w:p>
    <w:p>
      <w:r>
        <w:rPr>
          <w:b/>
        </w:rPr>
        <w:t xml:space="preserve">• </w:t>
      </w:r>
      <w:r>
        <w:t>Hito 6 — Certificación: establecer un gate único para distinguir CALCULABLE, VALIDATED, REPRODUCIBLE, AUDITED, CERTIFIED y PUBLISHED.</w:t>
      </w:r>
    </w:p>
    <w:p>
      <w:pPr>
        <w:pStyle w:val="Heading2"/>
      </w:pPr>
      <w:r>
        <w:t>0.5 Principio de interpretación</w:t>
      </w:r>
    </w:p>
    <w:p>
      <w:r>
        <w:t>Los resultados no deben interpretarse como una afirmación de certificación global. La conclusión respaldada por la evidencia es más precisa: existe una base funcional y validada en pilotos, con controles y auditorías que ya demostraron propiedades importantes; el trabajo pendiente consiste principalmente en cerrar reproducibilidad end-to-end, cobertura, provenance y certificación a escala. Las metas futuras son objetivos, no resultados ya obtenidos.</w:t>
      </w:r>
    </w:p>
    <w:p>
      <w:pPr>
        <w:pStyle w:val="Heading1"/>
      </w:pPr>
      <w:r>
        <w:t>1. Resultado general</w:t>
      </w:r>
    </w:p>
    <w:p>
      <w:r>
        <w:t>Catalaxia demuestra una cadena funcional de ingesta, parsing, normalización, modelado y validación en pilotos reales. La evidencia disponible es sólida en SEC/EDGAR y parcial en CNV/Market. El estado global permanece en PASS WITH WARNINGS porque subsisten brechas de idempotencia, integración y cobertura.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Área</w:t>
            </w:r>
          </w:p>
        </w:tc>
        <w:tc>
          <w:tcPr>
            <w:tcW w:type="dxa" w:w="34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Resultado</w:t>
            </w:r>
          </w:p>
        </w:tc>
        <w:tc>
          <w:tcPr>
            <w:tcW w:type="dxa" w:w="34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SEC / YPF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27 filings; 67.084 parsed; 47.930 normalized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PASS WITH WARNINGS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SEC / KO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45.113 facts; 17 XBRL + 14 pre-XBRL; 20/20 registry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PASS WITH WARNINGS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CNV / METR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286 censados; 58 procesados; 2.795 canonical facts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PASS WITH WARNINGS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Market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4.799.938 precios; 584 instrumentos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Datos disponibles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Provenance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Trazabilidad hasta archivo/SHA en muestras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PARCIAL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Idempotencia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S03/S04 demostradas; S00/S02 pendientes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PARCIAL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TIKR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327 comparaciones; 8 unresolved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7"/>
              </w:rPr>
              <w:t>BENCHMARK</w:t>
            </w:r>
          </w:p>
        </w:tc>
      </w:tr>
    </w:tbl>
    <w:p/>
    <w:p>
      <w:pPr>
        <w:pStyle w:val="Heading1"/>
      </w:pPr>
      <w:r>
        <w:t>2. Pilotos</w:t>
      </w:r>
    </w:p>
    <w:p>
      <w:pPr>
        <w:pStyle w:val="Heading2"/>
      </w:pPr>
      <w:r>
        <w:t>2.1 YPF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Indicador</w:t>
            </w:r>
          </w:p>
        </w:tc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CIK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0000904851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Filings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27 (2002–2026)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Parsed facts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67.084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Normalized facts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47.930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S02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171/171 PASS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S03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27/27; 67.084 facts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S04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67.084 → 47.930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EPS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≈ -2,11 USD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P/B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≈ 1,836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EV/Sales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≈ 1,599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P/E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NOT_CALCULABLE</w:t>
            </w:r>
          </w:p>
        </w:tc>
      </w:tr>
    </w:tbl>
    <w:p/>
    <w:p>
      <w:r>
        <w:rPr>
          <w:b/>
        </w:rPr>
        <w:t xml:space="preserve">Resultado: </w:t>
      </w:r>
      <w:r>
        <w:t>la cadena SEC está operativa; la principal limitación es que S00/S02 todavía presentan problemas de segunda ejecución y la evidencia actual combina corridas históricas.</w:t>
      </w:r>
    </w:p>
    <w:p>
      <w:r>
        <w:drawing>
          <wp:inline xmlns:a="http://schemas.openxmlformats.org/drawingml/2006/main" xmlns:pic="http://schemas.openxmlformats.org/drawingml/2006/picture">
            <wp:extent cx="5760720" cy="27341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4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2.2 KO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Indicador</w:t>
            </w:r>
          </w:p>
        </w:tc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CIK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0000021344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Facts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45.113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XBRL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17 filings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Pre-XBRL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14 filings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QNames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12.061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Registry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20/20 conceptos resueltos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EPS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3,05 USD CALCULADO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Desempate IDENTICO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26.172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POR_PRECISION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12.746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POR_FACT_ID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3.113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UNICO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3.082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S03 idempotencia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Demostrada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S04 idempotencia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Demostrada</w:t>
            </w:r>
          </w:p>
        </w:tc>
      </w:tr>
    </w:tbl>
    <w:p/>
    <w:p>
      <w:r>
        <w:t>Resultado: KO demuestra que el modelo multi-taxonomía resuelve US-GAAP sin una rama específica por emisor y aporta la evidencia más fuerte de idempotencia SEC.</w:t>
      </w:r>
    </w:p>
    <w:p>
      <w:pPr>
        <w:pStyle w:val="Heading2"/>
      </w:pPr>
      <w:r>
        <w:t>2.3 METROGAS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Indicador</w:t>
            </w:r>
          </w:p>
        </w:tc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CUIT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30657863676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Documentos censados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286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Procesados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58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Rechazados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Canonical facts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2.795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Documentos útiles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56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Shells / espera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226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Períodos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29 por perímetro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Perímetros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CONSOLIDADO + INDIVIDUAL</w:t>
            </w:r>
          </w:p>
        </w:tc>
      </w:tr>
    </w:tbl>
    <w:p/>
    <w:p>
      <w:r>
        <w:t>Resultado: el modelo CNV canónico conserva entidad, período, perímetro, unidad, escala y measurement_date; la extracción completa todavía requiere F-063 y la integración definitiva del tramo canónico.</w:t>
      </w:r>
    </w:p>
    <w:p>
      <w:pPr>
        <w:pStyle w:val="Heading1"/>
      </w:pPr>
      <w:r>
        <w:t>3. CNV — cobertura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Métrica</w:t>
            </w:r>
          </w:p>
        </w:tc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Tags declarados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81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Tags reconocidos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51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Tags no reconocidos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25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Observaciones con valor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4.028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Observaciones extraídas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2.891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Observaciones perdidas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1.137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NIL descartados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258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Ratios calculables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38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720" cy="27341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4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Resultado: F-062 no detectó pérdida entre reconocido → persistido → canónico. La pérdida se concentra principalmente en vocabulario no reconocido y NIL. F-063 es el paso de mayor impacto para elevar cobertura.</w:t>
      </w:r>
    </w:p>
    <w:p>
      <w:pPr>
        <w:pStyle w:val="Heading1"/>
      </w:pPr>
      <w:r>
        <w:t>4. Ratios y Financial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Familia</w:t>
            </w:r>
          </w:p>
        </w:tc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Ratios contables definidos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14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Ratios mercado/valuación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EPS, P/E, P/B, EV/Sales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Ratios CNV reconocidos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12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Ratios CNV calculables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38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EV/EBITDA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No calculable completamente por ausencia de D&amp;A consistente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FCF family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Limitada principalmente por CapEx detallado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NOT_CALCULABLE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Se utiliza cuando falta input, período/unidad compatible o precio</w:t>
            </w:r>
          </w:p>
        </w:tc>
      </w:tr>
    </w:tbl>
    <w:p/>
    <w:p>
      <w:r>
        <w:t>Resultado: el motor aplica una política explícita de NOT_CALCULABLE; no sustituye faltantes por cero ni por otro período.</w:t>
      </w:r>
    </w:p>
    <w:p>
      <w:pPr>
        <w:pStyle w:val="Heading1"/>
      </w:pPr>
      <w:r>
        <w:t>5. Market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Indicador</w:t>
            </w:r>
          </w:p>
        </w:tc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Precios diarios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4.799.938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Instrumentos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584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Corporate actions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51.917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Quality checks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8.322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Fetch log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601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Symbol mappings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584</w:t>
            </w:r>
          </w:p>
        </w:tc>
      </w:tr>
    </w:tbl>
    <w:p/>
    <w:p>
      <w:r>
        <w:t>Validación destacada METR FY2025: P/E ≈ 11,09 en Catalaxia vs 11,10 en TIKR; P/B ≈ 1,51 en ambos. Market Cap mostró una diferencia aproximada de -0,03% en 4/5 años del benchmark.</w:t>
      </w:r>
    </w:p>
    <w:p>
      <w:r>
        <w:t>Brecha estructural: el entity_id de market_instruments continúa en un espacio legacy distinto del entity_id namespaced del engine.</w:t>
      </w:r>
    </w:p>
    <w:p>
      <w:pPr>
        <w:pStyle w:val="Heading1"/>
      </w:pPr>
      <w:r>
        <w:t>6. Provenance e integridad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Control</w:t>
            </w:r>
          </w:p>
        </w:tc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S02 SHA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RAW revalidado mediante SHA256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S03 hash_out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hashout-v2 sensible al contenido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S04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hash de entrada recalculado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KO provenance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SHA DB = SHA archivo en muestra auditada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Pointers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0 foreign/hanging pointers tras F-054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Contradicciones de contexto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0 reales tras F-055</w:t>
            </w:r>
          </w:p>
        </w:tc>
      </w:tr>
    </w:tbl>
    <w:p/>
    <w:p>
      <w:pPr>
        <w:pStyle w:val="Heading1"/>
      </w:pPr>
      <w:r>
        <w:t>7. Idempotencia</w:t>
      </w:r>
    </w:p>
    <w:p>
      <w:r>
        <w:drawing>
          <wp:inline xmlns:a="http://schemas.openxmlformats.org/drawingml/2006/main" xmlns:pic="http://schemas.openxmlformats.org/drawingml/2006/picture">
            <wp:extent cx="5760720" cy="27387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877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Etapa</w:t>
            </w:r>
          </w:p>
        </w:tc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S00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NO — segunda ejecución puede generar UniqueViolation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S01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No certificada como E2E multi-emisor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S02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NO — problema de checkpoint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S03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SÍ — demostrada en KO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S04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SÍ — demostrada en KO</w:t>
            </w:r>
          </w:p>
        </w:tc>
      </w:tr>
    </w:tbl>
    <w:p/>
    <w:p>
      <w:pPr>
        <w:pStyle w:val="Heading1"/>
      </w:pPr>
      <w:r>
        <w:t>8. Homologación TIKR — METR</w:t>
      </w:r>
    </w:p>
    <w:p>
      <w:r>
        <w:drawing>
          <wp:inline xmlns:a="http://schemas.openxmlformats.org/drawingml/2006/main" xmlns:pic="http://schemas.openxmlformats.org/drawingml/2006/picture">
            <wp:extent cx="5760720" cy="27363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34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Indicador</w:t>
            </w:r>
          </w:p>
        </w:tc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Comparaciones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327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Métricas distintas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59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MATCH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25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CLOSE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16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Diferencias explicadas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174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CATALAXIA_MISSING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73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CATALAXIA_ONLY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30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TIKR_ONLY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UNRESOLVED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8 (2,4%)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Backlog P0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Backlog P1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Backlog P2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Backlog P3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Tema</w:t>
            </w:r>
          </w:p>
        </w:tc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Resultado observado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IAS 29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TIKR reexpresa comparativos; Catalaxia conserva AS_REPORTED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FX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TIKR A3500 wholesale; Catalaxia MEP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ETR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Coincide 2022–2025, incluido beneficio fiscal 2023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ROA/ROE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Diferencias explicadas por uso de promedio vs cierre en ciertos años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EBITDA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Fórmula TIKR no demostrada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CapEx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Detalle PDF pendiente para cerrar FCF</w:t>
            </w:r>
          </w:p>
        </w:tc>
      </w:tr>
    </w:tbl>
    <w:p/>
    <w:p>
      <w:pPr>
        <w:pStyle w:val="Heading1"/>
      </w:pPr>
      <w:r>
        <w:t>9. Auditorías y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Control</w:t>
            </w:r>
          </w:p>
        </w:tc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SEC E2E recovery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S00 PASS; S01 4/4; S02 187/187; S03 27/27; S04 9/9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SEC integrity audit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16/16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Ratio independent audit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60/60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CNV semantic W1/W2/W3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CNV adapter audit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24 checks; 0 failures; 1 warning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CNV W1.1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11/11 invariants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F-062 independent audit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PASS; 0 failures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METR Golden Run auditor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PASS; 1.763 facts reconstruidos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METR tests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18 green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CNV adversarial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8/10 barriers</w:t>
            </w:r>
          </w:p>
        </w:tc>
      </w:tr>
    </w:tbl>
    <w:p/>
    <w:p>
      <w:pPr>
        <w:pStyle w:val="Heading1"/>
      </w:pPr>
      <w:r>
        <w:t>10. Veredicto consolidado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Dimensión</w:t>
            </w:r>
          </w:p>
        </w:tc>
        <w:tc>
          <w:tcPr>
            <w:tcW w:type="dxa" w:w="5100"/>
            <w:vAlign w:val="center"/>
            <w:shd w:fill="333333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Ingesta SEC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FUNCIONAL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Multi-taxonomía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DEMOSTRADA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Normalización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DEMOSTRADA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CNV canónico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PARCIAL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Market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DATOS DISPONIBLES / integración pendiente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Ratios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PARCIAL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Provenance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PARCIAL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Idempotencia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PARCIAL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TIKR benchmark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EJECUTADO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Certificación global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7"/>
              </w:rPr>
              <w:t>NO LISTA</w:t>
            </w:r>
          </w:p>
        </w:tc>
      </w:tr>
    </w:tbl>
    <w:p/>
    <w:p>
      <w:pPr>
        <w:jc w:val="center"/>
      </w:pPr>
      <w:r>
        <w:rPr>
          <w:b/>
          <w:sz w:val="28"/>
        </w:rPr>
        <w:t>CATALAXIA: FUNCIONAL Y VALIDADA EN PILOTOS, PERO NO CERTIFICADA GLOBALMENTE</w:t>
      </w:r>
    </w:p>
    <w:p>
      <w:r>
        <w:t>La evidencia es suficiente para afirmar que el núcleo funciona en casos reales y heterogéneos. No es suficiente todavía para afirmar cierre productivo multi-emisor de toda la plataforma.</w:t>
      </w:r>
    </w:p>
    <w:sectPr w:rsidR="00FC693F" w:rsidRPr="0006063C" w:rsidSect="00034616">
      <w:footerReference w:type="default" r:id="rId13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Catalaxia — Informe de Resultados | v2 — Roadmap de confiabilidad incorporado | Corte 05/09/2026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3232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