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CATALAXIA</w:t>
      </w:r>
    </w:p>
    <w:p>
      <w:pPr>
        <w:jc w:val="center"/>
      </w:pPr>
      <w:r>
        <w:rPr>
          <w:b/>
          <w:sz w:val="46"/>
        </w:rPr>
        <w:t>INFORME DE RESULTADOS</w:t>
      </w:r>
    </w:p>
    <w:p>
      <w:pPr>
        <w:jc w:val="center"/>
      </w:pPr>
      <w:r>
        <w:rPr>
          <w:color w:val="5A5A5A"/>
          <w:sz w:val="24"/>
        </w:rPr>
        <w:t>Resultados técnicos, cobertura, calidad y homologación</w:t>
      </w:r>
    </w:p>
    <w:p>
      <w:pPr>
        <w:jc w:val="center"/>
      </w:pPr>
      <w:r>
        <w:rPr>
          <w:sz w:val="18"/>
        </w:rPr>
        <w:t>YPF · KO · METROGAS · SEC/EDGAR · CNV · MARKET · RATIOS · TIKR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YPF normalizados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47.930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KO facts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45.113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METR canonical facts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2.795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CNV documentos censados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286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Comparaciones TIKR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327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Ratios CNV calculables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Instrumentos Market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Precios diarios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4.799.938</w:t>
            </w:r>
          </w:p>
        </w:tc>
      </w:tr>
    </w:tbl>
    <w:p/>
    <w:p>
      <w:pPr>
        <w:jc w:val="center"/>
      </w:pPr>
      <w:r>
        <w:rPr>
          <w:i/>
        </w:rPr>
        <w:t>Corte: 05/09/2026</w:t>
      </w:r>
    </w:p>
    <w:p>
      <w:r>
        <w:br w:type="page"/>
      </w:r>
    </w:p>
    <w:p>
      <w:pPr>
        <w:pStyle w:val="Heading1"/>
      </w:pPr>
      <w:r>
        <w:t>1. Resultado general</w:t>
      </w:r>
    </w:p>
    <w:p>
      <w:r>
        <w:t>Catalaxia demuestra una cadena funcional de ingesta, parsing, normalización, modelado y validación en pilotos reales. La evidencia disponible es sólida en SEC/EDGAR y parcial en CNV/Market. El estado global permanece en PASS WITH WARNINGS porque subsisten brechas de idempotencia, integración y cobertura.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Área</w:t>
            </w:r>
          </w:p>
        </w:tc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SEC / YPF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27 filings; 67.084 parsed; 47.930 normalized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SEC / KO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45.113 facts; 17 XBRL + 14 pre-XBRL; 20/20 registry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CNV / METR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286 censados; 58 procesados; 2.795 canonical facts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4.799.938 precios; 584 instrumentos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Datos disponibles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Trazabilidad hasta archivo/SHA en muestras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S03/S04 demostradas; S00/S02 pendientes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TIKR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327 comparaciones; 8 unresolved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BENCHMARK</w:t>
            </w:r>
          </w:p>
        </w:tc>
      </w:tr>
    </w:tbl>
    <w:p/>
    <w:p>
      <w:pPr>
        <w:pStyle w:val="Heading1"/>
      </w:pPr>
      <w:r>
        <w:t>2. Pilotos</w:t>
      </w:r>
    </w:p>
    <w:p>
      <w:pPr>
        <w:pStyle w:val="Heading2"/>
      </w:pPr>
      <w:r>
        <w:t>2.1 YPF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CIK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0000904851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Filings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27 (2002–2026)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Parsed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67.084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Normalized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47.930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171/171 PASS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27/27; 67.084 facts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67.084 → 47.930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-2,11 USD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P/B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1,836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EV/Sales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1,599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P/E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NOT_CALCULABLE</w:t>
            </w:r>
          </w:p>
        </w:tc>
      </w:tr>
    </w:tbl>
    <w:p/>
    <w:p>
      <w:r>
        <w:rPr>
          <w:b/>
        </w:rPr>
        <w:t xml:space="preserve">Resultado: </w:t>
      </w:r>
      <w:r>
        <w:t>la cadena SEC está operativa; la principal limitación es que S00/S02 todavía presentan problemas de segunda ejecución y la evidencia actual combina corridas históricas.</w:t>
      </w:r>
    </w:p>
    <w:p>
      <w:r>
        <w:drawing>
          <wp:inline xmlns:a="http://schemas.openxmlformats.org/drawingml/2006/main" xmlns:pic="http://schemas.openxmlformats.org/drawingml/2006/picture">
            <wp:extent cx="5760720" cy="273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CIK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0000021344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45.113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XBRL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 filings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Pre-XBRL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14 filings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QNames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12.061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Registry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20/20 conceptos resueltos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3,05 USD CALCULADO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Desempate IDENTICO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26.172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POR_PRECISION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12.746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POR_FACT_ID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3.113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UNICO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3.082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 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 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</w:tbl>
    <w:p/>
    <w:p>
      <w:r>
        <w:t>Resultado: KO demuestra que el modelo multi-taxonomía resuelve US-GAAP sin una rama específica por emisor y aporta la evidencia más fuerte de idempotencia SEC.</w:t>
      </w:r>
    </w:p>
    <w:p>
      <w:pPr>
        <w:pStyle w:val="Heading2"/>
      </w:pPr>
      <w:r>
        <w:t>2.3 METROGAS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CUIT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30657863676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Documentos censados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286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Procesados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Rechazados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Canonical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2.795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Documentos útiles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Shells / espera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226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Períodos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29 por perímetro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Perímetros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CONSOLIDADO + INDIVIDUAL</w:t>
            </w:r>
          </w:p>
        </w:tc>
      </w:tr>
    </w:tbl>
    <w:p/>
    <w:p>
      <w:r>
        <w:t>Resultado: el modelo CNV canónico conserva entidad, período, perímetro, unidad, escala y measurement_date; la extracción completa todavía requiere F-063 y la integración definitiva del tramo canónico.</w:t>
      </w:r>
    </w:p>
    <w:p>
      <w:pPr>
        <w:pStyle w:val="Heading1"/>
      </w:pPr>
      <w:r>
        <w:t>3. CNV —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declarados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no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con valor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4.028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extraídas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2.891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perdidas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1.137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NIL descartados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calculables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2734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Resultado: F-062 no detectó pérdida entre reconocido → persistido → canónico. La pérdida se concentra principalmente en vocabulario no reconocido y NIL. F-063 es el paso de mayor impacto para elevar cobertura.</w:t>
      </w:r>
    </w:p>
    <w:p>
      <w:pPr>
        <w:pStyle w:val="Heading1"/>
      </w:pPr>
      <w:r>
        <w:t>4. Ratios y Financial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Familia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contables definidos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mercado/valuación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EPS, P/E, P/B, EV/Sales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CNV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CNV calculables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EV/EBITDA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calculable completamente por ausencia de D&amp;A consistente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FCF family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Limitada principalmente por CapEx detallado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NOT_CALCULABLE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 utiliza cuando falta input, período/unidad compatible o precio</w:t>
            </w:r>
          </w:p>
        </w:tc>
      </w:tr>
    </w:tbl>
    <w:p/>
    <w:p>
      <w:r>
        <w:t>Resultado: el motor aplica una política explícita de NOT_CALCULABLE; no sustituye faltantes por cero ni por otro período.</w:t>
      </w:r>
    </w:p>
    <w:p>
      <w:pPr>
        <w:pStyle w:val="Heading1"/>
      </w:pPr>
      <w:r>
        <w:t>5.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Precios diarios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4.799.938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Instrumentos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Corporate actions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51.917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Quality checks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8.322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Fetch log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601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Symbol mappings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</w:tr>
    </w:tbl>
    <w:p/>
    <w:p>
      <w:r>
        <w:t>Validación destacada METR FY2025: P/E ≈ 11,09 en Catalaxia vs 11,10 en TIKR; P/B ≈ 1,51 en ambos. Market Cap mostró una diferencia aproximada de -0,03% en 4/5 años del benchmark.</w:t>
      </w:r>
    </w:p>
    <w:p>
      <w:r>
        <w:t>Brecha estructural: el entity_id de market_instruments continúa en un espacio legacy distinto del entity_id namespaced del engine.</w:t>
      </w:r>
    </w:p>
    <w:p>
      <w:pPr>
        <w:pStyle w:val="Heading1"/>
      </w:pPr>
      <w:r>
        <w:t>6. Provenance e integridad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 SHA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RAW revalidado mediante SHA256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 hash_out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hashout-v2 sensible al 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hash de entrada recalculado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KO provenance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SHA DB = SHA archivo en muestra auditada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Pointers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 foreign/hanging pointers tras F-054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Contradicciones de contexto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 reales tras F-055</w:t>
            </w:r>
          </w:p>
        </w:tc>
      </w:tr>
    </w:tbl>
    <w:p/>
    <w:p>
      <w:pPr>
        <w:pStyle w:val="Heading1"/>
      </w:pPr>
      <w:r>
        <w:t>7. Idempotencia</w:t>
      </w:r>
    </w:p>
    <w:p>
      <w:r>
        <w:drawing>
          <wp:inline xmlns:a="http://schemas.openxmlformats.org/drawingml/2006/main" xmlns:pic="http://schemas.openxmlformats.org/drawingml/2006/picture">
            <wp:extent cx="5760720" cy="2738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Etapa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— segunda ejecución puede generar UniqueViolation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certificada como E2E multi-emisor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— problema de checkpoint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SÍ — demostrada en KO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SÍ — demostrada en KO</w:t>
            </w:r>
          </w:p>
        </w:tc>
      </w:tr>
    </w:tbl>
    <w:p/>
    <w:p>
      <w:pPr>
        <w:pStyle w:val="Heading1"/>
      </w:pPr>
      <w:r>
        <w:t>8. Homologación TIKR — METR</w:t>
      </w:r>
    </w:p>
    <w:p>
      <w:r>
        <w:drawing>
          <wp:inline xmlns:a="http://schemas.openxmlformats.org/drawingml/2006/main" xmlns:pic="http://schemas.openxmlformats.org/drawingml/2006/picture">
            <wp:extent cx="5760720" cy="2736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Comparaciones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327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Métricas distintas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MATCH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CLOSE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Diferencias explicadas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CATALAXIA_MISSING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73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CATALAXIA_ONLY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TIKR_ONLY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UNRESOLVED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 (2,4%)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Tema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 observado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IAS 29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reexpresa comparativos; Catalaxia conserva AS_REPORTED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A3500 wholesale; Catalaxia MEP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ETR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Coincide 2022–2025, incluido beneficio fiscal 2023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ROA/ROE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Diferencias explicadas por uso de promedio vs cierre en ciertos años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Fórmula TIKR no 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CapEx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Detalle PDF pendiente para cerrar FCF</w:t>
            </w:r>
          </w:p>
        </w:tc>
      </w:tr>
    </w:tbl>
    <w:p/>
    <w:p>
      <w:pPr>
        <w:pStyle w:val="Heading1"/>
      </w:pPr>
      <w:r>
        <w:t>9. Auditorías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SEC E2E recovery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S00 PASS; S01 4/4; S02 187/187; S03 27/27; S04 9/9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SEC integrity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16/16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 independent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60/60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semantic W1/W2/W3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adapter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24 checks; 0 failures; 1 warning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W1.1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11/11 invariants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F-062 independent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PASS; 0 failures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METR Golden Run auditor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PASS; 1.763 facts reconstruidos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METR tests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18 green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adversarial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8/10 barriers</w:t>
            </w:r>
          </w:p>
        </w:tc>
      </w:tr>
    </w:tbl>
    <w:p/>
    <w:p>
      <w:pPr>
        <w:pStyle w:val="Heading1"/>
      </w:pPr>
      <w:r>
        <w:t>10. Veredicto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Dimensión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Ingesta SEC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FUNCIONAL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Multi-taxonomía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Normalización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canónico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DATOS DISPONIBLES / integración pendiente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benchmark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EJECUTADO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Certificación global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LISTA</w:t>
            </w:r>
          </w:p>
        </w:tc>
      </w:tr>
    </w:tbl>
    <w:p/>
    <w:p>
      <w:pPr>
        <w:jc w:val="center"/>
      </w:pPr>
      <w:r>
        <w:rPr>
          <w:b/>
          <w:sz w:val="28"/>
        </w:rPr>
        <w:t>CATALAXIA: FUNCIONAL Y VALIDADA EN PILOTOS, PERO NO CERTIFICADA GLOBALMENTE</w:t>
      </w:r>
    </w:p>
    <w:p>
      <w:r>
        <w:t>La evidencia es suficiente para afirmar que el núcleo funciona en casos reales y heterogéneos. No es suficiente todavía para afirmar cierre productivo multi-emisor de toda la plataforma.</w:t>
      </w:r>
    </w:p>
    <w:sectPr w:rsidR="00FC693F" w:rsidRPr="0006063C" w:rsidSect="00034616">
      <w:footerReference w:type="default" r:id="rId13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Catalaxia · Informe de Resultados · 05/09/2026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23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