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ource_dossier_argentina_exchange_da7bb0"/>
      <w:r>
        <w:rPr>
          <w:rFonts w:eastAsia="source serif 4" w:cs="source serif 4" w:ascii="source serif 4" w:hAnsi="source serif 4"/>
          <w:b/>
          <w:color w:val="000000"/>
          <w:sz w:val="39"/>
        </w:rPr>
        <w:t xml:space="preserve">SOURCE DOSSIER — Argentina Exchange Rate &amp; Settlement Methodology</w:t>
      </w:r>
      <w:bookmarkEnd w:id="0"/>
    </w:p>
    <w:p>
      <w:pPr>
        <w:spacing w:line="360" w:after="210" w:lineRule="auto"/>
      </w:pPr>
      <w:r>
        <w:rPr>
          <w:rFonts w:eastAsia="source serif 4" w:cs="source serif 4" w:ascii="source serif 4" w:hAnsi="source serif 4"/>
          <w:b/>
          <w:color w:val="000000"/>
        </w:rPr>
        <w:t xml:space="preserve">Access Date:</w:t>
      </w:r>
      <w:r>
        <w:rPr>
          <w:rFonts w:eastAsia="source serif 4" w:cs="source serif 4" w:ascii="source serif 4" w:hAnsi="source serif 4"/>
          <w:color w:val="000000"/>
        </w:rPr>
        <w:t xml:space="preserve"> 2026-09-15</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Investigation Scope:</w:t>
      </w:r>
      <w:r>
        <w:rPr>
          <w:rFonts w:eastAsia="source serif 4" w:cs="source serif 4" w:ascii="source serif 4" w:hAnsi="source serif 4"/>
          <w:color w:val="000000"/>
        </w:rPr>
        <w:t xml:space="preserve"> BCRA A3500, BYMA Dollar/CCL Index, MEP/CCL methodology, historical availability 2001/2002–2026, settlement cycles, ARS/USD conversion methodology, TIKR currency conversion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bcra_a3500_tipo_de_cambio_de_8f48a4"/>
      <w:r>
        <w:rPr>
          <w:rFonts w:eastAsia="source serif 4" w:cs="source serif 4" w:ascii="source serif 4" w:hAnsi="source serif 4"/>
          <w:b/>
          <w:color w:val="000000"/>
          <w:sz w:val="24"/>
        </w:rPr>
        <w:t xml:space="preserve">1. BCRA A3500 — Tipo de Cambio de Referencia (TCR)</w:t>
      </w:r>
      <w:bookmarkEnd w:id="1"/>
    </w:p>
    <w:p>
      <w:pPr>
        <w:spacing w:line="360" w:before="315" w:after="105" w:lineRule="auto"/>
        <w:ind w:left="-30"/>
        <w:jc w:val="left"/>
      </w:pPr>
      <w:bookmarkStart w:id="2" w:name="bm_1_1_serie_existente"/>
      <w:r>
        <w:rPr>
          <w:rFonts w:eastAsia="source serif 4" w:cs="source serif 4" w:ascii="source serif 4" w:hAnsi="source serif 4"/>
          <w:b/>
          <w:color w:val="000000"/>
          <w:sz w:val="24"/>
        </w:rPr>
        <w:t xml:space="preserve">1.1 Serie Existente</w:t>
      </w:r>
      <w:bookmarkEnd w:id="2"/>
    </w:p>
    <w:p>
      <w:pPr>
        <w:numPr>
          <w:ilvl w:val="0"/>
          <w:numId w:val="1"/>
        </w:numPr>
        <w:spacing w:line="360" w:before="105" w:after="105" w:lineRule="auto"/>
      </w:pPr>
      <w:r>
        <w:rPr>
          <w:rFonts w:eastAsia="source serif 4" w:cs="source serif 4" w:ascii="source serif 4" w:hAnsi="source serif 4"/>
          <w:b/>
          <w:color w:val="000000"/>
          <w:sz w:val="21"/>
        </w:rPr>
        <w:t xml:space="preserve">Nombre:</w:t>
      </w:r>
      <w:r>
        <w:rPr>
          <w:rFonts w:eastAsia="source serif 4" w:cs="source serif 4" w:ascii="source serif 4" w:hAnsi="source serif 4"/>
          <w:color w:val="000000"/>
          <w:sz w:val="21"/>
        </w:rPr>
        <w:t xml:space="preserve"> Tipo de Cambio de Referencia (TCR) bajo Comunicación A 3500</w:t>
      </w:r>
    </w:p>
    <w:p>
      <w:pPr>
        <w:numPr>
          <w:ilvl w:val="0"/>
          <w:numId w:val="1"/>
        </w:numPr>
        <w:spacing w:line="360" w:before="105" w:after="105" w:lineRule="auto"/>
      </w:pPr>
      <w:r>
        <w:rPr>
          <w:rFonts w:eastAsia="source serif 4" w:cs="source serif 4" w:ascii="source serif 4" w:hAnsi="source serif 4"/>
          <w:b/>
          <w:color w:val="000000"/>
          <w:sz w:val="21"/>
        </w:rPr>
        <w:t xml:space="preserve">Publicador:</w:t>
      </w:r>
      <w:r>
        <w:rPr>
          <w:rFonts w:eastAsia="source serif 4" w:cs="source serif 4" w:ascii="source serif 4" w:hAnsi="source serif 4"/>
          <w:color w:val="000000"/>
          <w:sz w:val="21"/>
        </w:rPr>
        <w:t xml:space="preserve"> Banco Central de la República Argentina (BCRA)</w:t>
      </w:r>
    </w:p>
    <w:p>
      <w:pPr>
        <w:numPr>
          <w:ilvl w:val="0"/>
          <w:numId w:val="1"/>
        </w:numPr>
        <w:spacing w:line="360" w:before="105" w:after="105" w:lineRule="auto"/>
      </w:pPr>
      <w:r>
        <w:rPr>
          <w:rFonts w:eastAsia="source serif 4" w:cs="source serif 4" w:ascii="source serif 4" w:hAnsi="source serif 4"/>
          <w:b/>
          <w:color w:val="000000"/>
          <w:sz w:val="21"/>
        </w:rPr>
        <w:t xml:space="preserve">Desde:</w:t>
      </w:r>
      <w:r>
        <w:rPr>
          <w:rFonts w:eastAsia="source serif 4" w:cs="source serif 4" w:ascii="source serif 4" w:hAnsi="source serif 4"/>
          <w:color w:val="000000"/>
          <w:sz w:val="21"/>
        </w:rPr>
        <w:t xml:space="preserve"> 01/03/2002 (fecha de emisión original de la Comunicación A 3500) [cite:1][cite:5]</w:t>
      </w:r>
    </w:p>
    <w:p>
      <w:pPr>
        <w:numPr>
          <w:ilvl w:val="0"/>
          <w:numId w:val="1"/>
        </w:numPr>
        <w:spacing w:line="360" w:before="105" w:after="105" w:lineRule="auto"/>
      </w:pPr>
      <w:r>
        <w:rPr>
          <w:rFonts w:eastAsia="source serif 4" w:cs="source serif 4" w:ascii="source serif 4" w:hAnsi="source serif 4"/>
          <w:b/>
          <w:color w:val="000000"/>
          <w:sz w:val="21"/>
        </w:rPr>
        <w:t xml:space="preserve">Frecuencia:</w:t>
      </w:r>
      <w:r>
        <w:rPr>
          <w:rFonts w:eastAsia="source serif 4" w:cs="source serif 4" w:ascii="source serif 4" w:hAnsi="source serif 4"/>
          <w:color w:val="000000"/>
          <w:sz w:val="21"/>
        </w:rPr>
        <w:t xml:space="preserve"> Diaria (días hábiles bancarios) [cite:1]</w:t>
      </w:r>
    </w:p>
    <w:p>
      <w:pPr>
        <w:numPr>
          <w:ilvl w:val="0"/>
          <w:numId w:val="1"/>
        </w:numPr>
        <w:spacing w:line="360" w:before="105" w:after="105" w:lineRule="auto"/>
      </w:pPr>
      <w:r>
        <w:rPr>
          <w:rFonts w:eastAsia="source serif 4" w:cs="source serif 4" w:ascii="source serif 4" w:hAnsi="source serif 4"/>
          <w:b/>
          <w:color w:val="000000"/>
          <w:sz w:val="21"/>
        </w:rPr>
        <w:t xml:space="preserve">Hasta:</w:t>
      </w:r>
      <w:r>
        <w:rPr>
          <w:rFonts w:eastAsia="source serif 4" w:cs="source serif 4" w:ascii="source serif 4" w:hAnsi="source serif 4"/>
          <w:color w:val="000000"/>
          <w:sz w:val="21"/>
        </w:rPr>
        <w:t xml:space="preserve"> Vigente al menos hasta 2026; nueva metodología aprobada en diciembre 2025 entra en vigor 01/01/2026 [cite:2][cite:14]</w:t>
      </w:r>
    </w:p>
    <w:p>
      <w:pPr>
        <w:spacing w:line="360" w:before="315" w:after="105" w:lineRule="auto"/>
        <w:ind w:left="-30"/>
        <w:jc w:val="left"/>
      </w:pPr>
      <w:bookmarkStart w:id="3" w:name="bm_1_2_metodología_2002_2025"/>
      <w:r>
        <w:rPr>
          <w:rFonts w:eastAsia="source serif 4" w:cs="source serif 4" w:ascii="source serif 4" w:hAnsi="source serif 4"/>
          <w:b/>
          <w:color w:val="000000"/>
          <w:sz w:val="24"/>
        </w:rPr>
        <w:t xml:space="preserve">1.2 Metodología (2002–2025)</w:t>
      </w:r>
      <w:bookmarkEnd w:id="3"/>
    </w:p>
    <w:p>
      <w:pPr>
        <w:numPr>
          <w:ilvl w:val="0"/>
          <w:numId w:val="2"/>
        </w:numPr>
        <w:spacing w:line="360" w:before="105" w:after="105" w:lineRule="auto"/>
      </w:pPr>
      <w:r>
        <w:rPr>
          <w:rFonts w:eastAsia="source serif 4" w:cs="source serif 4" w:ascii="source serif 4" w:hAnsi="source serif 4"/>
          <w:color w:val="000000"/>
          <w:sz w:val="21"/>
        </w:rPr>
        <w:t xml:space="preserve">El BCRA solicita cotizaciones de compra y venta del dólar estadounidense para operaciones liquidables en pesos y dólares en la fecha de cotización, a través del sistema SIOPEL del Mercado Abierto Electrónico (MAE) [cite:1].</w:t>
      </w:r>
    </w:p>
    <w:p>
      <w:pPr>
        <w:numPr>
          <w:ilvl w:val="0"/>
          <w:numId w:val="2"/>
        </w:numPr>
        <w:spacing w:line="360" w:before="105" w:after="105" w:lineRule="auto"/>
      </w:pPr>
      <w:r>
        <w:rPr>
          <w:rFonts w:eastAsia="source serif 4" w:cs="source serif 4" w:ascii="source serif 4" w:hAnsi="source serif 4"/>
          <w:color w:val="000000"/>
          <w:sz w:val="21"/>
        </w:rPr>
        <w:t xml:space="preserve">Se realizan tres rondas diarias: 10:00–10:59, 12:00–12:59, 14:00–14:59 [cite:1].</w:t>
      </w:r>
    </w:p>
    <w:p>
      <w:pPr>
        <w:numPr>
          <w:ilvl w:val="0"/>
          <w:numId w:val="2"/>
        </w:numPr>
        <w:spacing w:line="360" w:before="105" w:after="105" w:lineRule="auto"/>
      </w:pPr>
      <w:r>
        <w:rPr>
          <w:rFonts w:eastAsia="source serif 4" w:cs="source serif 4" w:ascii="source serif 4" w:hAnsi="source serif 4"/>
          <w:color w:val="000000"/>
          <w:sz w:val="21"/>
        </w:rPr>
        <w:t xml:space="preserve">En cada ronda, se selecciona aleatoriamente un intervalo de 15 minutos para solicitar cotizaciones a al menos cuatro entidades [cite:1].</w:t>
      </w:r>
    </w:p>
    <w:p>
      <w:pPr>
        <w:numPr>
          <w:ilvl w:val="0"/>
          <w:numId w:val="2"/>
        </w:numPr>
        <w:spacing w:line="360" w:before="105" w:after="105" w:lineRule="auto"/>
      </w:pPr>
      <w:r>
        <w:rPr>
          <w:rFonts w:eastAsia="source serif 4" w:cs="source serif 4" w:ascii="source serif 4" w:hAnsi="source serif 4"/>
          <w:color w:val="000000"/>
          <w:sz w:val="21"/>
        </w:rPr>
        <w:t xml:space="preserve">Las cotizaciones son obligatorias e irrevocables, y deben reflejar condiciones predominantes del mercado mayorista [cite:1].</w:t>
      </w:r>
    </w:p>
    <w:p>
      <w:pPr>
        <w:numPr>
          <w:ilvl w:val="0"/>
          <w:numId w:val="2"/>
        </w:numPr>
        <w:spacing w:line="360" w:before="105" w:after="105" w:lineRule="auto"/>
      </w:pPr>
      <w:r>
        <w:rPr>
          <w:rFonts w:eastAsia="source serif 4" w:cs="source serif 4" w:ascii="source serif 4" w:hAnsi="source serif 4"/>
          <w:color w:val="000000"/>
          <w:sz w:val="21"/>
        </w:rPr>
        <w:t xml:space="preserve">El BCRA calcula el tipo de cambio de equilibrio para cada período aplicando el algoritmo del Anexo I (ordenamiento de posturas de compra y venta, cálculo de vectores diferencia, determinación de s1 y s2, promedio aritmético) [cite:1].</w:t>
      </w:r>
    </w:p>
    <w:p>
      <w:pPr>
        <w:numPr>
          <w:ilvl w:val="0"/>
          <w:numId w:val="2"/>
        </w:numPr>
        <w:spacing w:line="360" w:before="105" w:after="105" w:lineRule="auto"/>
      </w:pPr>
      <w:r>
        <w:rPr>
          <w:rFonts w:eastAsia="source serif 4" w:cs="source serif 4" w:ascii="source serif 4" w:hAnsi="source serif 4"/>
          <w:color w:val="000000"/>
          <w:sz w:val="21"/>
        </w:rPr>
        <w:t xml:space="preserve">El TCR diario es el promedio aritmético de los tres tipos de cambio de equilibrio de las rondas, cerrado a cuatro decimales [cite:1].</w:t>
      </w:r>
    </w:p>
    <w:p>
      <w:pPr>
        <w:numPr>
          <w:ilvl w:val="0"/>
          <w:numId w:val="2"/>
        </w:numPr>
        <w:spacing w:line="360" w:before="105" w:after="105" w:lineRule="auto"/>
      </w:pPr>
      <w:r>
        <w:rPr>
          <w:rFonts w:eastAsia="source serif 4" w:cs="source serif 4" w:ascii="source serif 4" w:hAnsi="source serif 4"/>
          <w:color w:val="000000"/>
          <w:sz w:val="21"/>
        </w:rPr>
        <w:t xml:space="preserve">El BCRA informa el resultado mediante comunicado de prensa y lo publica en su página institucional el día hábil inmediato siguiente [cite:1].</w:t>
      </w:r>
    </w:p>
    <w:p>
      <w:pPr>
        <w:spacing w:line="360" w:before="315" w:after="105" w:lineRule="auto"/>
        <w:ind w:left="-30"/>
        <w:jc w:val="left"/>
      </w:pPr>
      <w:bookmarkStart w:id="4" w:name="bm_1_3_metodología_a_partir_de_01_54fe8b"/>
      <w:r>
        <w:rPr>
          <w:rFonts w:eastAsia="source serif 4" w:cs="source serif 4" w:ascii="source serif 4" w:hAnsi="source serif 4"/>
          <w:b/>
          <w:color w:val="000000"/>
          <w:sz w:val="24"/>
        </w:rPr>
        <w:t xml:space="preserve">1.3 Metodología (a partir de 01/01/2026)</w:t>
      </w:r>
      <w:bookmarkEnd w:id="4"/>
    </w:p>
    <w:p>
      <w:pPr>
        <w:numPr>
          <w:ilvl w:val="0"/>
          <w:numId w:val="3"/>
        </w:numPr>
        <w:spacing w:line="360" w:before="105" w:after="105" w:lineRule="auto"/>
      </w:pPr>
      <w:r>
        <w:rPr>
          <w:rFonts w:eastAsia="source serif 4" w:cs="source serif 4" w:ascii="source serif 4" w:hAnsi="source serif 4"/>
          <w:color w:val="000000"/>
          <w:sz w:val="21"/>
        </w:rPr>
        <w:t xml:space="preserve">Nueva metodología aprobada por el Directorio del BCRA en diciembre 2025, con vigencia desde 01/01/2026 [cite:2][cite:14].</w:t>
      </w:r>
    </w:p>
    <w:p>
      <w:pPr>
        <w:numPr>
          <w:ilvl w:val="0"/>
          <w:numId w:val="3"/>
        </w:numPr>
        <w:spacing w:line="360" w:before="105" w:after="105" w:lineRule="auto"/>
      </w:pPr>
      <w:r>
        <w:rPr>
          <w:rFonts w:eastAsia="source serif 4" w:cs="source serif 4" w:ascii="source serif 4" w:hAnsi="source serif 4"/>
          <w:color w:val="000000"/>
          <w:sz w:val="21"/>
        </w:rPr>
        <w:t xml:space="preserve">Reemplaza el esquema de encuestas por una metodología basada en operaciones concretas ponderadas por volumen [cite:2].</w:t>
      </w:r>
    </w:p>
    <w:p>
      <w:pPr>
        <w:numPr>
          <w:ilvl w:val="0"/>
          <w:numId w:val="3"/>
        </w:numPr>
        <w:spacing w:line="360" w:before="105" w:after="105" w:lineRule="auto"/>
      </w:pPr>
      <w:r>
        <w:rPr>
          <w:rFonts w:eastAsia="source serif 4" w:cs="source serif 4" w:ascii="source serif 4" w:hAnsi="source serif 4"/>
          <w:color w:val="000000"/>
          <w:sz w:val="21"/>
        </w:rPr>
        <w:t xml:space="preserve">El BCRA determina trimestralmente las 10 entidades financieras con mayor volumen de operaciones de compra y venta contado de dólares contra pesos ("Entidades Relevantes") [cite:4].</w:t>
      </w:r>
    </w:p>
    <w:p>
      <w:pPr>
        <w:numPr>
          <w:ilvl w:val="0"/>
          <w:numId w:val="3"/>
        </w:numPr>
        <w:spacing w:line="360" w:before="105" w:after="105" w:lineRule="auto"/>
      </w:pPr>
      <w:r>
        <w:rPr>
          <w:rFonts w:eastAsia="source serif 4" w:cs="source serif 4" w:ascii="source serif 4" w:hAnsi="source serif 4"/>
          <w:color w:val="000000"/>
          <w:sz w:val="21"/>
        </w:rPr>
        <w:t xml:space="preserve">Las Entidades Relevantes suministran diariamente (15:00–15:45 hs):</w:t>
      </w:r>
    </w:p>
    <w:p>
      <w:pPr>
        <w:numPr>
          <w:ilvl w:val="1"/>
          <w:numId w:val="3"/>
        </w:numPr>
        <w:spacing w:line="360" w:before="105" w:after="105" w:lineRule="auto"/>
      </w:pPr>
      <w:r>
        <w:rPr>
          <w:rFonts w:eastAsia="source serif 4" w:cs="source serif 4" w:ascii="source serif 4" w:hAnsi="source serif 4"/>
          <w:color w:val="000000"/>
          <w:sz w:val="21"/>
        </w:rPr>
        <w:t xml:space="preserve">Tipo de cambio comprador promedio ponderado por monto (10:00–15:00 hs)</w:t>
      </w:r>
    </w:p>
    <w:p>
      <w:pPr>
        <w:numPr>
          <w:ilvl w:val="1"/>
          <w:numId w:val="3"/>
        </w:numPr>
        <w:spacing w:line="360" w:before="105" w:after="105" w:lineRule="auto"/>
      </w:pPr>
      <w:r>
        <w:rPr>
          <w:rFonts w:eastAsia="source serif 4" w:cs="source serif 4" w:ascii="source serif 4" w:hAnsi="source serif 4"/>
          <w:color w:val="000000"/>
          <w:sz w:val="21"/>
        </w:rPr>
        <w:t xml:space="preserve">Volumen total comprado</w:t>
      </w:r>
    </w:p>
    <w:p>
      <w:pPr>
        <w:numPr>
          <w:ilvl w:val="1"/>
          <w:numId w:val="3"/>
        </w:numPr>
        <w:spacing w:line="360" w:before="105" w:after="105" w:lineRule="auto"/>
      </w:pPr>
      <w:r>
        <w:rPr>
          <w:rFonts w:eastAsia="source serif 4" w:cs="source serif 4" w:ascii="source serif 4" w:hAnsi="source serif 4"/>
          <w:color w:val="000000"/>
          <w:sz w:val="21"/>
        </w:rPr>
        <w:t xml:space="preserve">Tipo de cambio vendedor promedio ponderado por monto</w:t>
      </w:r>
    </w:p>
    <w:p>
      <w:pPr>
        <w:numPr>
          <w:ilvl w:val="1"/>
          <w:numId w:val="3"/>
        </w:numPr>
        <w:spacing w:line="360" w:before="105" w:after="105" w:lineRule="auto"/>
      </w:pPr>
      <w:r>
        <w:rPr>
          <w:rFonts w:eastAsia="source serif 4" w:cs="source serif 4" w:ascii="source serif 4" w:hAnsi="source serif 4"/>
          <w:color w:val="000000"/>
          <w:sz w:val="21"/>
        </w:rPr>
        <w:t xml:space="preserve">Volumen total vendido [cite:4].</w:t>
      </w:r>
    </w:p>
    <w:p>
      <w:pPr>
        <w:numPr>
          <w:ilvl w:val="0"/>
          <w:numId w:val="3"/>
        </w:numPr>
        <w:spacing w:line="360" w:before="105" w:after="105" w:lineRule="auto"/>
      </w:pPr>
      <w:r>
        <w:rPr>
          <w:rFonts w:eastAsia="source serif 4" w:cs="source serif 4" w:ascii="source serif 4" w:hAnsi="source serif 4"/>
          <w:color w:val="000000"/>
          <w:sz w:val="21"/>
        </w:rPr>
        <w:t xml:space="preserve">El BCRA calcula el TCR como promedio ponderado de los tipos de cambio compradores y vendedores de las 10 entidades, usando la fórmula:</w:t>
      </w:r>
      <m:oMathPara>
        <m:oMath>
          <m:r>
            <m:rPr>
              <m:sty m:val="i"/>
            </m:rPr>
            <w:rPr>
              <w:color w:val="000000"/>
              <w:sz w:val="21"/>
            </w:rPr>
            <m:t>T</m:t>
          </m:r>
          <m:r>
            <m:rPr>
              <m:sty m:val="i"/>
            </m:rPr>
            <w:rPr>
              <w:color w:val="000000"/>
              <w:sz w:val="21"/>
            </w:rPr>
            <m:t>C</m:t>
          </m:r>
          <m:r>
            <m:rPr>
              <m:sty m:val="i"/>
            </m:rPr>
            <w:rPr>
              <w:color w:val="000000"/>
              <w:sz w:val="21"/>
            </w:rPr>
            <m:t>R</m:t>
          </m:r>
          <m:r>
            <m:rPr>
              <m:sty m:val="p"/>
            </m:rPr>
            <w:rPr>
              <w:color w:val="000000"/>
              <w:sz w:val="21"/>
            </w:rPr>
            <m:t>=</m:t>
          </m:r>
          <m:r>
            <m:rPr>
              <m:sty m:val="p"/>
            </m:rPr>
            <w:rPr>
              <w:color w:val="000000"/>
              <w:sz w:val="21"/>
            </w:rPr>
            <m:t xml:space="preserve"> </m:t>
          </m:r>
          <m:r>
            <m:rPr>
              <m:sty m:val="i"/>
            </m:rPr>
            <w:rPr>
              <w:color w:val="000000"/>
              <w:sz w:val="21"/>
            </w:rPr>
            <m:t>f</m:t>
          </m:r>
          <m:r>
            <m:rPr>
              <m:sty m:val="i"/>
            </m:rPr>
            <w:rPr>
              <w:color w:val="000000"/>
              <w:sz w:val="21"/>
            </w:rPr>
            <m:t>r</m:t>
          </m:r>
          <m:r>
            <m:rPr>
              <m:sty m:val="i"/>
            </m:rPr>
            <w:rPr>
              <w:color w:val="000000"/>
              <w:sz w:val="21"/>
            </w:rPr>
            <m:t>a</m:t>
          </m:r>
          <m:r>
            <m:rPr>
              <m:sty m:val="i"/>
            </m:rPr>
            <w:rPr>
              <w:color w:val="000000"/>
              <w:sz w:val="21"/>
            </w:rPr>
            <m:t>c</m:t>
          </m:r>
          <m:r>
            <m:rPr>
              <m:sty m:val="p"/>
            </m:rPr>
            <w:rPr>
              <w:color w:val="000000"/>
              <w:sz w:val="21"/>
            </w:rPr>
            <m:t xml:space="preserve"> </m:t>
          </m:r>
          <m:r>
            <m:rPr>
              <m:sty m:val="i"/>
            </m:rPr>
            <w:rPr>
              <w:color w:val="000000"/>
              <w:sz w:val="21"/>
            </w:rPr>
            <m:t>s</m:t>
          </m:r>
          <m:r>
            <m:rPr>
              <m:sty m:val="i"/>
            </m:rPr>
            <w:rPr>
              <w:color w:val="000000"/>
              <w:sz w:val="21"/>
            </w:rPr>
            <m:t>u</m:t>
          </m:r>
          <m:r>
            <m:rPr>
              <m:sty m:val="i"/>
            </m:rPr>
            <w:rPr>
              <w:color w:val="000000"/>
              <w:sz w:val="21"/>
            </w:rPr>
            <m:t>m</m:t>
          </m:r>
          <m:r>
            <m:rPr>
              <m:sty m:val="p"/>
            </m:rPr>
            <w:rPr>
              <w:color w:val="000000"/>
              <w:sz w:val="21"/>
            </w:rPr>
            <m:t>_</m:t>
          </m:r>
          <m:sSup>
            <m:sSupPr>
              <m:ctrlPr>
                <w:rPr>
                  <w:rFonts w:ascii="Cambria Math" w:hAnsi="Cambria Math"/>
                  <w:color w:val="000000"/>
                  <w:sz w:val="21"/>
                </w:rPr>
              </m:ctrlPr>
            </m:sSupPr>
            <m:e>
              <m:r>
                <m:rPr>
                  <m:sty m:val="i"/>
                </m:rPr>
                <w:rPr>
                  <w:color w:val="000000"/>
                  <w:sz w:val="21"/>
                </w:rPr>
                <m:t>j</m:t>
              </m:r>
              <m:r>
                <m:rPr>
                  <m:sty m:val="p"/>
                </m:rPr>
                <w:rPr>
                  <w:color w:val="000000"/>
                  <w:sz w:val="21"/>
                </w:rPr>
                <m:t>=</m:t>
              </m:r>
              <m:r>
                <m:rPr>
                  <m:sty m:val="p"/>
                </m:rPr>
                <w:rPr>
                  <w:color w:val="000000"/>
                  <w:sz w:val="21"/>
                </w:rPr>
                <m:t>1</m:t>
              </m:r>
            </m:e>
            <m:sup>
              <m:r>
                <m:rPr>
                  <m:sty m:val="p"/>
                </m:rPr>
                <w:rPr>
                  <w:color w:val="000000"/>
                  <w:sz w:val="21"/>
                </w:rPr>
                <m:t>10</m:t>
              </m:r>
            </m:sup>
          </m:sSup>
          <m:r>
            <m:rPr>
              <m:sty m:val="p"/>
            </m:rPr>
            <w:rPr>
              <w:color w:val="000000"/>
              <w:sz w:val="21"/>
            </w:rPr>
            <m:t>(</m:t>
          </m:r>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 xml:space="preserve"> </m:t>
          </m:r>
          <m:r>
            <m:rPr>
              <m:sty m:val="i"/>
            </m:rPr>
            <w:rPr>
              <w:color w:val="000000"/>
              <w:sz w:val="21"/>
            </w:rPr>
            <m:t>t</m:t>
          </m:r>
          <m:r>
            <m:rPr>
              <m:sty m:val="i"/>
            </m:rPr>
            <w:rPr>
              <w:color w:val="000000"/>
              <w:sz w:val="21"/>
            </w:rPr>
            <m:t>i</m:t>
          </m:r>
          <m:r>
            <m:rPr>
              <m:sty m:val="i"/>
            </m:rPr>
            <w:rPr>
              <w:color w:val="000000"/>
              <w:sz w:val="21"/>
            </w:rPr>
            <m:t>m</m:t>
          </m:r>
          <m:r>
            <m:rPr>
              <m:sty m:val="i"/>
            </m:rPr>
            <w:rPr>
              <w:color w:val="000000"/>
              <w:sz w:val="21"/>
            </w:rPr>
            <m:t>e</m:t>
          </m:r>
          <m:r>
            <m:rPr>
              <m:sty m:val="i"/>
            </m:rPr>
            <w:rPr>
              <w:color w:val="000000"/>
              <w:sz w:val="21"/>
            </w:rPr>
            <m:t>s</m:t>
          </m:r>
          <m:r>
            <m:rPr>
              <m:sty m:val="i"/>
            </m:rPr>
            <w:rPr>
              <w:color w:val="000000"/>
              <w:sz w:val="21"/>
            </w:rPr>
            <m:t>M</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m:t>
          </m:r>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r>
            <m:rPr>
              <m:sty m:val="p"/>
            </m:rPr>
            <w:rPr>
              <w:color w:val="000000"/>
              <w:sz w:val="21"/>
            </w:rPr>
            <m:t xml:space="preserve"> </m:t>
          </m:r>
          <m:r>
            <m:rPr>
              <m:sty m:val="i"/>
            </m:rPr>
            <w:rPr>
              <w:color w:val="000000"/>
              <w:sz w:val="21"/>
            </w:rPr>
            <m:t>t</m:t>
          </m:r>
          <m:r>
            <m:rPr>
              <m:sty m:val="i"/>
            </m:rPr>
            <w:rPr>
              <w:color w:val="000000"/>
              <w:sz w:val="21"/>
            </w:rPr>
            <m:t>i</m:t>
          </m:r>
          <m:r>
            <m:rPr>
              <m:sty m:val="i"/>
            </m:rPr>
            <w:rPr>
              <w:color w:val="000000"/>
              <w:sz w:val="21"/>
            </w:rPr>
            <m:t>m</m:t>
          </m:r>
          <m:r>
            <m:rPr>
              <m:sty m:val="i"/>
            </m:rPr>
            <w:rPr>
              <w:color w:val="000000"/>
              <w:sz w:val="21"/>
            </w:rPr>
            <m:t>e</m:t>
          </m:r>
          <m:r>
            <m:rPr>
              <m:sty m:val="i"/>
            </m:rPr>
            <w:rPr>
              <w:color w:val="000000"/>
              <w:sz w:val="21"/>
            </w:rPr>
            <m:t>s</m:t>
          </m:r>
          <m:r>
            <m:rPr>
              <m:sty m:val="i"/>
            </m:rPr>
            <w:rPr>
              <w:color w:val="000000"/>
              <w:sz w:val="21"/>
            </w:rPr>
            <m:t>M</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r>
            <m:rPr>
              <m:sty m:val="p"/>
            </m:rPr>
            <w:rPr>
              <w:color w:val="000000"/>
              <w:sz w:val="21"/>
            </w:rPr>
            <m:t>)</m:t>
          </m:r>
          <m:r>
            <m:rPr>
              <m:sty m:val="p"/>
            </m:rPr>
            <w:rPr>
              <w:color w:val="000000"/>
              <w:sz w:val="21"/>
            </w:rPr>
            <m:t xml:space="preserve"> </m:t>
          </m:r>
          <m:r>
            <m:rPr>
              <m:sty m:val="i"/>
            </m:rPr>
            <w:rPr>
              <w:color w:val="000000"/>
              <w:sz w:val="21"/>
            </w:rPr>
            <m:t>s</m:t>
          </m:r>
          <m:r>
            <m:rPr>
              <m:sty m:val="i"/>
            </m:rPr>
            <w:rPr>
              <w:color w:val="000000"/>
              <w:sz w:val="21"/>
            </w:rPr>
            <m:t>u</m:t>
          </m:r>
          <m:r>
            <m:rPr>
              <m:sty m:val="i"/>
            </m:rPr>
            <w:rPr>
              <w:color w:val="000000"/>
              <w:sz w:val="21"/>
            </w:rPr>
            <m:t>m</m:t>
          </m:r>
          <m:r>
            <m:rPr>
              <m:sty m:val="p"/>
            </m:rPr>
            <w:rPr>
              <w:color w:val="000000"/>
              <w:sz w:val="21"/>
            </w:rPr>
            <m:t>_</m:t>
          </m:r>
          <m:sSup>
            <m:sSupPr>
              <m:ctrlPr>
                <w:rPr>
                  <w:rFonts w:ascii="Cambria Math" w:hAnsi="Cambria Math"/>
                  <w:color w:val="000000"/>
                  <w:sz w:val="21"/>
                </w:rPr>
              </m:ctrlPr>
            </m:sSupPr>
            <m:e>
              <m:r>
                <m:rPr>
                  <m:sty m:val="i"/>
                </m:rPr>
                <w:rPr>
                  <w:color w:val="000000"/>
                  <w:sz w:val="21"/>
                </w:rPr>
                <m:t>j</m:t>
              </m:r>
              <m:r>
                <m:rPr>
                  <m:sty m:val="p"/>
                </m:rPr>
                <w:rPr>
                  <w:color w:val="000000"/>
                  <w:sz w:val="21"/>
                </w:rPr>
                <m:t>=</m:t>
              </m:r>
              <m:r>
                <m:rPr>
                  <m:sty m:val="p"/>
                </m:rPr>
                <w:rPr>
                  <w:color w:val="000000"/>
                  <w:sz w:val="21"/>
                </w:rPr>
                <m:t>1</m:t>
              </m:r>
            </m:e>
            <m:sup>
              <m:r>
                <m:rPr>
                  <m:sty m:val="p"/>
                </m:rPr>
                <w:rPr>
                  <w:color w:val="000000"/>
                  <w:sz w:val="21"/>
                </w:rPr>
                <m:t>10</m:t>
              </m:r>
            </m:sup>
          </m:sSup>
          <m:r>
            <m:rPr>
              <m:sty m:val="p"/>
            </m:rPr>
            <w:rPr>
              <w:color w:val="000000"/>
              <w:sz w:val="21"/>
            </w:rPr>
            <m:t>(</m:t>
          </m:r>
          <m:r>
            <m:rPr>
              <m:sty m:val="i"/>
            </m:rPr>
            <w:rPr>
              <w:color w:val="000000"/>
              <w:sz w:val="21"/>
            </w:rPr>
            <m:t>M</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m:t>
          </m:r>
          <m:r>
            <m:rPr>
              <m:sty m:val="i"/>
            </m:rPr>
            <w:rPr>
              <w:color w:val="000000"/>
              <w:sz w:val="21"/>
            </w:rPr>
            <m:t>M</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r>
            <m:rPr>
              <m:sty m:val="p"/>
            </m:rPr>
            <w:rPr>
              <w:color w:val="000000"/>
              <w:sz w:val="21"/>
            </w:rPr>
            <m:t>)</m:t>
          </m:r>
        </m:oMath>
      </m:oMathPara>
      <w:r>
        <w:rPr>
          <w:rFonts w:eastAsia="source serif 4" w:cs="source serif 4" w:ascii="source serif 4" w:hAnsi="source serif 4"/>
          <w:color w:val="000000"/>
          <w:sz w:val="21"/>
        </w:rPr>
        <w:t xml:space="preserve">donde </w:t>
      </w:r>
      <m:oMath>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oMath>
      <w:r>
        <w:rPr>
          <w:rFonts w:eastAsia="source serif 4" w:cs="source serif 4" w:ascii="source serif 4" w:hAnsi="source serif 4"/>
          <w:color w:val="000000"/>
          <w:sz w:val="21"/>
        </w:rPr>
        <w:t xml:space="preserve"> y </w:t>
      </w:r>
      <m:oMath>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oMath>
      <w:r>
        <w:rPr>
          <w:rFonts w:eastAsia="source serif 4" w:cs="source serif 4" w:ascii="source serif 4" w:hAnsi="source serif 4"/>
          <w:color w:val="000000"/>
          <w:sz w:val="21"/>
        </w:rPr>
        <w:t xml:space="preserve"> son los tipos de cambio comprador y vendedor de la entidad </w:t>
      </w:r>
      <m:oMath>
        <m:r>
          <m:rPr>
            <m:sty m:val="i"/>
          </m:rPr>
          <w:rPr>
            <w:color w:val="000000"/>
            <w:sz w:val="21"/>
          </w:rPr>
          <m:t>j</m:t>
        </m:r>
      </m:oMath>
      <w:r>
        <w:rPr>
          <w:rFonts w:eastAsia="source serif 4" w:cs="source serif 4" w:ascii="source serif 4" w:hAnsi="source serif 4"/>
          <w:color w:val="000000"/>
          <w:sz w:val="21"/>
        </w:rPr>
        <w:t xml:space="preserve">, y </w:t>
      </w:r>
      <m:oMath>
        <m:r>
          <m:rPr>
            <m:sty m:val="i"/>
          </m:rPr>
          <w:rPr>
            <w:color w:val="000000"/>
            <w:sz w:val="21"/>
          </w:rPr>
          <m:t>M</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oMath>
      <w:r>
        <w:rPr>
          <w:rFonts w:eastAsia="source serif 4" w:cs="source serif 4" w:ascii="source serif 4" w:hAnsi="source serif 4"/>
          <w:color w:val="000000"/>
          <w:sz w:val="21"/>
        </w:rPr>
        <w:t xml:space="preserve"> y </w:t>
      </w:r>
      <m:oMath>
        <m:r>
          <m:rPr>
            <m:sty m:val="i"/>
          </m:rPr>
          <w:rPr>
            <w:color w:val="000000"/>
            <w:sz w:val="21"/>
          </w:rPr>
          <m:t>M</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oMath>
      <w:r>
        <w:rPr>
          <w:rFonts w:eastAsia="source serif 4" w:cs="source serif 4" w:ascii="source serif 4" w:hAnsi="source serif 4"/>
          <w:color w:val="000000"/>
          <w:sz w:val="21"/>
        </w:rPr>
        <w:t xml:space="preserve"> son los volúmenes correspondientes [cite:4].</w:t>
      </w:r>
    </w:p>
    <w:p>
      <w:pPr>
        <w:spacing w:line="360" w:before="315" w:after="105" w:lineRule="auto"/>
        <w:ind w:left="-30"/>
        <w:jc w:val="left"/>
      </w:pPr>
      <w:bookmarkStart w:id="5" w:name="bm_1_4_limitaciones"/>
      <w:r>
        <w:rPr>
          <w:rFonts w:eastAsia="source serif 4" w:cs="source serif 4" w:ascii="source serif 4" w:hAnsi="source serif 4"/>
          <w:b/>
          <w:color w:val="000000"/>
          <w:sz w:val="24"/>
        </w:rPr>
        <w:t xml:space="preserve">1.4 Limitaciones</w:t>
      </w:r>
      <w:bookmarkEnd w:id="5"/>
    </w:p>
    <w:p>
      <w:pPr>
        <w:numPr>
          <w:ilvl w:val="0"/>
          <w:numId w:val="4"/>
        </w:numPr>
        <w:spacing w:line="360" w:before="105" w:after="105" w:lineRule="auto"/>
      </w:pPr>
      <w:r>
        <w:rPr>
          <w:rFonts w:eastAsia="source serif 4" w:cs="source serif 4" w:ascii="source serif 4" w:hAnsi="source serif 4"/>
          <w:color w:val="000000"/>
          <w:sz w:val="21"/>
        </w:rPr>
        <w:t xml:space="preserve">La metodología 2002–2025 se basa en cotizaciones solicitadas (encuesta), no en operaciones efectivas [cite:2].</w:t>
      </w:r>
    </w:p>
    <w:p>
      <w:pPr>
        <w:numPr>
          <w:ilvl w:val="0"/>
          <w:numId w:val="4"/>
        </w:numPr>
        <w:spacing w:line="360" w:before="105" w:after="105" w:lineRule="auto"/>
      </w:pPr>
      <w:r>
        <w:rPr>
          <w:rFonts w:eastAsia="source serif 4" w:cs="source serif 4" w:ascii="source serif 4" w:hAnsi="source serif 4"/>
          <w:color w:val="000000"/>
          <w:sz w:val="21"/>
        </w:rPr>
        <w:t xml:space="preserve">La nueva metodología 2026 requiere operaciones concretas, pero solo aplica desde 01/01/2026 [cite:2][cite:4].</w:t>
      </w:r>
    </w:p>
    <w:p>
      <w:pPr>
        <w:numPr>
          <w:ilvl w:val="0"/>
          <w:numId w:val="4"/>
        </w:numPr>
        <w:spacing w:line="360" w:before="105" w:after="105" w:lineRule="auto"/>
      </w:pPr>
      <w:r>
        <w:rPr>
          <w:rFonts w:eastAsia="source serif 4" w:cs="source serif 4" w:ascii="source serif 4" w:hAnsi="source serif 4"/>
          <w:color w:val="000000"/>
          <w:sz w:val="21"/>
        </w:rPr>
        <w:t xml:space="preserve">El TCR es un tipo de cambio de referencia, no necesariamente el tipo de cambio transado en el mercado minorista [cite:1].</w:t>
      </w:r>
    </w:p>
    <w:p>
      <w:pPr>
        <w:spacing w:line="360" w:before="315" w:after="105" w:lineRule="auto"/>
        <w:ind w:left="-30"/>
        <w:jc w:val="left"/>
      </w:pPr>
      <w:bookmarkStart w:id="6" w:name="bm_1_5_períodos_que_requieren_rec_111d04"/>
      <w:r>
        <w:rPr>
          <w:rFonts w:eastAsia="source serif 4" w:cs="source serif 4" w:ascii="source serif 4" w:hAnsi="source serif 4"/>
          <w:b/>
          <w:color w:val="000000"/>
          <w:sz w:val="24"/>
        </w:rPr>
        <w:t xml:space="preserve">1.5 Períodos que requieren reconstrucción instrumental</w:t>
      </w:r>
      <w:bookmarkEnd w:id="6"/>
    </w:p>
    <w:p>
      <w:pPr>
        <w:numPr>
          <w:ilvl w:val="0"/>
          <w:numId w:val="5"/>
        </w:numPr>
        <w:spacing w:line="360" w:before="105" w:after="105" w:lineRule="auto"/>
      </w:pPr>
      <w:r>
        <w:rPr>
          <w:rFonts w:eastAsia="source serif 4" w:cs="source serif 4" w:ascii="source serif 4" w:hAnsi="source serif 4"/>
          <w:b/>
          <w:color w:val="000000"/>
          <w:sz w:val="21"/>
        </w:rPr>
        <w:t xml:space="preserve">2001–febrero 2002:</w:t>
      </w:r>
      <w:r>
        <w:rPr>
          <w:rFonts w:eastAsia="source serif 4" w:cs="source serif 4" w:ascii="source serif 4" w:hAnsi="source serif 4"/>
          <w:color w:val="000000"/>
          <w:sz w:val="21"/>
        </w:rPr>
        <w:t xml:space="preserve"> La Comunicación A 3500 entra en vigor el 01/03/2002 [cite:1][cite:5]. No hay serie TCR oficial BCRA para 2001–febrero 2002 bajo A3500.</w:t>
      </w:r>
    </w:p>
    <w:p>
      <w:pPr>
        <w:numPr>
          <w:ilvl w:val="0"/>
          <w:numId w:val="5"/>
        </w:numPr>
        <w:spacing w:line="360" w:before="105" w:after="105" w:lineRule="auto"/>
      </w:pPr>
      <w:r>
        <w:rPr>
          <w:rFonts w:eastAsia="source serif 4" w:cs="source serif 4" w:ascii="source serif 4" w:hAnsi="source serif 4"/>
          <w:b/>
          <w:color w:val="000000"/>
          <w:sz w:val="21"/>
        </w:rPr>
        <w:t xml:space="preserve">2002–2025:</w:t>
      </w:r>
      <w:r>
        <w:rPr>
          <w:rFonts w:eastAsia="source serif 4" w:cs="source serif 4" w:ascii="source serif 4" w:hAnsi="source serif 4"/>
          <w:color w:val="000000"/>
          <w:sz w:val="21"/>
        </w:rPr>
        <w:t xml:space="preserve"> Serie TCR disponible bajo metodología de encuesta SIOPEL [cite:1].</w:t>
      </w:r>
    </w:p>
    <w:p>
      <w:pPr>
        <w:numPr>
          <w:ilvl w:val="0"/>
          <w:numId w:val="5"/>
        </w:numPr>
        <w:spacing w:line="360" w:before="105" w:after="105" w:lineRule="auto"/>
      </w:pPr>
      <w:r>
        <w:rPr>
          <w:rFonts w:eastAsia="source serif 4" w:cs="source serif 4" w:ascii="source serif 4" w:hAnsi="source serif 4"/>
          <w:b/>
          <w:color w:val="000000"/>
          <w:sz w:val="21"/>
        </w:rPr>
        <w:t xml:space="preserve">2026 en adelante:</w:t>
      </w:r>
      <w:r>
        <w:rPr>
          <w:rFonts w:eastAsia="source serif 4" w:cs="source serif 4" w:ascii="source serif 4" w:hAnsi="source serif 4"/>
          <w:color w:val="000000"/>
          <w:sz w:val="21"/>
        </w:rPr>
        <w:t xml:space="preserve"> Serie TCR bajo nueva metodología de operaciones ponderadas [cite:2][cite:4].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bcra_dólar_oficial"/>
      <w:r>
        <w:rPr>
          <w:rFonts w:eastAsia="source serif 4" w:cs="source serif 4" w:ascii="source serif 4" w:hAnsi="source serif 4"/>
          <w:b/>
          <w:color w:val="000000"/>
          <w:sz w:val="24"/>
        </w:rPr>
        <w:t xml:space="preserve">2. BCRA Dólar Oficial</w:t>
      </w:r>
      <w:bookmarkEnd w:id="7"/>
    </w:p>
    <w:p>
      <w:pPr>
        <w:spacing w:line="360" w:before="315" w:after="105" w:lineRule="auto"/>
        <w:ind w:left="-30"/>
        <w:jc w:val="left"/>
      </w:pPr>
      <w:bookmarkStart w:id="8" w:name="bm_2_1_serie_existente"/>
      <w:r>
        <w:rPr>
          <w:rFonts w:eastAsia="source serif 4" w:cs="source serif 4" w:ascii="source serif 4" w:hAnsi="source serif 4"/>
          <w:b/>
          <w:color w:val="000000"/>
          <w:sz w:val="24"/>
        </w:rPr>
        <w:t xml:space="preserve">2.1 Serie Existente</w:t>
      </w:r>
      <w:bookmarkEnd w:id="8"/>
    </w:p>
    <w:p>
      <w:pPr>
        <w:numPr>
          <w:ilvl w:val="0"/>
          <w:numId w:val="6"/>
        </w:numPr>
        <w:spacing w:line="360" w:before="105" w:after="105" w:lineRule="auto"/>
      </w:pPr>
      <w:r>
        <w:rPr>
          <w:rFonts w:eastAsia="source serif 4" w:cs="source serif 4" w:ascii="source serif 4" w:hAnsi="source serif 4"/>
          <w:b/>
          <w:color w:val="000000"/>
          <w:sz w:val="21"/>
        </w:rPr>
        <w:t xml:space="preserve">Nombre:</w:t>
      </w:r>
      <w:r>
        <w:rPr>
          <w:rFonts w:eastAsia="source serif 4" w:cs="source serif 4" w:ascii="source serif 4" w:hAnsi="source serif 4"/>
          <w:color w:val="000000"/>
          <w:sz w:val="21"/>
        </w:rPr>
        <w:t xml:space="preserve"> Tipo de cambio oficial (minorista y mayorista)</w:t>
      </w:r>
    </w:p>
    <w:p>
      <w:pPr>
        <w:numPr>
          <w:ilvl w:val="0"/>
          <w:numId w:val="6"/>
        </w:numPr>
        <w:spacing w:line="360" w:before="105" w:after="105" w:lineRule="auto"/>
      </w:pPr>
      <w:r>
        <w:rPr>
          <w:rFonts w:eastAsia="source serif 4" w:cs="source serif 4" w:ascii="source serif 4" w:hAnsi="source serif 4"/>
          <w:b/>
          <w:color w:val="000000"/>
          <w:sz w:val="21"/>
        </w:rPr>
        <w:t xml:space="preserve">Publicador:</w:t>
      </w:r>
      <w:r>
        <w:rPr>
          <w:rFonts w:eastAsia="source serif 4" w:cs="source serif 4" w:ascii="source serif 4" w:hAnsi="source serif 4"/>
          <w:color w:val="000000"/>
          <w:sz w:val="21"/>
        </w:rPr>
        <w:t xml:space="preserve"> BCRA</w:t>
      </w:r>
    </w:p>
    <w:p>
      <w:pPr>
        <w:numPr>
          <w:ilvl w:val="0"/>
          <w:numId w:val="6"/>
        </w:numPr>
        <w:spacing w:line="360" w:before="105" w:after="105" w:lineRule="auto"/>
      </w:pPr>
      <w:r>
        <w:rPr>
          <w:rFonts w:eastAsia="source serif 4" w:cs="source serif 4" w:ascii="source serif 4" w:hAnsi="source serif 4"/>
          <w:b/>
          <w:color w:val="000000"/>
          <w:sz w:val="21"/>
        </w:rPr>
        <w:t xml:space="preserve">Desde:</w:t>
      </w:r>
      <w:r>
        <w:rPr>
          <w:rFonts w:eastAsia="source serif 4" w:cs="source serif 4" w:ascii="source serif 4" w:hAnsi="source serif 4"/>
          <w:color w:val="000000"/>
          <w:sz w:val="21"/>
        </w:rPr>
        <w:t xml:space="preserve"> Al menos 2015 disponible en buscador histórico público [cite:38]; serie completa disponible en BCRA desde 2021 en página "Evolution of exchange rates" [cite:36].</w:t>
      </w:r>
    </w:p>
    <w:p>
      <w:pPr>
        <w:numPr>
          <w:ilvl w:val="0"/>
          <w:numId w:val="6"/>
        </w:numPr>
        <w:spacing w:line="360" w:before="105" w:after="105" w:lineRule="auto"/>
      </w:pPr>
      <w:r>
        <w:rPr>
          <w:rFonts w:eastAsia="source serif 4" w:cs="source serif 4" w:ascii="source serif 4" w:hAnsi="source serif 4"/>
          <w:b/>
          <w:color w:val="000000"/>
          <w:sz w:val="21"/>
        </w:rPr>
        <w:t xml:space="preserve">Frecuencia:</w:t>
      </w:r>
      <w:r>
        <w:rPr>
          <w:rFonts w:eastAsia="source serif 4" w:cs="source serif 4" w:ascii="source serif 4" w:hAnsi="source serif 4"/>
          <w:color w:val="000000"/>
          <w:sz w:val="21"/>
        </w:rPr>
        <w:t xml:space="preserve"> Diaria (días hábiles) [cite:36][cite:38].</w:t>
      </w:r>
    </w:p>
    <w:p>
      <w:pPr>
        <w:spacing w:line="360" w:before="315" w:after="105" w:lineRule="auto"/>
        <w:ind w:left="-30"/>
        <w:jc w:val="left"/>
      </w:pPr>
      <w:bookmarkStart w:id="9" w:name="bm_2_2_metodología"/>
      <w:r>
        <w:rPr>
          <w:rFonts w:eastAsia="source serif 4" w:cs="source serif 4" w:ascii="source serif 4" w:hAnsi="source serif 4"/>
          <w:b/>
          <w:color w:val="000000"/>
          <w:sz w:val="24"/>
        </w:rPr>
        <w:t xml:space="preserve">2.2 Metodología</w:t>
      </w:r>
      <w:bookmarkEnd w:id="9"/>
    </w:p>
    <w:p>
      <w:pPr>
        <w:numPr>
          <w:ilvl w:val="0"/>
          <w:numId w:val="7"/>
        </w:numPr>
        <w:spacing w:line="360" w:before="105" w:after="105" w:lineRule="auto"/>
      </w:pPr>
      <w:r>
        <w:rPr>
          <w:rFonts w:eastAsia="source serif 4" w:cs="source serif 4" w:ascii="source serif 4" w:hAnsi="source serif 4"/>
          <w:color w:val="000000"/>
          <w:sz w:val="21"/>
        </w:rPr>
        <w:t xml:space="preserve">El BCRA publica cotizaciones de compra y venta del dólar estadounidense para operaciones liquidables en pesos [cite:1].</w:t>
      </w:r>
    </w:p>
    <w:p>
      <w:pPr>
        <w:numPr>
          <w:ilvl w:val="0"/>
          <w:numId w:val="7"/>
        </w:numPr>
        <w:spacing w:line="360" w:before="105" w:after="105" w:lineRule="auto"/>
      </w:pPr>
      <w:r>
        <w:rPr>
          <w:rFonts w:eastAsia="source serif 4" w:cs="source serif 4" w:ascii="source serif 4" w:hAnsi="source serif 4"/>
          <w:color w:val="000000"/>
          <w:sz w:val="21"/>
        </w:rPr>
        <w:t xml:space="preserve">El tipo de cambio oficial minorista es el publicado por el BCRA para operaciones con el público general [cite:38].</w:t>
      </w:r>
    </w:p>
    <w:p>
      <w:pPr>
        <w:numPr>
          <w:ilvl w:val="0"/>
          <w:numId w:val="7"/>
        </w:numPr>
        <w:spacing w:line="360" w:before="105" w:after="105" w:lineRule="auto"/>
      </w:pPr>
      <w:r>
        <w:rPr>
          <w:rFonts w:eastAsia="source serif 4" w:cs="source serif 4" w:ascii="source serif 4" w:hAnsi="source serif 4"/>
          <w:color w:val="000000"/>
          <w:sz w:val="21"/>
        </w:rPr>
        <w:t xml:space="preserve">El tipo de cambio mayorista es el utilizado en operaciones interbancarias y con entidades financieras [cite:60][cite:61].</w:t>
      </w:r>
    </w:p>
    <w:p>
      <w:pPr>
        <w:spacing w:line="360" w:before="315" w:after="105" w:lineRule="auto"/>
        <w:ind w:left="-30"/>
        <w:jc w:val="left"/>
      </w:pPr>
      <w:bookmarkStart w:id="10" w:name="bm_2_3_limitaciones"/>
      <w:r>
        <w:rPr>
          <w:rFonts w:eastAsia="source serif 4" w:cs="source serif 4" w:ascii="source serif 4" w:hAnsi="source serif 4"/>
          <w:b/>
          <w:color w:val="000000"/>
          <w:sz w:val="24"/>
        </w:rPr>
        <w:t xml:space="preserve">2.3 Limitaciones</w:t>
      </w:r>
      <w:bookmarkEnd w:id="10"/>
    </w:p>
    <w:p>
      <w:pPr>
        <w:numPr>
          <w:ilvl w:val="0"/>
          <w:numId w:val="8"/>
        </w:numPr>
        <w:spacing w:line="360" w:before="105" w:after="105" w:lineRule="auto"/>
      </w:pPr>
      <w:r>
        <w:rPr>
          <w:rFonts w:eastAsia="source serif 4" w:cs="source serif 4" w:ascii="source serif 4" w:hAnsi="source serif 4"/>
          <w:color w:val="000000"/>
          <w:sz w:val="21"/>
        </w:rPr>
        <w:t xml:space="preserve">La serie histórica pública en portales de prensa (ej. La Nación) comienza en 2015 [cite:38].</w:t>
      </w:r>
    </w:p>
    <w:p>
      <w:pPr>
        <w:numPr>
          <w:ilvl w:val="0"/>
          <w:numId w:val="8"/>
        </w:numPr>
        <w:spacing w:line="360" w:before="105" w:after="105" w:lineRule="auto"/>
      </w:pPr>
      <w:r>
        <w:rPr>
          <w:rFonts w:eastAsia="source serif 4" w:cs="source serif 4" w:ascii="source serif 4" w:hAnsi="source serif 4"/>
          <w:color w:val="000000"/>
          <w:sz w:val="21"/>
        </w:rPr>
        <w:t xml:space="preserve">El BCRA tiene serie completa en su sitio, pero requiere navegación específica [cite:36].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3_byma_dollar_index"/>
      <w:r>
        <w:rPr>
          <w:rFonts w:eastAsia="source serif 4" w:cs="source serif 4" w:ascii="source serif 4" w:hAnsi="source serif 4"/>
          <w:b/>
          <w:color w:val="000000"/>
          <w:sz w:val="24"/>
        </w:rPr>
        <w:t xml:space="preserve">3. BYMA Dollar Index</w:t>
      </w:r>
      <w:bookmarkEnd w:id="11"/>
    </w:p>
    <w:p>
      <w:pPr>
        <w:spacing w:line="360" w:before="315" w:after="105" w:lineRule="auto"/>
        <w:ind w:left="-30"/>
        <w:jc w:val="left"/>
      </w:pPr>
      <w:bookmarkStart w:id="12" w:name="bm_3_1_serie_existente"/>
      <w:r>
        <w:rPr>
          <w:rFonts w:eastAsia="source serif 4" w:cs="source serif 4" w:ascii="source serif 4" w:hAnsi="source serif 4"/>
          <w:b/>
          <w:color w:val="000000"/>
          <w:sz w:val="24"/>
        </w:rPr>
        <w:t xml:space="preserve">3.1 Serie Existente</w:t>
      </w:r>
      <w:bookmarkEnd w:id="12"/>
    </w:p>
    <w:p>
      <w:pPr>
        <w:numPr>
          <w:ilvl w:val="0"/>
          <w:numId w:val="9"/>
        </w:numPr>
        <w:spacing w:line="360" w:before="105" w:after="105" w:lineRule="auto"/>
      </w:pPr>
      <w:r>
        <w:rPr>
          <w:rFonts w:eastAsia="source serif 4" w:cs="source serif 4" w:ascii="source serif 4" w:hAnsi="source serif 4"/>
          <w:b/>
          <w:color w:val="000000"/>
          <w:sz w:val="21"/>
        </w:rPr>
        <w:t xml:space="preserve">Nombre:</w:t>
      </w:r>
      <w:r>
        <w:rPr>
          <w:rFonts w:eastAsia="source serif 4" w:cs="source serif 4" w:ascii="source serif 4" w:hAnsi="source serif 4"/>
          <w:color w:val="000000"/>
          <w:sz w:val="21"/>
        </w:rPr>
        <w:t xml:space="preserve"> Índice Dólar BYMA (BYMA Dollar Index)</w:t>
      </w:r>
    </w:p>
    <w:p>
      <w:pPr>
        <w:numPr>
          <w:ilvl w:val="0"/>
          <w:numId w:val="9"/>
        </w:numPr>
        <w:spacing w:line="360" w:before="105" w:after="105" w:lineRule="auto"/>
      </w:pPr>
      <w:r>
        <w:rPr>
          <w:rFonts w:eastAsia="source serif 4" w:cs="source serif 4" w:ascii="source serif 4" w:hAnsi="source serif 4"/>
          <w:b/>
          <w:color w:val="000000"/>
          <w:sz w:val="21"/>
        </w:rPr>
        <w:t xml:space="preserve">Publicador:</w:t>
      </w:r>
      <w:r>
        <w:rPr>
          <w:rFonts w:eastAsia="source serif 4" w:cs="source serif 4" w:ascii="source serif 4" w:hAnsi="source serif 4"/>
          <w:color w:val="000000"/>
          <w:sz w:val="21"/>
        </w:rPr>
        <w:t xml:space="preserve"> Bolsas y Mercados Argentinos (BYMA)</w:t>
      </w:r>
    </w:p>
    <w:p>
      <w:pPr>
        <w:numPr>
          <w:ilvl w:val="0"/>
          <w:numId w:val="9"/>
        </w:numPr>
        <w:spacing w:line="360" w:before="105" w:after="105" w:lineRule="auto"/>
      </w:pPr>
      <w:r>
        <w:rPr>
          <w:rFonts w:eastAsia="source serif 4" w:cs="source serif 4" w:ascii="source serif 4" w:hAnsi="source serif 4"/>
          <w:b/>
          <w:color w:val="000000"/>
          <w:sz w:val="21"/>
        </w:rPr>
        <w:t xml:space="preserve">Desde:</w:t>
      </w:r>
      <w:r>
        <w:rPr>
          <w:rFonts w:eastAsia="source serif 4" w:cs="source serif 4" w:ascii="source serif 4" w:hAnsi="source serif 4"/>
          <w:color w:val="000000"/>
          <w:sz w:val="21"/>
        </w:rPr>
        <w:t xml:space="preserve"> 28/02/2024 (fecha de lanzamiento) [cite:8][cite:11].</w:t>
      </w:r>
    </w:p>
    <w:p>
      <w:pPr>
        <w:numPr>
          <w:ilvl w:val="0"/>
          <w:numId w:val="9"/>
        </w:numPr>
        <w:spacing w:line="360" w:before="105" w:after="105" w:lineRule="auto"/>
      </w:pPr>
      <w:r>
        <w:rPr>
          <w:rFonts w:eastAsia="source serif 4" w:cs="source serif 4" w:ascii="source serif 4" w:hAnsi="source serif 4"/>
          <w:b/>
          <w:color w:val="000000"/>
          <w:sz w:val="21"/>
        </w:rPr>
        <w:t xml:space="preserve">Frecuencia:</w:t>
      </w:r>
      <w:r>
        <w:rPr>
          <w:rFonts w:eastAsia="source serif 4" w:cs="source serif 4" w:ascii="source serif 4" w:hAnsi="source serif 4"/>
          <w:color w:val="000000"/>
          <w:sz w:val="21"/>
        </w:rPr>
        <w:t xml:space="preserve"> Diaria (al cierre de la actividad del mercado local) [cite:8].</w:t>
      </w:r>
    </w:p>
    <w:p>
      <w:pPr>
        <w:numPr>
          <w:ilvl w:val="0"/>
          <w:numId w:val="9"/>
        </w:numPr>
        <w:spacing w:line="360" w:before="105" w:after="105" w:lineRule="auto"/>
      </w:pPr>
      <w:r>
        <w:rPr>
          <w:rFonts w:eastAsia="source serif 4" w:cs="source serif 4" w:ascii="source serif 4" w:hAnsi="source serif 4"/>
          <w:b/>
          <w:color w:val="000000"/>
          <w:sz w:val="21"/>
        </w:rPr>
        <w:t xml:space="preserve">Hasta:</w:t>
      </w:r>
      <w:r>
        <w:rPr>
          <w:rFonts w:eastAsia="source serif 4" w:cs="source serif 4" w:ascii="source serif 4" w:hAnsi="source serif 4"/>
          <w:color w:val="000000"/>
          <w:sz w:val="21"/>
        </w:rPr>
        <w:t xml:space="preserve"> Vigente al menos hasta 2026 [cite:10].</w:t>
      </w:r>
    </w:p>
    <w:p>
      <w:pPr>
        <w:spacing w:line="360" w:before="315" w:after="105" w:lineRule="auto"/>
        <w:ind w:left="-30"/>
        <w:jc w:val="left"/>
      </w:pPr>
      <w:bookmarkStart w:id="13" w:name="bm_3_2_metodología"/>
      <w:r>
        <w:rPr>
          <w:rFonts w:eastAsia="source serif 4" w:cs="source serif 4" w:ascii="source serif 4" w:hAnsi="source serif 4"/>
          <w:b/>
          <w:color w:val="000000"/>
          <w:sz w:val="24"/>
        </w:rPr>
        <w:t xml:space="preserve">3.2 Metodología</w:t>
      </w:r>
      <w:bookmarkEnd w:id="13"/>
    </w:p>
    <w:p>
      <w:pPr>
        <w:numPr>
          <w:ilvl w:val="0"/>
          <w:numId w:val="10"/>
        </w:numPr>
        <w:spacing w:line="360" w:before="105" w:after="105" w:lineRule="auto"/>
      </w:pPr>
      <w:r>
        <w:rPr>
          <w:rFonts w:eastAsia="source serif 4" w:cs="source serif 4" w:ascii="source serif 4" w:hAnsi="source serif 4"/>
          <w:color w:val="000000"/>
          <w:sz w:val="21"/>
        </w:rPr>
        <w:t xml:space="preserve">Representa la paridad implícita en operaciones de activos que se negocian para ser liquidados en pesos conjuntamente con las pactadas para ser liquidados en Dólar MEP en el sistema financiero argentino [cite:6][cite:7][cite:10].</w:t>
      </w:r>
    </w:p>
    <w:p>
      <w:pPr>
        <w:numPr>
          <w:ilvl w:val="0"/>
          <w:numId w:val="10"/>
        </w:numPr>
        <w:spacing w:line="360" w:before="105" w:after="105" w:lineRule="auto"/>
      </w:pPr>
      <w:r>
        <w:rPr>
          <w:rFonts w:eastAsia="source serif 4" w:cs="source serif 4" w:ascii="source serif 4" w:hAnsi="source serif 4"/>
          <w:color w:val="000000"/>
          <w:sz w:val="21"/>
        </w:rPr>
        <w:t xml:space="preserve">Se construye con monitoreo en tiempo real de todas las plazas de valores negociables habilitadas por BYMA para liquidar en moneda local y extranjera [cite:6][cite:7].</w:t>
      </w:r>
    </w:p>
    <w:p>
      <w:pPr>
        <w:numPr>
          <w:ilvl w:val="0"/>
          <w:numId w:val="10"/>
        </w:numPr>
        <w:spacing w:line="360" w:before="105" w:after="105" w:lineRule="auto"/>
      </w:pPr>
      <w:r>
        <w:rPr>
          <w:rFonts w:eastAsia="source serif 4" w:cs="source serif 4" w:ascii="source serif 4" w:hAnsi="source serif 4"/>
          <w:color w:val="000000"/>
          <w:sz w:val="21"/>
        </w:rPr>
        <w:t xml:space="preserve">Utiliza precios transparentes de operaciones efectivas en BYMA [cite:8].</w:t>
      </w:r>
    </w:p>
    <w:p>
      <w:pPr>
        <w:spacing w:line="360" w:before="315" w:after="105" w:lineRule="auto"/>
        <w:ind w:left="-30"/>
        <w:jc w:val="left"/>
      </w:pPr>
      <w:bookmarkStart w:id="14" w:name="bm_3_3_limitaciones"/>
      <w:r>
        <w:rPr>
          <w:rFonts w:eastAsia="source serif 4" w:cs="source serif 4" w:ascii="source serif 4" w:hAnsi="source serif 4"/>
          <w:b/>
          <w:color w:val="000000"/>
          <w:sz w:val="24"/>
        </w:rPr>
        <w:t xml:space="preserve">3.3 Limitaciones</w:t>
      </w:r>
      <w:bookmarkEnd w:id="14"/>
    </w:p>
    <w:p>
      <w:pPr>
        <w:numPr>
          <w:ilvl w:val="0"/>
          <w:numId w:val="11"/>
        </w:numPr>
        <w:spacing w:line="360" w:before="105" w:after="105" w:lineRule="auto"/>
      </w:pPr>
      <w:r>
        <w:rPr>
          <w:rFonts w:eastAsia="source serif 4" w:cs="source serif 4" w:ascii="source serif 4" w:hAnsi="source serif 4"/>
          <w:color w:val="000000"/>
          <w:sz w:val="21"/>
        </w:rPr>
        <w:t xml:space="preserve">Serie disponible solo desde febrero 2024; no cubre períodos históricos anteriores [cite:8][cite:11].</w:t>
      </w:r>
    </w:p>
    <w:p>
      <w:pPr>
        <w:numPr>
          <w:ilvl w:val="0"/>
          <w:numId w:val="11"/>
        </w:numPr>
        <w:spacing w:line="360" w:before="105" w:after="105" w:lineRule="auto"/>
      </w:pPr>
      <w:r>
        <w:rPr>
          <w:rFonts w:eastAsia="source serif 4" w:cs="source serif 4" w:ascii="source serif 4" w:hAnsi="source serif 4"/>
          <w:color w:val="000000"/>
          <w:sz w:val="21"/>
        </w:rPr>
        <w:t xml:space="preserve">No hay documentación técnica detallada pública sobre la fórmula exacta de cálculo (solo descripción conceptual) [cite:6][cite:8].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4_byma_ccl_index"/>
      <w:r>
        <w:rPr>
          <w:rFonts w:eastAsia="source serif 4" w:cs="source serif 4" w:ascii="source serif 4" w:hAnsi="source serif 4"/>
          <w:b/>
          <w:color w:val="000000"/>
          <w:sz w:val="24"/>
        </w:rPr>
        <w:t xml:space="preserve">4. BYMA CCL Index</w:t>
      </w:r>
      <w:bookmarkEnd w:id="15"/>
    </w:p>
    <w:p>
      <w:pPr>
        <w:spacing w:line="360" w:before="315" w:after="105" w:lineRule="auto"/>
        <w:ind w:left="-30"/>
        <w:jc w:val="left"/>
      </w:pPr>
      <w:bookmarkStart w:id="16" w:name="bm_4_1_serie_existente"/>
      <w:r>
        <w:rPr>
          <w:rFonts w:eastAsia="source serif 4" w:cs="source serif 4" w:ascii="source serif 4" w:hAnsi="source serif 4"/>
          <w:b/>
          <w:color w:val="000000"/>
          <w:sz w:val="24"/>
        </w:rPr>
        <w:t xml:space="preserve">4.1 Serie Existente</w:t>
      </w:r>
      <w:bookmarkEnd w:id="16"/>
    </w:p>
    <w:p>
      <w:pPr>
        <w:numPr>
          <w:ilvl w:val="0"/>
          <w:numId w:val="12"/>
        </w:numPr>
        <w:spacing w:line="360" w:before="105" w:after="105" w:lineRule="auto"/>
      </w:pPr>
      <w:r>
        <w:rPr>
          <w:rFonts w:eastAsia="source serif 4" w:cs="source serif 4" w:ascii="source serif 4" w:hAnsi="source serif 4"/>
          <w:b/>
          <w:color w:val="000000"/>
          <w:sz w:val="21"/>
        </w:rPr>
        <w:t xml:space="preserve">Nombre:</w:t>
      </w:r>
      <w:r>
        <w:rPr>
          <w:rFonts w:eastAsia="source serif 4" w:cs="source serif 4" w:ascii="source serif 4" w:hAnsi="source serif 4"/>
          <w:color w:val="000000"/>
          <w:sz w:val="21"/>
        </w:rPr>
        <w:t xml:space="preserve"> Índice CCL BYMA (CCL BYMA Index)</w:t>
      </w:r>
    </w:p>
    <w:p>
      <w:pPr>
        <w:numPr>
          <w:ilvl w:val="0"/>
          <w:numId w:val="12"/>
        </w:numPr>
        <w:spacing w:line="360" w:before="105" w:after="105" w:lineRule="auto"/>
      </w:pPr>
      <w:r>
        <w:rPr>
          <w:rFonts w:eastAsia="source serif 4" w:cs="source serif 4" w:ascii="source serif 4" w:hAnsi="source serif 4"/>
          <w:b/>
          <w:color w:val="000000"/>
          <w:sz w:val="21"/>
        </w:rPr>
        <w:t xml:space="preserve">Publicador:</w:t>
      </w:r>
      <w:r>
        <w:rPr>
          <w:rFonts w:eastAsia="source serif 4" w:cs="source serif 4" w:ascii="source serif 4" w:hAnsi="source serif 4"/>
          <w:color w:val="000000"/>
          <w:sz w:val="21"/>
        </w:rPr>
        <w:t xml:space="preserve"> BYMA</w:t>
      </w:r>
    </w:p>
    <w:p>
      <w:pPr>
        <w:numPr>
          <w:ilvl w:val="0"/>
          <w:numId w:val="12"/>
        </w:numPr>
        <w:spacing w:line="360" w:before="105" w:after="105" w:lineRule="auto"/>
      </w:pPr>
      <w:r>
        <w:rPr>
          <w:rFonts w:eastAsia="source serif 4" w:cs="source serif 4" w:ascii="source serif 4" w:hAnsi="source serif 4"/>
          <w:b/>
          <w:color w:val="000000"/>
          <w:sz w:val="21"/>
        </w:rPr>
        <w:t xml:space="preserve">Desde:</w:t>
      </w:r>
      <w:r>
        <w:rPr>
          <w:rFonts w:eastAsia="source serif 4" w:cs="source serif 4" w:ascii="source serif 4" w:hAnsi="source serif 4"/>
          <w:color w:val="000000"/>
          <w:sz w:val="21"/>
        </w:rPr>
        <w:t xml:space="preserve"> 28/02/2024 (fecha de lanzamiento) [cite:8][cite:11].</w:t>
      </w:r>
    </w:p>
    <w:p>
      <w:pPr>
        <w:numPr>
          <w:ilvl w:val="0"/>
          <w:numId w:val="12"/>
        </w:numPr>
        <w:spacing w:line="360" w:before="105" w:after="105" w:lineRule="auto"/>
      </w:pPr>
      <w:r>
        <w:rPr>
          <w:rFonts w:eastAsia="source serif 4" w:cs="source serif 4" w:ascii="source serif 4" w:hAnsi="source serif 4"/>
          <w:b/>
          <w:color w:val="000000"/>
          <w:sz w:val="21"/>
        </w:rPr>
        <w:t xml:space="preserve">Frecuencia:</w:t>
      </w:r>
      <w:r>
        <w:rPr>
          <w:rFonts w:eastAsia="source serif 4" w:cs="source serif 4" w:ascii="source serif 4" w:hAnsi="source serif 4"/>
          <w:color w:val="000000"/>
          <w:sz w:val="21"/>
        </w:rPr>
        <w:t xml:space="preserve"> Diaria (al cierre de la actividad del mercado local) [cite:8].</w:t>
      </w:r>
    </w:p>
    <w:p>
      <w:pPr>
        <w:numPr>
          <w:ilvl w:val="0"/>
          <w:numId w:val="12"/>
        </w:numPr>
        <w:spacing w:line="360" w:before="105" w:after="105" w:lineRule="auto"/>
      </w:pPr>
      <w:r>
        <w:rPr>
          <w:rFonts w:eastAsia="source serif 4" w:cs="source serif 4" w:ascii="source serif 4" w:hAnsi="source serif 4"/>
          <w:b/>
          <w:color w:val="000000"/>
          <w:sz w:val="21"/>
        </w:rPr>
        <w:t xml:space="preserve">Hasta:</w:t>
      </w:r>
      <w:r>
        <w:rPr>
          <w:rFonts w:eastAsia="source serif 4" w:cs="source serif 4" w:ascii="source serif 4" w:hAnsi="source serif 4"/>
          <w:color w:val="000000"/>
          <w:sz w:val="21"/>
        </w:rPr>
        <w:t xml:space="preserve"> Vigente al menos hasta 2026 [cite:10].</w:t>
      </w:r>
    </w:p>
    <w:p>
      <w:pPr>
        <w:spacing w:line="360" w:before="315" w:after="105" w:lineRule="auto"/>
        <w:ind w:left="-30"/>
        <w:jc w:val="left"/>
      </w:pPr>
      <w:bookmarkStart w:id="17" w:name="bm_4_2_metodología"/>
      <w:r>
        <w:rPr>
          <w:rFonts w:eastAsia="source serif 4" w:cs="source serif 4" w:ascii="source serif 4" w:hAnsi="source serif 4"/>
          <w:b/>
          <w:color w:val="000000"/>
          <w:sz w:val="24"/>
        </w:rPr>
        <w:t xml:space="preserve">4.2 Metodología</w:t>
      </w:r>
      <w:bookmarkEnd w:id="17"/>
    </w:p>
    <w:p>
      <w:pPr>
        <w:numPr>
          <w:ilvl w:val="0"/>
          <w:numId w:val="13"/>
        </w:numPr>
        <w:spacing w:line="360" w:before="105" w:after="105" w:lineRule="auto"/>
      </w:pPr>
      <w:r>
        <w:rPr>
          <w:rFonts w:eastAsia="source serif 4" w:cs="source serif 4" w:ascii="source serif 4" w:hAnsi="source serif 4"/>
          <w:color w:val="000000"/>
          <w:sz w:val="21"/>
        </w:rPr>
        <w:t xml:space="preserve">Representa los negocios operados en activos con cotización en pesos junto a aquellos a liquidarse en dólares en cuentas del exterior (Dólar Contado con Liquidación, CCL) [cite:6][cite:7][cite:10].</w:t>
      </w:r>
    </w:p>
    <w:p>
      <w:pPr>
        <w:numPr>
          <w:ilvl w:val="0"/>
          <w:numId w:val="13"/>
        </w:numPr>
        <w:spacing w:line="360" w:before="105" w:after="105" w:lineRule="auto"/>
      </w:pPr>
      <w:r>
        <w:rPr>
          <w:rFonts w:eastAsia="source serif 4" w:cs="source serif 4" w:ascii="source serif 4" w:hAnsi="source serif 4"/>
          <w:color w:val="000000"/>
          <w:sz w:val="21"/>
        </w:rPr>
        <w:t xml:space="preserve">Se construye con monitoreo en tiempo real de todas las plazas de valores negociables habilitadas por BYMA para liquidar en moneda local y extranjera [cite:6][cite:7].</w:t>
      </w:r>
    </w:p>
    <w:p>
      <w:pPr>
        <w:numPr>
          <w:ilvl w:val="0"/>
          <w:numId w:val="13"/>
        </w:numPr>
        <w:spacing w:line="360" w:before="105" w:after="105" w:lineRule="auto"/>
      </w:pPr>
      <w:r>
        <w:rPr>
          <w:rFonts w:eastAsia="source serif 4" w:cs="source serif 4" w:ascii="source serif 4" w:hAnsi="source serif 4"/>
          <w:color w:val="000000"/>
          <w:sz w:val="21"/>
        </w:rPr>
        <w:t xml:space="preserve">Utiliza precios transparentes de operaciones efectivas en BYMA [cite:8].</w:t>
      </w:r>
    </w:p>
    <w:p>
      <w:pPr>
        <w:spacing w:line="360" w:before="315" w:after="105" w:lineRule="auto"/>
        <w:ind w:left="-30"/>
        <w:jc w:val="left"/>
      </w:pPr>
      <w:bookmarkStart w:id="18" w:name="bm_4_3_limitaciones"/>
      <w:r>
        <w:rPr>
          <w:rFonts w:eastAsia="source serif 4" w:cs="source serif 4" w:ascii="source serif 4" w:hAnsi="source serif 4"/>
          <w:b/>
          <w:color w:val="000000"/>
          <w:sz w:val="24"/>
        </w:rPr>
        <w:t xml:space="preserve">4.3 Limitaciones</w:t>
      </w:r>
      <w:bookmarkEnd w:id="18"/>
    </w:p>
    <w:p>
      <w:pPr>
        <w:numPr>
          <w:ilvl w:val="0"/>
          <w:numId w:val="14"/>
        </w:numPr>
        <w:spacing w:line="360" w:before="105" w:after="105" w:lineRule="auto"/>
      </w:pPr>
      <w:r>
        <w:rPr>
          <w:rFonts w:eastAsia="source serif 4" w:cs="source serif 4" w:ascii="source serif 4" w:hAnsi="source serif 4"/>
          <w:color w:val="000000"/>
          <w:sz w:val="21"/>
        </w:rPr>
        <w:t xml:space="preserve">Serie disponible solo desde febrero 2024; no cubre períodos históricos anteriores [cite:8][cite:11].</w:t>
      </w:r>
    </w:p>
    <w:p>
      <w:pPr>
        <w:numPr>
          <w:ilvl w:val="0"/>
          <w:numId w:val="14"/>
        </w:numPr>
        <w:spacing w:line="360" w:before="105" w:after="105" w:lineRule="auto"/>
      </w:pPr>
      <w:r>
        <w:rPr>
          <w:rFonts w:eastAsia="source serif 4" w:cs="source serif 4" w:ascii="source serif 4" w:hAnsi="source serif 4"/>
          <w:color w:val="000000"/>
          <w:sz w:val="21"/>
        </w:rPr>
        <w:t xml:space="preserve">No hay documentación técnica detallada pública sobre la fórmula exacta de cálculo [cite:6][cite:8].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5_metodología_mep"/>
      <w:r>
        <w:rPr>
          <w:rFonts w:eastAsia="source serif 4" w:cs="source serif 4" w:ascii="source serif 4" w:hAnsi="source serif 4"/>
          <w:b/>
          <w:color w:val="000000"/>
          <w:sz w:val="24"/>
        </w:rPr>
        <w:t xml:space="preserve">5. Metodología MEP</w:t>
      </w:r>
      <w:bookmarkEnd w:id="19"/>
    </w:p>
    <w:p>
      <w:pPr>
        <w:spacing w:line="360" w:before="315" w:after="105" w:lineRule="auto"/>
        <w:ind w:left="-30"/>
        <w:jc w:val="left"/>
      </w:pPr>
      <w:bookmarkStart w:id="20" w:name="bm_5_1_definición"/>
      <w:r>
        <w:rPr>
          <w:rFonts w:eastAsia="source serif 4" w:cs="source serif 4" w:ascii="source serif 4" w:hAnsi="source serif 4"/>
          <w:b/>
          <w:color w:val="000000"/>
          <w:sz w:val="24"/>
        </w:rPr>
        <w:t xml:space="preserve">5.1 Definición</w:t>
      </w:r>
      <w:bookmarkEnd w:id="20"/>
    </w:p>
    <w:p>
      <w:pPr>
        <w:numPr>
          <w:ilvl w:val="0"/>
          <w:numId w:val="15"/>
        </w:numPr>
        <w:spacing w:line="360" w:before="105" w:after="105" w:lineRule="auto"/>
      </w:pPr>
      <w:r>
        <w:rPr>
          <w:rFonts w:eastAsia="source serif 4" w:cs="source serif 4" w:ascii="source serif 4" w:hAnsi="source serif 4"/>
          <w:b/>
          <w:color w:val="000000"/>
          <w:sz w:val="21"/>
        </w:rPr>
        <w:t xml:space="preserve">MEP (Mercado Electrónico de Pagos / Dólar Bolsa):</w:t>
      </w:r>
      <w:r>
        <w:rPr>
          <w:rFonts w:eastAsia="source serif 4" w:cs="source serif 4" w:ascii="source serif 4" w:hAnsi="source serif 4"/>
          <w:color w:val="000000"/>
          <w:sz w:val="21"/>
        </w:rPr>
        <w:t xml:space="preserve"> Paridad implícita obtenida de la compra y venta de bonos en pesos y dólares dentro del mercado financiero local [cite:40].</w:t>
      </w:r>
    </w:p>
    <w:p>
      <w:pPr>
        <w:numPr>
          <w:ilvl w:val="0"/>
          <w:numId w:val="15"/>
        </w:numPr>
        <w:spacing w:line="360" w:before="105" w:after="105" w:lineRule="auto"/>
      </w:pPr>
      <w:r>
        <w:rPr>
          <w:rFonts w:eastAsia="source serif 4" w:cs="source serif 4" w:ascii="source serif 4" w:hAnsi="source serif 4"/>
          <w:color w:val="000000"/>
          <w:sz w:val="21"/>
        </w:rPr>
        <w:t xml:space="preserve">Se construye comprando un bono en pesos (ej. AL30) y vendiendo el mismo bono en dólares (ej. AL30D), obteniendo la relación ARS/USD implícita [cite:40][cite:58].</w:t>
      </w:r>
    </w:p>
    <w:p>
      <w:pPr>
        <w:spacing w:line="360" w:before="315" w:after="105" w:lineRule="auto"/>
        <w:ind w:left="-30"/>
        <w:jc w:val="left"/>
      </w:pPr>
      <w:bookmarkStart w:id="21" w:name="bm_5_2_instrumentos_típicos"/>
      <w:r>
        <w:rPr>
          <w:rFonts w:eastAsia="source serif 4" w:cs="source serif 4" w:ascii="source serif 4" w:hAnsi="source serif 4"/>
          <w:b/>
          <w:color w:val="000000"/>
          <w:sz w:val="24"/>
        </w:rPr>
        <w:t xml:space="preserve">5.2 Instrumentos Típicos</w:t>
      </w:r>
      <w:bookmarkEnd w:id="21"/>
    </w:p>
    <w:p>
      <w:pPr>
        <w:numPr>
          <w:ilvl w:val="0"/>
          <w:numId w:val="16"/>
        </w:numPr>
        <w:spacing w:line="360" w:before="105" w:after="105" w:lineRule="auto"/>
      </w:pPr>
      <w:r>
        <w:rPr>
          <w:rFonts w:eastAsia="source serif 4" w:cs="source serif 4" w:ascii="source serif 4" w:hAnsi="source serif 4"/>
          <w:b/>
          <w:color w:val="000000"/>
          <w:sz w:val="21"/>
        </w:rPr>
        <w:t xml:space="preserve">AL30 (ARS):</w:t>
      </w:r>
      <w:r>
        <w:rPr>
          <w:rFonts w:eastAsia="source serif 4" w:cs="source serif 4" w:ascii="source serif 4" w:hAnsi="source serif 4"/>
          <w:color w:val="000000"/>
          <w:sz w:val="21"/>
        </w:rPr>
        <w:t xml:space="preserve"> Bono soberano argentino en pesos, ley argentina, vencimiento 2030 [cite:50][cite:56].</w:t>
      </w:r>
    </w:p>
    <w:p>
      <w:pPr>
        <w:numPr>
          <w:ilvl w:val="0"/>
          <w:numId w:val="16"/>
        </w:numPr>
        <w:spacing w:line="360" w:before="105" w:after="105" w:lineRule="auto"/>
      </w:pPr>
      <w:r>
        <w:rPr>
          <w:rFonts w:eastAsia="source serif 4" w:cs="source serif 4" w:ascii="source serif 4" w:hAnsi="source serif 4"/>
          <w:b/>
          <w:color w:val="000000"/>
          <w:sz w:val="21"/>
        </w:rPr>
        <w:t xml:space="preserve">AL30D (USD):</w:t>
      </w:r>
      <w:r>
        <w:rPr>
          <w:rFonts w:eastAsia="source serif 4" w:cs="source serif 4" w:ascii="source serif 4" w:hAnsi="source serif 4"/>
          <w:color w:val="000000"/>
          <w:sz w:val="21"/>
        </w:rPr>
        <w:t xml:space="preserve"> Bono soberano argentino en dólares, ley argentina, vencimiento 2030 [cite:50][cite:56].</w:t>
      </w:r>
    </w:p>
    <w:p>
      <w:pPr>
        <w:numPr>
          <w:ilvl w:val="0"/>
          <w:numId w:val="16"/>
        </w:numPr>
        <w:spacing w:line="360" w:before="105" w:after="105" w:lineRule="auto"/>
      </w:pPr>
      <w:r>
        <w:rPr>
          <w:rFonts w:eastAsia="source serif 4" w:cs="source serif 4" w:ascii="source serif 4" w:hAnsi="source serif 4"/>
          <w:color w:val="000000"/>
          <w:sz w:val="21"/>
        </w:rPr>
        <w:t xml:space="preserve">La relación MEP = Precio AL30 (ARS) / Precio AL30D (USD) [cite:58][cite:59].</w:t>
      </w:r>
    </w:p>
    <w:p>
      <w:pPr>
        <w:spacing w:line="360" w:before="315" w:after="105" w:lineRule="auto"/>
        <w:ind w:left="-30"/>
        <w:jc w:val="left"/>
      </w:pPr>
      <w:bookmarkStart w:id="22" w:name="bm_5_3_historia"/>
      <w:r>
        <w:rPr>
          <w:rFonts w:eastAsia="source serif 4" w:cs="source serif 4" w:ascii="source serif 4" w:hAnsi="source serif 4"/>
          <w:b/>
          <w:color w:val="000000"/>
          <w:sz w:val="24"/>
        </w:rPr>
        <w:t xml:space="preserve">5.3 Historia</w:t>
      </w:r>
      <w:bookmarkEnd w:id="22"/>
    </w:p>
    <w:p>
      <w:pPr>
        <w:numPr>
          <w:ilvl w:val="0"/>
          <w:numId w:val="17"/>
        </w:numPr>
        <w:spacing w:line="360" w:before="105" w:after="105" w:lineRule="auto"/>
      </w:pPr>
      <w:r>
        <w:rPr>
          <w:rFonts w:eastAsia="source serif 4" w:cs="source serif 4" w:ascii="source serif 4" w:hAnsi="source serif 4"/>
          <w:color w:val="000000"/>
          <w:sz w:val="21"/>
        </w:rPr>
        <w:t xml:space="preserve">Disponible en fuentes de mercado (ej. Dolarito) desde octubre 2018 [cite:40].</w:t>
      </w:r>
    </w:p>
    <w:p>
      <w:pPr>
        <w:numPr>
          <w:ilvl w:val="0"/>
          <w:numId w:val="17"/>
        </w:numPr>
        <w:spacing w:line="360" w:before="105" w:after="105" w:lineRule="auto"/>
      </w:pPr>
      <w:r>
        <w:rPr>
          <w:rFonts w:eastAsia="source serif 4" w:cs="source serif 4" w:ascii="source serif 4" w:hAnsi="source serif 4"/>
          <w:color w:val="000000"/>
          <w:sz w:val="21"/>
        </w:rPr>
        <w:t xml:space="preserve">Algunas fuentes claiman disponibilidad desde 02/01/2003 (más de 23 años de historial) [cite:40].</w:t>
      </w:r>
    </w:p>
    <w:p>
      <w:pPr>
        <w:numPr>
          <w:ilvl w:val="0"/>
          <w:numId w:val="17"/>
        </w:numPr>
        <w:spacing w:line="360" w:before="105" w:after="105" w:lineRule="auto"/>
      </w:pPr>
      <w:r>
        <w:rPr>
          <w:rFonts w:eastAsia="source serif 4" w:cs="source serif 4" w:ascii="source serif 4" w:hAnsi="source serif 4"/>
          <w:color w:val="000000"/>
          <w:sz w:val="21"/>
        </w:rPr>
        <w:t xml:space="preserve">No hay documentación oficial BCRA/BYMA sobre MEP anterior a 2024; es una construcción de mercado [cite:40][cite:58].</w:t>
      </w:r>
    </w:p>
    <w:p>
      <w:pPr>
        <w:spacing w:line="360" w:before="315" w:after="105" w:lineRule="auto"/>
        <w:ind w:left="-30"/>
        <w:jc w:val="left"/>
      </w:pPr>
      <w:bookmarkStart w:id="23" w:name="bm_5_4_limitaciones"/>
      <w:r>
        <w:rPr>
          <w:rFonts w:eastAsia="source serif 4" w:cs="source serif 4" w:ascii="source serif 4" w:hAnsi="source serif 4"/>
          <w:b/>
          <w:color w:val="000000"/>
          <w:sz w:val="24"/>
        </w:rPr>
        <w:t xml:space="preserve">5.4 Limitaciones</w:t>
      </w:r>
      <w:bookmarkEnd w:id="23"/>
    </w:p>
    <w:p>
      <w:pPr>
        <w:numPr>
          <w:ilvl w:val="0"/>
          <w:numId w:val="18"/>
        </w:numPr>
        <w:spacing w:line="360" w:before="105" w:after="105" w:lineRule="auto"/>
      </w:pPr>
      <w:r>
        <w:rPr>
          <w:rFonts w:eastAsia="source serif 4" w:cs="source serif 4" w:ascii="source serif 4" w:hAnsi="source serif 4"/>
          <w:color w:val="000000"/>
          <w:sz w:val="21"/>
        </w:rPr>
        <w:t xml:space="preserve">La disponibilidad histórica depende de la fuente de datos de precios de bonos [cite:40][cite:50].</w:t>
      </w:r>
    </w:p>
    <w:p>
      <w:pPr>
        <w:numPr>
          <w:ilvl w:val="0"/>
          <w:numId w:val="18"/>
        </w:numPr>
        <w:spacing w:line="360" w:before="105" w:after="105" w:lineRule="auto"/>
      </w:pPr>
      <w:r>
        <w:rPr>
          <w:rFonts w:eastAsia="source serif 4" w:cs="source serif 4" w:ascii="source serif 4" w:hAnsi="source serif 4"/>
          <w:color w:val="000000"/>
          <w:sz w:val="21"/>
        </w:rPr>
        <w:t xml:space="preserve">No es una serie oficial BCRA; es una construcción de mercado basada en precios de bonos [cite:40][cite:58].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6_metodología_ccl"/>
      <w:r>
        <w:rPr>
          <w:rFonts w:eastAsia="source serif 4" w:cs="source serif 4" w:ascii="source serif 4" w:hAnsi="source serif 4"/>
          <w:b/>
          <w:color w:val="000000"/>
          <w:sz w:val="24"/>
        </w:rPr>
        <w:t xml:space="preserve">6. Metodología CCL</w:t>
      </w:r>
      <w:bookmarkEnd w:id="24"/>
    </w:p>
    <w:p>
      <w:pPr>
        <w:spacing w:line="360" w:before="315" w:after="105" w:lineRule="auto"/>
        <w:ind w:left="-30"/>
        <w:jc w:val="left"/>
      </w:pPr>
      <w:bookmarkStart w:id="25" w:name="bm_6_1_definición"/>
      <w:r>
        <w:rPr>
          <w:rFonts w:eastAsia="source serif 4" w:cs="source serif 4" w:ascii="source serif 4" w:hAnsi="source serif 4"/>
          <w:b/>
          <w:color w:val="000000"/>
          <w:sz w:val="24"/>
        </w:rPr>
        <w:t xml:space="preserve">6.1 Definición</w:t>
      </w:r>
      <w:bookmarkEnd w:id="25"/>
    </w:p>
    <w:p>
      <w:pPr>
        <w:numPr>
          <w:ilvl w:val="0"/>
          <w:numId w:val="19"/>
        </w:numPr>
        <w:spacing w:line="360" w:before="105" w:after="105" w:lineRule="auto"/>
      </w:pPr>
      <w:r>
        <w:rPr>
          <w:rFonts w:eastAsia="source serif 4" w:cs="source serif 4" w:ascii="source serif 4" w:hAnsi="source serif 4"/>
          <w:b/>
          <w:color w:val="000000"/>
          <w:sz w:val="21"/>
        </w:rPr>
        <w:t xml:space="preserve">CCL (Contado con Liquidación):</w:t>
      </w:r>
      <w:r>
        <w:rPr>
          <w:rFonts w:eastAsia="source serif 4" w:cs="source serif 4" w:ascii="source serif 4" w:hAnsi="source serif 4"/>
          <w:color w:val="000000"/>
          <w:sz w:val="21"/>
        </w:rPr>
        <w:t xml:space="preserve"> Paridad implícita obtenida de la compra de un activo en pesos y su venta en dólares con liquidación en el exterior (cable) [cite:6][cite:7].</w:t>
      </w:r>
    </w:p>
    <w:p>
      <w:pPr>
        <w:numPr>
          <w:ilvl w:val="0"/>
          <w:numId w:val="19"/>
        </w:numPr>
        <w:spacing w:line="360" w:before="105" w:after="105" w:lineRule="auto"/>
      </w:pPr>
      <w:r>
        <w:rPr>
          <w:rFonts w:eastAsia="source serif 4" w:cs="source serif 4" w:ascii="source serif 4" w:hAnsi="source serif 4"/>
          <w:color w:val="000000"/>
          <w:sz w:val="21"/>
        </w:rPr>
        <w:t xml:space="preserve">Se construye comprando un bono en pesos (ej. AL30) y vendiendo el mismo bono en dólares con liquidación en el exterior (ej. AL30C o GD30D) [cite:58][cite:59].</w:t>
      </w:r>
    </w:p>
    <w:p>
      <w:pPr>
        <w:spacing w:line="360" w:before="315" w:after="105" w:lineRule="auto"/>
        <w:ind w:left="-30"/>
        <w:jc w:val="left"/>
      </w:pPr>
      <w:bookmarkStart w:id="26" w:name="bm_6_2_instrumentos_típicos"/>
      <w:r>
        <w:rPr>
          <w:rFonts w:eastAsia="source serif 4" w:cs="source serif 4" w:ascii="source serif 4" w:hAnsi="source serif 4"/>
          <w:b/>
          <w:color w:val="000000"/>
          <w:sz w:val="24"/>
        </w:rPr>
        <w:t xml:space="preserve">6.2 Instrumentos Típicos</w:t>
      </w:r>
      <w:bookmarkEnd w:id="26"/>
    </w:p>
    <w:p>
      <w:pPr>
        <w:numPr>
          <w:ilvl w:val="0"/>
          <w:numId w:val="20"/>
        </w:numPr>
        <w:spacing w:line="360" w:before="105" w:after="105" w:lineRule="auto"/>
      </w:pPr>
      <w:r>
        <w:rPr>
          <w:rFonts w:eastAsia="source serif 4" w:cs="source serif 4" w:ascii="source serif 4" w:hAnsi="source serif 4"/>
          <w:b/>
          <w:color w:val="000000"/>
          <w:sz w:val="21"/>
        </w:rPr>
        <w:t xml:space="preserve">AL30 (ARS):</w:t>
      </w:r>
      <w:r>
        <w:rPr>
          <w:rFonts w:eastAsia="source serif 4" w:cs="source serif 4" w:ascii="source serif 4" w:hAnsi="source serif 4"/>
          <w:color w:val="000000"/>
          <w:sz w:val="21"/>
        </w:rPr>
        <w:t xml:space="preserve"> Bono soberano en pesos, ley argentina [cite:56].</w:t>
      </w:r>
    </w:p>
    <w:p>
      <w:pPr>
        <w:numPr>
          <w:ilvl w:val="0"/>
          <w:numId w:val="20"/>
        </w:numPr>
        <w:spacing w:line="360" w:before="105" w:after="105" w:lineRule="auto"/>
      </w:pPr>
      <w:r>
        <w:rPr>
          <w:rFonts w:eastAsia="source serif 4" w:cs="source serif 4" w:ascii="source serif 4" w:hAnsi="source serif 4"/>
          <w:b/>
          <w:color w:val="000000"/>
          <w:sz w:val="21"/>
        </w:rPr>
        <w:t xml:space="preserve">AL30C (USD cable):</w:t>
      </w:r>
      <w:r>
        <w:rPr>
          <w:rFonts w:eastAsia="source serif 4" w:cs="source serif 4" w:ascii="source serif 4" w:hAnsi="source serif 4"/>
          <w:color w:val="000000"/>
          <w:sz w:val="21"/>
        </w:rPr>
        <w:t xml:space="preserve"> Bono soberano en dólares, ley argentina, liquidación exterior [cite:58][cite:59].</w:t>
      </w:r>
    </w:p>
    <w:p>
      <w:pPr>
        <w:numPr>
          <w:ilvl w:val="0"/>
          <w:numId w:val="20"/>
        </w:numPr>
        <w:spacing w:line="360" w:before="105" w:after="105" w:lineRule="auto"/>
      </w:pPr>
      <w:r>
        <w:rPr>
          <w:rFonts w:eastAsia="source serif 4" w:cs="source serif 4" w:ascii="source serif 4" w:hAnsi="source serif 4"/>
          <w:b/>
          <w:color w:val="000000"/>
          <w:sz w:val="21"/>
        </w:rPr>
        <w:t xml:space="preserve">GD30 (USD):</w:t>
      </w:r>
      <w:r>
        <w:rPr>
          <w:rFonts w:eastAsia="source serif 4" w:cs="source serif 4" w:ascii="source serif 4" w:hAnsi="source serif 4"/>
          <w:color w:val="000000"/>
          <w:sz w:val="21"/>
        </w:rPr>
        <w:t xml:space="preserve"> Bono soberano en dólares, ley Nueva York [cite:56][cite:57].</w:t>
      </w:r>
    </w:p>
    <w:p>
      <w:pPr>
        <w:numPr>
          <w:ilvl w:val="0"/>
          <w:numId w:val="20"/>
        </w:numPr>
        <w:spacing w:line="360" w:before="105" w:after="105" w:lineRule="auto"/>
      </w:pPr>
      <w:r>
        <w:rPr>
          <w:rFonts w:eastAsia="source serif 4" w:cs="source serif 4" w:ascii="source serif 4" w:hAnsi="source serif 4"/>
          <w:color w:val="000000"/>
          <w:sz w:val="21"/>
        </w:rPr>
        <w:t xml:space="preserve">La relación CCL = Precio AL30 (ARS) / Precio AL30C (USD cable) [cite:58][cite:59].</w:t>
      </w:r>
    </w:p>
    <w:p>
      <w:pPr>
        <w:spacing w:line="360" w:before="315" w:after="105" w:lineRule="auto"/>
        <w:ind w:left="-30"/>
        <w:jc w:val="left"/>
      </w:pPr>
      <w:bookmarkStart w:id="27" w:name="bm_6_3_historia"/>
      <w:r>
        <w:rPr>
          <w:rFonts w:eastAsia="source serif 4" w:cs="source serif 4" w:ascii="source serif 4" w:hAnsi="source serif 4"/>
          <w:b/>
          <w:color w:val="000000"/>
          <w:sz w:val="24"/>
        </w:rPr>
        <w:t xml:space="preserve">6.3 Historia</w:t>
      </w:r>
      <w:bookmarkEnd w:id="27"/>
    </w:p>
    <w:p>
      <w:pPr>
        <w:numPr>
          <w:ilvl w:val="0"/>
          <w:numId w:val="21"/>
        </w:numPr>
        <w:spacing w:line="360" w:before="105" w:after="105" w:lineRule="auto"/>
      </w:pPr>
      <w:r>
        <w:rPr>
          <w:rFonts w:eastAsia="source serif 4" w:cs="source serif 4" w:ascii="source serif 4" w:hAnsi="source serif 4"/>
          <w:color w:val="000000"/>
          <w:sz w:val="21"/>
        </w:rPr>
        <w:t xml:space="preserve">Disponible en fuentes de mercado (ej. Dolarito) desde enero 2003 [cite:40].</w:t>
      </w:r>
    </w:p>
    <w:p>
      <w:pPr>
        <w:numPr>
          <w:ilvl w:val="0"/>
          <w:numId w:val="21"/>
        </w:numPr>
        <w:spacing w:line="360" w:before="105" w:after="105" w:lineRule="auto"/>
      </w:pPr>
      <w:r>
        <w:rPr>
          <w:rFonts w:eastAsia="source serif 4" w:cs="source serif 4" w:ascii="source serif 4" w:hAnsi="source serif 4"/>
          <w:color w:val="000000"/>
          <w:sz w:val="21"/>
        </w:rPr>
        <w:t xml:space="preserve">No hay documentación oficial BCRA/BYMA sobre CCL anterior a 2024; es una construcción de mercado [cite:40][cite:58].</w:t>
      </w:r>
    </w:p>
    <w:p>
      <w:pPr>
        <w:spacing w:line="360" w:before="315" w:after="105" w:lineRule="auto"/>
        <w:ind w:left="-30"/>
        <w:jc w:val="left"/>
      </w:pPr>
      <w:bookmarkStart w:id="28" w:name="bm_6_4_limitaciones"/>
      <w:r>
        <w:rPr>
          <w:rFonts w:eastAsia="source serif 4" w:cs="source serif 4" w:ascii="source serif 4" w:hAnsi="source serif 4"/>
          <w:b/>
          <w:color w:val="000000"/>
          <w:sz w:val="24"/>
        </w:rPr>
        <w:t xml:space="preserve">6.4 Limitaciones</w:t>
      </w:r>
      <w:bookmarkEnd w:id="28"/>
    </w:p>
    <w:p>
      <w:pPr>
        <w:numPr>
          <w:ilvl w:val="0"/>
          <w:numId w:val="22"/>
        </w:numPr>
        <w:spacing w:line="360" w:before="105" w:after="105" w:lineRule="auto"/>
      </w:pPr>
      <w:r>
        <w:rPr>
          <w:rFonts w:eastAsia="source serif 4" w:cs="source serif 4" w:ascii="source serif 4" w:hAnsi="source serif 4"/>
          <w:color w:val="000000"/>
          <w:sz w:val="21"/>
        </w:rPr>
        <w:t xml:space="preserve">La disponibilidad histórica depende de la fuente de datos de precios de bonos [cite:40][cite:50].</w:t>
      </w:r>
    </w:p>
    <w:p>
      <w:pPr>
        <w:numPr>
          <w:ilvl w:val="0"/>
          <w:numId w:val="22"/>
        </w:numPr>
        <w:spacing w:line="360" w:before="105" w:after="105" w:lineRule="auto"/>
      </w:pPr>
      <w:r>
        <w:rPr>
          <w:rFonts w:eastAsia="source serif 4" w:cs="source serif 4" w:ascii="source serif 4" w:hAnsi="source serif 4"/>
          <w:color w:val="000000"/>
          <w:sz w:val="21"/>
        </w:rPr>
        <w:t xml:space="preserve">No es una serie oficial BCRA; es una construcción de mercado [cite:40][cite:58].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7_historia_de_mep"/>
      <w:r>
        <w:rPr>
          <w:rFonts w:eastAsia="source serif 4" w:cs="source serif 4" w:ascii="source serif 4" w:hAnsi="source serif 4"/>
          <w:b/>
          <w:color w:val="000000"/>
          <w:sz w:val="24"/>
        </w:rPr>
        <w:t xml:space="preserve">7. Historia de MEP</w:t>
      </w:r>
      <w:bookmarkEnd w:id="29"/>
    </w:p>
    <w:p>
      <w:pPr>
        <w:spacing w:line="360" w:before="315" w:after="105" w:lineRule="auto"/>
        <w:ind w:left="-30"/>
        <w:jc w:val="left"/>
      </w:pPr>
      <w:bookmarkStart w:id="30" w:name="bm_7_1_origen"/>
      <w:r>
        <w:rPr>
          <w:rFonts w:eastAsia="source serif 4" w:cs="source serif 4" w:ascii="source serif 4" w:hAnsi="source serif 4"/>
          <w:b/>
          <w:color w:val="000000"/>
          <w:sz w:val="24"/>
        </w:rPr>
        <w:t xml:space="preserve">7.1 Origen</w:t>
      </w:r>
      <w:bookmarkEnd w:id="30"/>
    </w:p>
    <w:p>
      <w:pPr>
        <w:numPr>
          <w:ilvl w:val="0"/>
          <w:numId w:val="23"/>
        </w:numPr>
        <w:spacing w:line="360" w:before="105" w:after="105" w:lineRule="auto"/>
      </w:pPr>
      <w:r>
        <w:rPr>
          <w:rFonts w:eastAsia="source serif 4" w:cs="source serif 4" w:ascii="source serif 4" w:hAnsi="source serif 4"/>
          <w:color w:val="000000"/>
          <w:sz w:val="21"/>
        </w:rPr>
        <w:t xml:space="preserve">El MEP surge como mecanismo de acceso a dólares a través del mercado de capitales, evitando restricciones cambiarias [cite:40].</w:t>
      </w:r>
    </w:p>
    <w:p>
      <w:pPr>
        <w:numPr>
          <w:ilvl w:val="0"/>
          <w:numId w:val="23"/>
        </w:numPr>
        <w:spacing w:line="360" w:before="105" w:after="105" w:lineRule="auto"/>
      </w:pPr>
      <w:r>
        <w:rPr>
          <w:rFonts w:eastAsia="source serif 4" w:cs="source serif 4" w:ascii="source serif 4" w:hAnsi="source serif 4"/>
          <w:color w:val="000000"/>
          <w:sz w:val="21"/>
        </w:rPr>
        <w:t xml:space="preserve">Se basa en la operatoria de bonos soberanos (AL30/AL30D) y otros instrumentos negociables [cite:40][cite:58].</w:t>
      </w:r>
    </w:p>
    <w:p>
      <w:pPr>
        <w:spacing w:line="360" w:before="315" w:after="105" w:lineRule="auto"/>
        <w:ind w:left="-30"/>
        <w:jc w:val="left"/>
      </w:pPr>
      <w:bookmarkStart w:id="31" w:name="bm_7_2_evolución"/>
      <w:r>
        <w:rPr>
          <w:rFonts w:eastAsia="source serif 4" w:cs="source serif 4" w:ascii="source serif 4" w:hAnsi="source serif 4"/>
          <w:b/>
          <w:color w:val="000000"/>
          <w:sz w:val="24"/>
        </w:rPr>
        <w:t xml:space="preserve">7.2 Evolución</w:t>
      </w:r>
      <w:bookmarkEnd w:id="31"/>
    </w:p>
    <w:p>
      <w:pPr>
        <w:numPr>
          <w:ilvl w:val="0"/>
          <w:numId w:val="24"/>
        </w:numPr>
        <w:spacing w:line="360" w:before="105" w:after="105" w:lineRule="auto"/>
      </w:pPr>
      <w:r>
        <w:rPr>
          <w:rFonts w:eastAsia="source serif 4" w:cs="source serif 4" w:ascii="source serif 4" w:hAnsi="source serif 4"/>
          <w:b/>
          <w:color w:val="000000"/>
          <w:sz w:val="21"/>
        </w:rPr>
        <w:t xml:space="preserve">2001–2002:</w:t>
      </w:r>
      <w:r>
        <w:rPr>
          <w:rFonts w:eastAsia="source serif 4" w:cs="source serif 4" w:ascii="source serif 4" w:hAnsi="source serif 4"/>
          <w:color w:val="000000"/>
          <w:sz w:val="21"/>
        </w:rPr>
        <w:t xml:space="preserve"> No hay evidencia documental de MEP como concepto formal; el mercado de bonos estaba en default y sin operatoria normal [cite:40].</w:t>
      </w:r>
    </w:p>
    <w:p>
      <w:pPr>
        <w:numPr>
          <w:ilvl w:val="0"/>
          <w:numId w:val="24"/>
        </w:numPr>
        <w:spacing w:line="360" w:before="105" w:after="105" w:lineRule="auto"/>
      </w:pPr>
      <w:r>
        <w:rPr>
          <w:rFonts w:eastAsia="source serif 4" w:cs="source serif 4" w:ascii="source serif 4" w:hAnsi="source serif 4"/>
          <w:b/>
          <w:color w:val="000000"/>
          <w:sz w:val="21"/>
        </w:rPr>
        <w:t xml:space="preserve">2003–2018:</w:t>
      </w:r>
      <w:r>
        <w:rPr>
          <w:rFonts w:eastAsia="source serif 4" w:cs="source serif 4" w:ascii="source serif 4" w:hAnsi="source serif 4"/>
          <w:color w:val="000000"/>
          <w:sz w:val="21"/>
        </w:rPr>
        <w:t xml:space="preserve"> MEP comienza a ser utilizado como referencia de mercado, pero sin serie oficial [cite:40].</w:t>
      </w:r>
    </w:p>
    <w:p>
      <w:pPr>
        <w:numPr>
          <w:ilvl w:val="0"/>
          <w:numId w:val="24"/>
        </w:numPr>
        <w:spacing w:line="360" w:before="105" w:after="105" w:lineRule="auto"/>
      </w:pPr>
      <w:r>
        <w:rPr>
          <w:rFonts w:eastAsia="source serif 4" w:cs="source serif 4" w:ascii="source serif 4" w:hAnsi="source serif 4"/>
          <w:b/>
          <w:color w:val="000000"/>
          <w:sz w:val="21"/>
        </w:rPr>
        <w:t xml:space="preserve">2018–2024:</w:t>
      </w:r>
      <w:r>
        <w:rPr>
          <w:rFonts w:eastAsia="source serif 4" w:cs="source serif 4" w:ascii="source serif 4" w:hAnsi="source serif 4"/>
          <w:color w:val="000000"/>
          <w:sz w:val="21"/>
        </w:rPr>
        <w:t xml:space="preserve"> MEP se consolida como referencia de mercado, con disponibilidad en portales financieros (Dolarito, </w:t>
      </w:r>
      <w:hyperlink r:id="rId5">
        <w:r>
          <w:rPr>
            <w:rFonts w:eastAsia="source sans 3" w:cs="source sans 3" w:ascii="source sans 3" w:hAnsi="source sans 3"/>
            <w:color w:val="#000"/>
            <w:sz w:val="21"/>
            <w:u w:val="single"/>
          </w:rPr>
          <w:t xml:space="preserve">Investing.com</w:t>
        </w:r>
      </w:hyperlink>
      <w:r>
        <w:rPr>
          <w:rFonts w:eastAsia="source serif 4" w:cs="source serif 4" w:ascii="source serif 4" w:hAnsi="source serif 4"/>
          <w:color w:val="000000"/>
          <w:sz w:val="21"/>
        </w:rPr>
        <w:t xml:space="preserve">) [cite:40][cite:50].</w:t>
      </w:r>
    </w:p>
    <w:p>
      <w:pPr>
        <w:numPr>
          <w:ilvl w:val="0"/>
          <w:numId w:val="24"/>
        </w:numPr>
        <w:spacing w:line="360" w:before="105" w:after="105" w:lineRule="auto"/>
      </w:pPr>
      <w:r>
        <w:rPr>
          <w:rFonts w:eastAsia="source serif 4" w:cs="source serif 4" w:ascii="source serif 4" w:hAnsi="source serif 4"/>
          <w:b/>
          <w:color w:val="000000"/>
          <w:sz w:val="21"/>
        </w:rPr>
        <w:t xml:space="preserve">2024 en adelante:</w:t>
      </w:r>
      <w:r>
        <w:rPr>
          <w:rFonts w:eastAsia="source serif 4" w:cs="source serif 4" w:ascii="source serif 4" w:hAnsi="source serif 4"/>
          <w:color w:val="000000"/>
          <w:sz w:val="21"/>
        </w:rPr>
        <w:t xml:space="preserve"> BYMA lanza el Índice Dólar BYMA, que representa la paridad MEP basada en operaciones en BYMA [cite:8][cite:11].</w:t>
      </w:r>
    </w:p>
    <w:p>
      <w:pPr>
        <w:spacing w:line="360" w:before="315" w:after="105" w:lineRule="auto"/>
        <w:ind w:left="-30"/>
        <w:jc w:val="left"/>
      </w:pPr>
      <w:bookmarkStart w:id="32" w:name="bm_7_3_limitaciones"/>
      <w:r>
        <w:rPr>
          <w:rFonts w:eastAsia="source serif 4" w:cs="source serif 4" w:ascii="source serif 4" w:hAnsi="source serif 4"/>
          <w:b/>
          <w:color w:val="000000"/>
          <w:sz w:val="24"/>
        </w:rPr>
        <w:t xml:space="preserve">7.3 Limitaciones</w:t>
      </w:r>
      <w:bookmarkEnd w:id="32"/>
    </w:p>
    <w:p>
      <w:pPr>
        <w:numPr>
          <w:ilvl w:val="0"/>
          <w:numId w:val="25"/>
        </w:numPr>
        <w:spacing w:line="360" w:before="105" w:after="105" w:lineRule="auto"/>
      </w:pPr>
      <w:r>
        <w:rPr>
          <w:rFonts w:eastAsia="source serif 4" w:cs="source serif 4" w:ascii="source serif 4" w:hAnsi="source serif 4"/>
          <w:color w:val="000000"/>
          <w:sz w:val="21"/>
        </w:rPr>
        <w:t xml:space="preserve">No hay documentación oficial sobre MEP anterior a 2024 [cite:40][cite:58].</w:t>
      </w:r>
    </w:p>
    <w:p>
      <w:pPr>
        <w:numPr>
          <w:ilvl w:val="0"/>
          <w:numId w:val="25"/>
        </w:numPr>
        <w:spacing w:line="360" w:before="105" w:after="105" w:lineRule="auto"/>
      </w:pPr>
      <w:r>
        <w:rPr>
          <w:rFonts w:eastAsia="source serif 4" w:cs="source serif 4" w:ascii="source serif 4" w:hAnsi="source serif 4"/>
          <w:color w:val="000000"/>
          <w:sz w:val="21"/>
        </w:rPr>
        <w:t xml:space="preserve">La serie histórica es reconstruida por proveedores de datos de mercado [cite:40][cite:50].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8_historia_de_ccl"/>
      <w:r>
        <w:rPr>
          <w:rFonts w:eastAsia="source serif 4" w:cs="source serif 4" w:ascii="source serif 4" w:hAnsi="source serif 4"/>
          <w:b/>
          <w:color w:val="000000"/>
          <w:sz w:val="24"/>
        </w:rPr>
        <w:t xml:space="preserve">8. Historia de CCL</w:t>
      </w:r>
      <w:bookmarkEnd w:id="33"/>
    </w:p>
    <w:p>
      <w:pPr>
        <w:spacing w:line="360" w:before="315" w:after="105" w:lineRule="auto"/>
        <w:ind w:left="-30"/>
        <w:jc w:val="left"/>
      </w:pPr>
      <w:bookmarkStart w:id="34" w:name="bm_8_1_origen"/>
      <w:r>
        <w:rPr>
          <w:rFonts w:eastAsia="source serif 4" w:cs="source serif 4" w:ascii="source serif 4" w:hAnsi="source serif 4"/>
          <w:b/>
          <w:color w:val="000000"/>
          <w:sz w:val="24"/>
        </w:rPr>
        <w:t xml:space="preserve">8.1 Origen</w:t>
      </w:r>
      <w:bookmarkEnd w:id="34"/>
    </w:p>
    <w:p>
      <w:pPr>
        <w:numPr>
          <w:ilvl w:val="0"/>
          <w:numId w:val="26"/>
        </w:numPr>
        <w:spacing w:line="360" w:before="105" w:after="105" w:lineRule="auto"/>
      </w:pPr>
      <w:r>
        <w:rPr>
          <w:rFonts w:eastAsia="source serif 4" w:cs="source serif 4" w:ascii="source serif 4" w:hAnsi="source serif 4"/>
          <w:color w:val="000000"/>
          <w:sz w:val="21"/>
        </w:rPr>
        <w:t xml:space="preserve">El CCL surge como mecanismo de acceso a dólares con liquidación en el exterior, a través del mercado de capitales [cite:6][cite:7].</w:t>
      </w:r>
    </w:p>
    <w:p>
      <w:pPr>
        <w:numPr>
          <w:ilvl w:val="0"/>
          <w:numId w:val="26"/>
        </w:numPr>
        <w:spacing w:line="360" w:before="105" w:after="105" w:lineRule="auto"/>
      </w:pPr>
      <w:r>
        <w:rPr>
          <w:rFonts w:eastAsia="source serif 4" w:cs="source serif 4" w:ascii="source serif 4" w:hAnsi="source serif 4"/>
          <w:color w:val="000000"/>
          <w:sz w:val="21"/>
        </w:rPr>
        <w:t xml:space="preserve">Se basa en la operatoria de bonos soberanos (AL30/AL30C, GD30) y otros instrumentos negociables [cite:58][cite:59].</w:t>
      </w:r>
    </w:p>
    <w:p>
      <w:pPr>
        <w:spacing w:line="360" w:before="315" w:after="105" w:lineRule="auto"/>
        <w:ind w:left="-30"/>
        <w:jc w:val="left"/>
      </w:pPr>
      <w:bookmarkStart w:id="35" w:name="bm_8_2_evolución"/>
      <w:r>
        <w:rPr>
          <w:rFonts w:eastAsia="source serif 4" w:cs="source serif 4" w:ascii="source serif 4" w:hAnsi="source serif 4"/>
          <w:b/>
          <w:color w:val="000000"/>
          <w:sz w:val="24"/>
        </w:rPr>
        <w:t xml:space="preserve">8.2 Evolución</w:t>
      </w:r>
      <w:bookmarkEnd w:id="35"/>
    </w:p>
    <w:p>
      <w:pPr>
        <w:numPr>
          <w:ilvl w:val="0"/>
          <w:numId w:val="27"/>
        </w:numPr>
        <w:spacing w:line="360" w:before="105" w:after="105" w:lineRule="auto"/>
      </w:pPr>
      <w:r>
        <w:rPr>
          <w:rFonts w:eastAsia="source serif 4" w:cs="source serif 4" w:ascii="source serif 4" w:hAnsi="source serif 4"/>
          <w:b/>
          <w:color w:val="000000"/>
          <w:sz w:val="21"/>
        </w:rPr>
        <w:t xml:space="preserve">2001–2002:</w:t>
      </w:r>
      <w:r>
        <w:rPr>
          <w:rFonts w:eastAsia="source serif 4" w:cs="source serif 4" w:ascii="source serif 4" w:hAnsi="source serif 4"/>
          <w:color w:val="000000"/>
          <w:sz w:val="21"/>
        </w:rPr>
        <w:t xml:space="preserve"> No hay evidencia documental de CCL como concepto formal; el mercado de bonos estaba en default [cite:40].</w:t>
      </w:r>
    </w:p>
    <w:p>
      <w:pPr>
        <w:numPr>
          <w:ilvl w:val="0"/>
          <w:numId w:val="27"/>
        </w:numPr>
        <w:spacing w:line="360" w:before="105" w:after="105" w:lineRule="auto"/>
      </w:pPr>
      <w:r>
        <w:rPr>
          <w:rFonts w:eastAsia="source serif 4" w:cs="source serif 4" w:ascii="source serif 4" w:hAnsi="source serif 4"/>
          <w:b/>
          <w:color w:val="000000"/>
          <w:sz w:val="21"/>
        </w:rPr>
        <w:t xml:space="preserve">2003–2024:</w:t>
      </w:r>
      <w:r>
        <w:rPr>
          <w:rFonts w:eastAsia="source serif 4" w:cs="source serif 4" w:ascii="source serif 4" w:hAnsi="source serif 4"/>
          <w:color w:val="000000"/>
          <w:sz w:val="21"/>
        </w:rPr>
        <w:t xml:space="preserve"> CCL comienza a ser utilizado como referencia de mercado, pero sin serie oficial [cite:40].</w:t>
      </w:r>
    </w:p>
    <w:p>
      <w:pPr>
        <w:numPr>
          <w:ilvl w:val="0"/>
          <w:numId w:val="27"/>
        </w:numPr>
        <w:spacing w:line="360" w:before="105" w:after="105" w:lineRule="auto"/>
      </w:pPr>
      <w:r>
        <w:rPr>
          <w:rFonts w:eastAsia="source serif 4" w:cs="source serif 4" w:ascii="source serif 4" w:hAnsi="source serif 4"/>
          <w:b/>
          <w:color w:val="000000"/>
          <w:sz w:val="21"/>
        </w:rPr>
        <w:t xml:space="preserve">2024 en adelante:</w:t>
      </w:r>
      <w:r>
        <w:rPr>
          <w:rFonts w:eastAsia="source serif 4" w:cs="source serif 4" w:ascii="source serif 4" w:hAnsi="source serif 4"/>
          <w:color w:val="000000"/>
          <w:sz w:val="21"/>
        </w:rPr>
        <w:t xml:space="preserve"> BYMA lanza el Índice CCL BYMA, que representa la paridad CCL basada en operaciones en BYMA [cite:8][cite:11].</w:t>
      </w:r>
    </w:p>
    <w:p>
      <w:pPr>
        <w:spacing w:line="360" w:before="315" w:after="105" w:lineRule="auto"/>
        <w:ind w:left="-30"/>
        <w:jc w:val="left"/>
      </w:pPr>
      <w:bookmarkStart w:id="36" w:name="bm_8_3_limitaciones"/>
      <w:r>
        <w:rPr>
          <w:rFonts w:eastAsia="source serif 4" w:cs="source serif 4" w:ascii="source serif 4" w:hAnsi="source serif 4"/>
          <w:b/>
          <w:color w:val="000000"/>
          <w:sz w:val="24"/>
        </w:rPr>
        <w:t xml:space="preserve">8.3 Limitaciones</w:t>
      </w:r>
      <w:bookmarkEnd w:id="36"/>
    </w:p>
    <w:p>
      <w:pPr>
        <w:numPr>
          <w:ilvl w:val="0"/>
          <w:numId w:val="28"/>
        </w:numPr>
        <w:spacing w:line="360" w:before="105" w:after="105" w:lineRule="auto"/>
      </w:pPr>
      <w:r>
        <w:rPr>
          <w:rFonts w:eastAsia="source serif 4" w:cs="source serif 4" w:ascii="source serif 4" w:hAnsi="source serif 4"/>
          <w:color w:val="000000"/>
          <w:sz w:val="21"/>
        </w:rPr>
        <w:t xml:space="preserve">No hay documentación oficial sobre CCL anterior a 2024 [cite:40][cite:58].</w:t>
      </w:r>
    </w:p>
    <w:p>
      <w:pPr>
        <w:numPr>
          <w:ilvl w:val="0"/>
          <w:numId w:val="28"/>
        </w:numPr>
        <w:spacing w:line="360" w:before="105" w:after="105" w:lineRule="auto"/>
      </w:pPr>
      <w:r>
        <w:rPr>
          <w:rFonts w:eastAsia="source serif 4" w:cs="source serif 4" w:ascii="source serif 4" w:hAnsi="source serif 4"/>
          <w:color w:val="000000"/>
          <w:sz w:val="21"/>
        </w:rPr>
        <w:t xml:space="preserve">La serie histórica es reconstruida por proveedores de datos de mercado [cite:40][cite:50].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9_disponibilidad_histórica_200_95b350"/>
      <w:r>
        <w:rPr>
          <w:rFonts w:eastAsia="source serif 4" w:cs="source serif 4" w:ascii="source serif 4" w:hAnsi="source serif 4"/>
          <w:b/>
          <w:color w:val="000000"/>
          <w:sz w:val="24"/>
        </w:rPr>
        <w:t xml:space="preserve">9. Disponibilidad Histórica 2001/2002–2026</w:t>
      </w:r>
      <w:bookmarkEnd w:id="37"/>
    </w:p>
    <w:p>
      <w:pPr>
        <w:spacing w:line="360" w:before="315" w:after="105" w:lineRule="auto"/>
        <w:ind w:left="-30"/>
        <w:jc w:val="left"/>
      </w:pPr>
      <w:bookmarkStart w:id="38" w:name="bm_9_1_período_2001_febrero_2002"/>
      <w:r>
        <w:rPr>
          <w:rFonts w:eastAsia="source serif 4" w:cs="source serif 4" w:ascii="source serif 4" w:hAnsi="source serif 4"/>
          <w:b/>
          <w:color w:val="000000"/>
          <w:sz w:val="24"/>
        </w:rPr>
        <w:t xml:space="preserve">9.1 Período 2001–febrero 2002</w:t>
      </w:r>
      <w:bookmarkEnd w:id="38"/>
    </w:p>
    <w:p>
      <w:pPr>
        <w:numPr>
          <w:ilvl w:val="0"/>
          <w:numId w:val="29"/>
        </w:numPr>
        <w:spacing w:line="360" w:before="105" w:after="105" w:lineRule="auto"/>
      </w:pPr>
      <w:r>
        <w:rPr>
          <w:rFonts w:eastAsia="source serif 4" w:cs="source serif 4" w:ascii="source serif 4" w:hAnsi="source serif 4"/>
          <w:b/>
          <w:color w:val="000000"/>
          <w:sz w:val="21"/>
        </w:rPr>
        <w:t xml:space="preserve">BCRA A3500:</w:t>
      </w:r>
      <w:r>
        <w:rPr>
          <w:rFonts w:eastAsia="source serif 4" w:cs="source serif 4" w:ascii="source serif 4" w:hAnsi="source serif 4"/>
          <w:color w:val="000000"/>
          <w:sz w:val="21"/>
        </w:rPr>
        <w:t xml:space="preserve"> No disponible (entra en vigor 01/03/2002) [cite:1][cite:5].</w:t>
      </w:r>
    </w:p>
    <w:p>
      <w:pPr>
        <w:numPr>
          <w:ilvl w:val="0"/>
          <w:numId w:val="29"/>
        </w:numPr>
        <w:spacing w:line="360" w:before="105" w:after="105" w:lineRule="auto"/>
      </w:pPr>
      <w:r>
        <w:rPr>
          <w:rFonts w:eastAsia="source serif 4" w:cs="source serif 4" w:ascii="source serif 4" w:hAnsi="source serif 4"/>
          <w:b/>
          <w:color w:val="000000"/>
          <w:sz w:val="21"/>
        </w:rPr>
        <w:t xml:space="preserve">Dólar oficial BCRA:</w:t>
      </w:r>
      <w:r>
        <w:rPr>
          <w:rFonts w:eastAsia="source serif 4" w:cs="source serif 4" w:ascii="source serif 4" w:hAnsi="source serif 4"/>
          <w:color w:val="000000"/>
          <w:sz w:val="21"/>
        </w:rPr>
        <w:t xml:space="preserve"> Disponible en archivos BCRA, pero no en portales públicos [cite:36][cite:63].</w:t>
      </w:r>
    </w:p>
    <w:p>
      <w:pPr>
        <w:numPr>
          <w:ilvl w:val="0"/>
          <w:numId w:val="29"/>
        </w:numPr>
        <w:spacing w:line="360" w:before="105" w:after="105" w:lineRule="auto"/>
      </w:pPr>
      <w:r>
        <w:rPr>
          <w:rFonts w:eastAsia="source serif 4" w:cs="source serif 4" w:ascii="source serif 4" w:hAnsi="source serif 4"/>
          <w:b/>
          <w:color w:val="000000"/>
          <w:sz w:val="21"/>
        </w:rPr>
        <w:t xml:space="preserve">MEP/CCL:</w:t>
      </w:r>
      <w:r>
        <w:rPr>
          <w:rFonts w:eastAsia="source serif 4" w:cs="source serif 4" w:ascii="source serif 4" w:hAnsi="source serif 4"/>
          <w:color w:val="000000"/>
          <w:sz w:val="21"/>
        </w:rPr>
        <w:t xml:space="preserve"> No hay evidencia de series formales; mercado de bonos en default [cite:40].</w:t>
      </w:r>
    </w:p>
    <w:p>
      <w:pPr>
        <w:numPr>
          <w:ilvl w:val="0"/>
          <w:numId w:val="29"/>
        </w:numPr>
        <w:spacing w:line="360" w:before="105" w:after="105" w:lineRule="auto"/>
      </w:pPr>
      <w:r>
        <w:rPr>
          <w:rFonts w:eastAsia="source serif 4" w:cs="source serif 4" w:ascii="source serif 4" w:hAnsi="source serif 4"/>
          <w:b/>
          <w:color w:val="000000"/>
          <w:sz w:val="21"/>
        </w:rPr>
        <w:t xml:space="preserve">Reconstrucción instrumental:</w:t>
      </w:r>
      <w:r>
        <w:rPr>
          <w:rFonts w:eastAsia="source serif 4" w:cs="source serif 4" w:ascii="source serif 4" w:hAnsi="source serif 4"/>
          <w:color w:val="000000"/>
          <w:sz w:val="21"/>
        </w:rPr>
        <w:t xml:space="preserve"> Requerida usando fuentes de precios de bonos (si existen) y tipo de cambio oficial BCRA [cite:40][cite:63].</w:t>
      </w:r>
    </w:p>
    <w:p>
      <w:pPr>
        <w:spacing w:line="360" w:before="315" w:after="105" w:lineRule="auto"/>
        <w:ind w:left="-30"/>
        <w:jc w:val="left"/>
      </w:pPr>
      <w:bookmarkStart w:id="39" w:name="bm_9_2_período_marzo_2002_2023"/>
      <w:r>
        <w:rPr>
          <w:rFonts w:eastAsia="source serif 4" w:cs="source serif 4" w:ascii="source serif 4" w:hAnsi="source serif 4"/>
          <w:b/>
          <w:color w:val="000000"/>
          <w:sz w:val="24"/>
        </w:rPr>
        <w:t xml:space="preserve">9.2 Período marzo 2002–2023</w:t>
      </w:r>
      <w:bookmarkEnd w:id="39"/>
    </w:p>
    <w:p>
      <w:pPr>
        <w:numPr>
          <w:ilvl w:val="0"/>
          <w:numId w:val="30"/>
        </w:numPr>
        <w:spacing w:line="360" w:before="105" w:after="105" w:lineRule="auto"/>
      </w:pPr>
      <w:r>
        <w:rPr>
          <w:rFonts w:eastAsia="source serif 4" w:cs="source serif 4" w:ascii="source serif 4" w:hAnsi="source serif 4"/>
          <w:b/>
          <w:color w:val="000000"/>
          <w:sz w:val="21"/>
        </w:rPr>
        <w:t xml:space="preserve">BCRA A3500:</w:t>
      </w:r>
      <w:r>
        <w:rPr>
          <w:rFonts w:eastAsia="source serif 4" w:cs="source serif 4" w:ascii="source serif 4" w:hAnsi="source serif 4"/>
          <w:color w:val="000000"/>
          <w:sz w:val="21"/>
        </w:rPr>
        <w:t xml:space="preserve"> Disponible bajo metodología de encuesta SIOPEL [cite:1].</w:t>
      </w:r>
    </w:p>
    <w:p>
      <w:pPr>
        <w:numPr>
          <w:ilvl w:val="0"/>
          <w:numId w:val="30"/>
        </w:numPr>
        <w:spacing w:line="360" w:before="105" w:after="105" w:lineRule="auto"/>
      </w:pPr>
      <w:r>
        <w:rPr>
          <w:rFonts w:eastAsia="source serif 4" w:cs="source serif 4" w:ascii="source serif 4" w:hAnsi="source serif 4"/>
          <w:b/>
          <w:color w:val="000000"/>
          <w:sz w:val="21"/>
        </w:rPr>
        <w:t xml:space="preserve">Dólar oficial BCRA:</w:t>
      </w:r>
      <w:r>
        <w:rPr>
          <w:rFonts w:eastAsia="source serif 4" w:cs="source serif 4" w:ascii="source serif 4" w:hAnsi="source serif 4"/>
          <w:color w:val="000000"/>
          <w:sz w:val="21"/>
        </w:rPr>
        <w:t xml:space="preserve"> Disponible en BCRA [cite:36].</w:t>
      </w:r>
    </w:p>
    <w:p>
      <w:pPr>
        <w:numPr>
          <w:ilvl w:val="0"/>
          <w:numId w:val="30"/>
        </w:numPr>
        <w:spacing w:line="360" w:before="105" w:after="105" w:lineRule="auto"/>
      </w:pPr>
      <w:r>
        <w:rPr>
          <w:rFonts w:eastAsia="source serif 4" w:cs="source serif 4" w:ascii="source serif 4" w:hAnsi="source serif 4"/>
          <w:b/>
          <w:color w:val="000000"/>
          <w:sz w:val="21"/>
        </w:rPr>
        <w:t xml:space="preserve">MEP/CCL:</w:t>
      </w:r>
      <w:r>
        <w:rPr>
          <w:rFonts w:eastAsia="source serif 4" w:cs="source serif 4" w:ascii="source serif 4" w:hAnsi="source serif 4"/>
          <w:color w:val="000000"/>
          <w:sz w:val="21"/>
        </w:rPr>
        <w:t xml:space="preserve"> Disponibles en fuentes de mercado (Dolarito, </w:t>
      </w:r>
      <w:hyperlink r:id="rId6">
        <w:r>
          <w:rPr>
            <w:rFonts w:eastAsia="source sans 3" w:cs="source sans 3" w:ascii="source sans 3" w:hAnsi="source sans 3"/>
            <w:color w:val="#000"/>
            <w:sz w:val="21"/>
            <w:u w:val="single"/>
          </w:rPr>
          <w:t xml:space="preserve">Investing.com</w:t>
        </w:r>
      </w:hyperlink>
      <w:r>
        <w:rPr>
          <w:rFonts w:eastAsia="source serif 4" w:cs="source serif 4" w:ascii="source serif 4" w:hAnsi="source serif 4"/>
          <w:color w:val="000000"/>
          <w:sz w:val="21"/>
        </w:rPr>
        <w:t xml:space="preserve">) desde 2003 [cite:40][cite:50].</w:t>
      </w:r>
    </w:p>
    <w:p>
      <w:pPr>
        <w:numPr>
          <w:ilvl w:val="0"/>
          <w:numId w:val="30"/>
        </w:numPr>
        <w:spacing w:line="360" w:before="105" w:after="105" w:lineRule="auto"/>
      </w:pPr>
      <w:r>
        <w:rPr>
          <w:rFonts w:eastAsia="source serif 4" w:cs="source serif 4" w:ascii="source serif 4" w:hAnsi="source serif 4"/>
          <w:b/>
          <w:color w:val="000000"/>
          <w:sz w:val="21"/>
        </w:rPr>
        <w:t xml:space="preserve">Reconstrucción instrumental:</w:t>
      </w:r>
      <w:r>
        <w:rPr>
          <w:rFonts w:eastAsia="source serif 4" w:cs="source serif 4" w:ascii="source serif 4" w:hAnsi="source serif 4"/>
          <w:color w:val="000000"/>
          <w:sz w:val="21"/>
        </w:rPr>
        <w:t xml:space="preserve"> Posible usando precios de bonos AL30/AL30D/AL30C desde 2003 [cite:40][cite:58].</w:t>
      </w:r>
    </w:p>
    <w:p>
      <w:pPr>
        <w:spacing w:line="360" w:before="315" w:after="105" w:lineRule="auto"/>
        <w:ind w:left="-30"/>
        <w:jc w:val="left"/>
      </w:pPr>
      <w:bookmarkStart w:id="40" w:name="bm_9_3_período_2024_2026"/>
      <w:r>
        <w:rPr>
          <w:rFonts w:eastAsia="source serif 4" w:cs="source serif 4" w:ascii="source serif 4" w:hAnsi="source serif 4"/>
          <w:b/>
          <w:color w:val="000000"/>
          <w:sz w:val="24"/>
        </w:rPr>
        <w:t xml:space="preserve">9.3 Período 2024–2026</w:t>
      </w:r>
      <w:bookmarkEnd w:id="40"/>
    </w:p>
    <w:p>
      <w:pPr>
        <w:numPr>
          <w:ilvl w:val="0"/>
          <w:numId w:val="31"/>
        </w:numPr>
        <w:spacing w:line="360" w:before="105" w:after="105" w:lineRule="auto"/>
      </w:pPr>
      <w:r>
        <w:rPr>
          <w:rFonts w:eastAsia="source serif 4" w:cs="source serif 4" w:ascii="source serif 4" w:hAnsi="source serif 4"/>
          <w:b/>
          <w:color w:val="000000"/>
          <w:sz w:val="21"/>
        </w:rPr>
        <w:t xml:space="preserve">BCRA A3500:</w:t>
      </w:r>
      <w:r>
        <w:rPr>
          <w:rFonts w:eastAsia="source serif 4" w:cs="source serif 4" w:ascii="source serif 4" w:hAnsi="source serif 4"/>
          <w:color w:val="000000"/>
          <w:sz w:val="21"/>
        </w:rPr>
        <w:t xml:space="preserve"> Disponible bajo metodología de encuesta (2024–2025) y operaciones ponderadas (2026) [cite:2][cite:4].</w:t>
      </w:r>
    </w:p>
    <w:p>
      <w:pPr>
        <w:numPr>
          <w:ilvl w:val="0"/>
          <w:numId w:val="31"/>
        </w:numPr>
        <w:spacing w:line="360" w:before="105" w:after="105" w:lineRule="auto"/>
      </w:pPr>
      <w:r>
        <w:rPr>
          <w:rFonts w:eastAsia="source serif 4" w:cs="source serif 4" w:ascii="source serif 4" w:hAnsi="source serif 4"/>
          <w:b/>
          <w:color w:val="000000"/>
          <w:sz w:val="21"/>
        </w:rPr>
        <w:t xml:space="preserve">Dólar oficial BCRA:</w:t>
      </w:r>
      <w:r>
        <w:rPr>
          <w:rFonts w:eastAsia="source serif 4" w:cs="source serif 4" w:ascii="source serif 4" w:hAnsi="source serif 4"/>
          <w:color w:val="000000"/>
          <w:sz w:val="21"/>
        </w:rPr>
        <w:t xml:space="preserve"> Disponible [cite:36].</w:t>
      </w:r>
    </w:p>
    <w:p>
      <w:pPr>
        <w:numPr>
          <w:ilvl w:val="0"/>
          <w:numId w:val="31"/>
        </w:numPr>
        <w:spacing w:line="360" w:before="105" w:after="105" w:lineRule="auto"/>
      </w:pPr>
      <w:r>
        <w:rPr>
          <w:rFonts w:eastAsia="source serif 4" w:cs="source serif 4" w:ascii="source serif 4" w:hAnsi="source serif 4"/>
          <w:b/>
          <w:color w:val="000000"/>
          <w:sz w:val="21"/>
        </w:rPr>
        <w:t xml:space="preserve">BYMA Dollar Index / CCL Index:</w:t>
      </w:r>
      <w:r>
        <w:rPr>
          <w:rFonts w:eastAsia="source serif 4" w:cs="source serif 4" w:ascii="source serif 4" w:hAnsi="source serif 4"/>
          <w:color w:val="000000"/>
          <w:sz w:val="21"/>
        </w:rPr>
        <w:t xml:space="preserve"> Disponibles desde febrero 2024 [cite:8][cite:11].</w:t>
      </w:r>
    </w:p>
    <w:p>
      <w:pPr>
        <w:numPr>
          <w:ilvl w:val="0"/>
          <w:numId w:val="31"/>
        </w:numPr>
        <w:spacing w:line="360" w:before="105" w:after="105" w:lineRule="auto"/>
      </w:pPr>
      <w:r>
        <w:rPr>
          <w:rFonts w:eastAsia="source serif 4" w:cs="source serif 4" w:ascii="source serif 4" w:hAnsi="source serif 4"/>
          <w:b/>
          <w:color w:val="000000"/>
          <w:sz w:val="21"/>
        </w:rPr>
        <w:t xml:space="preserve">MEP/CCL:</w:t>
      </w:r>
      <w:r>
        <w:rPr>
          <w:rFonts w:eastAsia="source serif 4" w:cs="source serif 4" w:ascii="source serif 4" w:hAnsi="source serif 4"/>
          <w:color w:val="000000"/>
          <w:sz w:val="21"/>
        </w:rPr>
        <w:t xml:space="preserve"> Disponibles en fuentes de mercado y BYMA [cite:40][cite:58].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0_fuentes_históricas_de_preci_351e79"/>
      <w:r>
        <w:rPr>
          <w:rFonts w:eastAsia="source serif 4" w:cs="source serif 4" w:ascii="source serif 4" w:hAnsi="source serif 4"/>
          <w:b/>
          <w:color w:val="000000"/>
          <w:sz w:val="24"/>
        </w:rPr>
        <w:t xml:space="preserve">10. Fuentes Históricas de Precios de Bonos</w:t>
      </w:r>
      <w:bookmarkEnd w:id="41"/>
    </w:p>
    <w:p>
      <w:pPr>
        <w:spacing w:line="360" w:before="315" w:after="105" w:lineRule="auto"/>
        <w:ind w:left="-30"/>
        <w:jc w:val="left"/>
      </w:pPr>
      <w:bookmarkStart w:id="42" w:name="bm_10_1_fuentes_identificadas"/>
      <w:r>
        <w:rPr>
          <w:rFonts w:eastAsia="source serif 4" w:cs="source serif 4" w:ascii="source serif 4" w:hAnsi="source serif 4"/>
          <w:b/>
          <w:color w:val="000000"/>
          <w:sz w:val="24"/>
        </w:rPr>
        <w:t xml:space="preserve">10.1 Fuentes Identificadas</w:t>
      </w:r>
      <w:bookmarkEnd w:id="42"/>
    </w:p>
    <w:p>
      <w:pPr>
        <w:numPr>
          <w:ilvl w:val="0"/>
          <w:numId w:val="32"/>
        </w:numPr>
        <w:spacing w:line="360" w:before="105" w:after="105" w:lineRule="auto"/>
      </w:pPr>
      <w:r>
        <w:rPr>
          <w:rFonts w:eastAsia="source serif 4" w:cs="source serif 4" w:ascii="source serif 4" w:hAnsi="source serif 4"/>
          <w:b/>
          <w:color w:val="000000"/>
          <w:sz w:val="21"/>
        </w:rPr>
      </w:r>
      <w:hyperlink r:id="rId7">
        <w:r>
          <w:rPr>
            <w:rFonts w:eastAsia="source serif 4" w:cs="source serif 4" w:ascii="source serif 4" w:hAnsi="source serif 4"/>
            <w:b/>
            <w:color w:val="#000"/>
            <w:sz w:val="21"/>
            <w:u w:val="single"/>
          </w:rPr>
          <w:t xml:space="preserve">Investing.com</w:t>
        </w:r>
      </w:hyperlink>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Precios históricos de AL30D (USD) desde 2017 [cite:50][cite:51].</w:t>
      </w:r>
    </w:p>
    <w:p>
      <w:pPr>
        <w:numPr>
          <w:ilvl w:val="0"/>
          <w:numId w:val="32"/>
        </w:numPr>
        <w:spacing w:line="360" w:before="105" w:after="105" w:lineRule="auto"/>
      </w:pPr>
      <w:r>
        <w:rPr>
          <w:rFonts w:eastAsia="source serif 4" w:cs="source serif 4" w:ascii="source serif 4" w:hAnsi="source serif 4"/>
          <w:b/>
          <w:color w:val="000000"/>
          <w:sz w:val="21"/>
        </w:rPr>
        <w:t xml:space="preserve">BondTerminal:</w:t>
      </w:r>
      <w:r>
        <w:rPr>
          <w:rFonts w:eastAsia="source serif 4" w:cs="source serif 4" w:ascii="source serif 4" w:hAnsi="source serif 4"/>
          <w:color w:val="000000"/>
          <w:sz w:val="21"/>
        </w:rPr>
        <w:t xml:space="preserve"> Precios y yields de bonos soberanos argentinos (AL30, GD30, etc.) [cite:53][cite:57].</w:t>
      </w:r>
    </w:p>
    <w:p>
      <w:pPr>
        <w:numPr>
          <w:ilvl w:val="0"/>
          <w:numId w:val="32"/>
        </w:numPr>
        <w:spacing w:line="360" w:before="105" w:after="105" w:lineRule="auto"/>
      </w:pPr>
      <w:r>
        <w:rPr>
          <w:rFonts w:eastAsia="source serif 4" w:cs="source serif 4" w:ascii="source serif 4" w:hAnsi="source serif 4"/>
          <w:b/>
          <w:color w:val="000000"/>
          <w:sz w:val="21"/>
        </w:rPr>
        <w:t xml:space="preserve">Rueda AI:</w:t>
      </w:r>
      <w:r>
        <w:rPr>
          <w:rFonts w:eastAsia="source serif 4" w:cs="source serif 4" w:ascii="source serif 4" w:hAnsi="source serif 4"/>
          <w:color w:val="000000"/>
          <w:sz w:val="21"/>
        </w:rPr>
        <w:t xml:space="preserve"> Curva soberana en tiempo real con precios de AL30, AL30D, GD30, etc. [cite:56].</w:t>
      </w:r>
    </w:p>
    <w:p>
      <w:pPr>
        <w:numPr>
          <w:ilvl w:val="0"/>
          <w:numId w:val="32"/>
        </w:numPr>
        <w:spacing w:line="360" w:before="105" w:after="105" w:lineRule="auto"/>
      </w:pPr>
      <w:r>
        <w:rPr>
          <w:rFonts w:eastAsia="source serif 4" w:cs="source serif 4" w:ascii="source serif 4" w:hAnsi="source serif 4"/>
          <w:b/>
          <w:color w:val="000000"/>
          <w:sz w:val="21"/>
        </w:rPr>
        <w:t xml:space="preserve">TradingView (EcoValores):</w:t>
      </w:r>
      <w:r>
        <w:rPr>
          <w:rFonts w:eastAsia="source serif 4" w:cs="source serif 4" w:ascii="source serif 4" w:hAnsi="source serif 4"/>
          <w:color w:val="000000"/>
          <w:sz w:val="21"/>
        </w:rPr>
        <w:t xml:space="preserve"> Indicador de curva de yields con conversión ARS/USD usando ratios AL30/AL30D/AL30C [cite:58][cite:59].</w:t>
      </w:r>
    </w:p>
    <w:p>
      <w:pPr>
        <w:spacing w:line="360" w:before="315" w:after="105" w:lineRule="auto"/>
        <w:ind w:left="-30"/>
        <w:jc w:val="left"/>
      </w:pPr>
      <w:bookmarkStart w:id="43" w:name="bm_10_2_limitaciones"/>
      <w:r>
        <w:rPr>
          <w:rFonts w:eastAsia="source serif 4" w:cs="source serif 4" w:ascii="source serif 4" w:hAnsi="source serif 4"/>
          <w:b/>
          <w:color w:val="000000"/>
          <w:sz w:val="24"/>
        </w:rPr>
        <w:t xml:space="preserve">10.2 Limitaciones</w:t>
      </w:r>
      <w:bookmarkEnd w:id="43"/>
    </w:p>
    <w:p>
      <w:pPr>
        <w:numPr>
          <w:ilvl w:val="0"/>
          <w:numId w:val="33"/>
        </w:numPr>
        <w:spacing w:line="360" w:before="105" w:after="105" w:lineRule="auto"/>
      </w:pPr>
      <w:r>
        <w:rPr>
          <w:rFonts w:eastAsia="source serif 4" w:cs="source serif 4" w:ascii="source serif 4" w:hAnsi="source serif 4"/>
          <w:color w:val="000000"/>
          <w:sz w:val="21"/>
        </w:rPr>
        <w:t xml:space="preserve">No hay fuentes públicas con precios históricos de bonos argentinos desde 2001–2002 [cite:50][cite:51].</w:t>
      </w:r>
    </w:p>
    <w:p>
      <w:pPr>
        <w:numPr>
          <w:ilvl w:val="0"/>
          <w:numId w:val="33"/>
        </w:numPr>
        <w:spacing w:line="360" w:before="105" w:after="105" w:lineRule="auto"/>
      </w:pPr>
      <w:r>
        <w:rPr>
          <w:rFonts w:eastAsia="source serif 4" w:cs="source serif 4" w:ascii="source serif 4" w:hAnsi="source serif 4"/>
          <w:color w:val="000000"/>
          <w:sz w:val="21"/>
        </w:rPr>
        <w:t xml:space="preserve">La mayoría de las fuentes comienzan en 2017 o más tarde [cite:50][cite:51].</w:t>
      </w:r>
    </w:p>
    <w:p>
      <w:pPr>
        <w:numPr>
          <w:ilvl w:val="0"/>
          <w:numId w:val="33"/>
        </w:numPr>
        <w:spacing w:line="360" w:before="105" w:after="105" w:lineRule="auto"/>
      </w:pPr>
      <w:r>
        <w:rPr>
          <w:rFonts w:eastAsia="source serif 4" w:cs="source serif 4" w:ascii="source serif 4" w:hAnsi="source serif 4"/>
          <w:color w:val="000000"/>
          <w:sz w:val="21"/>
        </w:rPr>
        <w:t xml:space="preserve">Para 2003–2016, se requiere reconstrucción usando archivos de mercados (BYMA, MAE) o proveedores de datos (Bloomberg, Reuters) [cite:40][cite:48].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11_fuentes_históricas_de_instr_716552"/>
      <w:r>
        <w:rPr>
          <w:rFonts w:eastAsia="source serif 4" w:cs="source serif 4" w:ascii="source serif 4" w:hAnsi="source serif 4"/>
          <w:b/>
          <w:color w:val="000000"/>
          <w:sz w:val="24"/>
        </w:rPr>
        <w:t xml:space="preserve">11. Fuentes Históricas de Instrumentos Argentinos</w:t>
      </w:r>
      <w:bookmarkEnd w:id="44"/>
    </w:p>
    <w:p>
      <w:pPr>
        <w:spacing w:line="360" w:before="315" w:after="105" w:lineRule="auto"/>
        <w:ind w:left="-30"/>
        <w:jc w:val="left"/>
      </w:pPr>
      <w:bookmarkStart w:id="45" w:name="bm_11_1_fuentes_identificadas"/>
      <w:r>
        <w:rPr>
          <w:rFonts w:eastAsia="source serif 4" w:cs="source serif 4" w:ascii="source serif 4" w:hAnsi="source serif 4"/>
          <w:b/>
          <w:color w:val="000000"/>
          <w:sz w:val="24"/>
        </w:rPr>
        <w:t xml:space="preserve">11.1 Fuentes Identificadas</w:t>
      </w:r>
      <w:bookmarkEnd w:id="45"/>
    </w:p>
    <w:p>
      <w:pPr>
        <w:numPr>
          <w:ilvl w:val="0"/>
          <w:numId w:val="34"/>
        </w:numPr>
        <w:spacing w:line="360" w:before="105" w:after="105" w:lineRule="auto"/>
      </w:pPr>
      <w:r>
        <w:rPr>
          <w:rFonts w:eastAsia="source serif 4" w:cs="source serif 4" w:ascii="source serif 4" w:hAnsi="source serif 4"/>
          <w:b/>
          <w:color w:val="000000"/>
          <w:sz w:val="21"/>
        </w:rPr>
        <w:t xml:space="preserve">BYMA:</w:t>
      </w:r>
      <w:r>
        <w:rPr>
          <w:rFonts w:eastAsia="source serif 4" w:cs="source serif 4" w:ascii="source serif 4" w:hAnsi="source serif 4"/>
          <w:color w:val="000000"/>
          <w:sz w:val="21"/>
        </w:rPr>
        <w:t xml:space="preserve"> Datos históricos de índices y instrumentos negociables [cite:6][cite:12][cite:13].</w:t>
      </w:r>
    </w:p>
    <w:p>
      <w:pPr>
        <w:numPr>
          <w:ilvl w:val="0"/>
          <w:numId w:val="34"/>
        </w:numPr>
        <w:spacing w:line="360" w:before="105" w:after="105" w:lineRule="auto"/>
      </w:pPr>
      <w:r>
        <w:rPr>
          <w:rFonts w:eastAsia="source serif 4" w:cs="source serif 4" w:ascii="source serif 4" w:hAnsi="source serif 4"/>
          <w:b/>
          <w:color w:val="000000"/>
          <w:sz w:val="21"/>
        </w:rPr>
        <w:t xml:space="preserve">BCRA:</w:t>
      </w:r>
      <w:r>
        <w:rPr>
          <w:rFonts w:eastAsia="source serif 4" w:cs="source serif 4" w:ascii="source serif 4" w:hAnsi="source serif 4"/>
          <w:color w:val="000000"/>
          <w:sz w:val="21"/>
        </w:rPr>
        <w:t xml:space="preserve"> Series históricas de tipo de cambio y tasas [cite:36].</w:t>
      </w:r>
    </w:p>
    <w:p>
      <w:pPr>
        <w:numPr>
          <w:ilvl w:val="0"/>
          <w:numId w:val="34"/>
        </w:numPr>
        <w:spacing w:line="360" w:before="105" w:after="105" w:lineRule="auto"/>
      </w:pPr>
      <w:r>
        <w:rPr>
          <w:rFonts w:eastAsia="source serif 4" w:cs="source serif 4" w:ascii="source serif 4" w:hAnsi="source serif 4"/>
          <w:b/>
          <w:color w:val="000000"/>
          <w:sz w:val="21"/>
        </w:rPr>
        <w:t xml:space="preserve">CNV:</w:t>
      </w:r>
      <w:r>
        <w:rPr>
          <w:rFonts w:eastAsia="source serif 4" w:cs="source serif 4" w:ascii="source serif 4" w:hAnsi="source serif 4"/>
          <w:color w:val="000000"/>
          <w:sz w:val="21"/>
        </w:rPr>
        <w:t xml:space="preserve"> Normativa y resoluciones sobre plazos de liquidación [cite:31][cite:34][cite:35].</w:t>
      </w:r>
    </w:p>
    <w:p>
      <w:pPr>
        <w:numPr>
          <w:ilvl w:val="0"/>
          <w:numId w:val="34"/>
        </w:numPr>
        <w:spacing w:line="360" w:before="105" w:after="105" w:lineRule="auto"/>
      </w:pPr>
      <w:r>
        <w:rPr>
          <w:rFonts w:eastAsia="source serif 4" w:cs="source serif 4" w:ascii="source serif 4" w:hAnsi="source serif 4"/>
          <w:b/>
          <w:color w:val="000000"/>
          <w:sz w:val="21"/>
        </w:rPr>
        <w:t xml:space="preserve">Argentina Clearing (Matba Rofex):</w:t>
      </w:r>
      <w:r>
        <w:rPr>
          <w:rFonts w:eastAsia="source serif 4" w:cs="source serif 4" w:ascii="source serif 4" w:hAnsi="source serif 4"/>
          <w:color w:val="000000"/>
          <w:sz w:val="21"/>
        </w:rPr>
        <w:t xml:space="preserve"> Instrucciones de liquidación y cuentas CCyL [cite:43][cite:65][cite:66].</w:t>
      </w:r>
    </w:p>
    <w:p>
      <w:pPr>
        <w:spacing w:line="360" w:before="315" w:after="105" w:lineRule="auto"/>
        <w:ind w:left="-30"/>
        <w:jc w:val="left"/>
      </w:pPr>
      <w:bookmarkStart w:id="46" w:name="bm_11_2_limitaciones"/>
      <w:r>
        <w:rPr>
          <w:rFonts w:eastAsia="source serif 4" w:cs="source serif 4" w:ascii="source serif 4" w:hAnsi="source serif 4"/>
          <w:b/>
          <w:color w:val="000000"/>
          <w:sz w:val="24"/>
        </w:rPr>
        <w:t xml:space="preserve">11.2 Limitaciones</w:t>
      </w:r>
      <w:bookmarkEnd w:id="46"/>
    </w:p>
    <w:p>
      <w:pPr>
        <w:numPr>
          <w:ilvl w:val="0"/>
          <w:numId w:val="35"/>
        </w:numPr>
        <w:spacing w:line="360" w:before="105" w:after="105" w:lineRule="auto"/>
      </w:pPr>
      <w:r>
        <w:rPr>
          <w:rFonts w:eastAsia="source serif 4" w:cs="source serif 4" w:ascii="source serif 4" w:hAnsi="source serif 4"/>
          <w:color w:val="000000"/>
          <w:sz w:val="21"/>
        </w:rPr>
        <w:t xml:space="preserve">BYMA tiene datos históricos, pero requiere contratación de Market Data [cite:6][cite:12].</w:t>
      </w:r>
    </w:p>
    <w:p>
      <w:pPr>
        <w:numPr>
          <w:ilvl w:val="0"/>
          <w:numId w:val="35"/>
        </w:numPr>
        <w:spacing w:line="360" w:before="105" w:after="105" w:lineRule="auto"/>
      </w:pPr>
      <w:r>
        <w:rPr>
          <w:rFonts w:eastAsia="source serif 4" w:cs="source serif 4" w:ascii="source serif 4" w:hAnsi="source serif 4"/>
          <w:color w:val="000000"/>
          <w:sz w:val="21"/>
        </w:rPr>
        <w:t xml:space="preserve">BCRA tiene series completas, pero no todas están disponibles en portales públicos [cite:36].</w:t>
      </w:r>
    </w:p>
    <w:p>
      <w:pPr>
        <w:numPr>
          <w:ilvl w:val="0"/>
          <w:numId w:val="35"/>
        </w:numPr>
        <w:spacing w:line="360" w:before="105" w:after="105" w:lineRule="auto"/>
      </w:pPr>
      <w:r>
        <w:rPr>
          <w:rFonts w:eastAsia="source serif 4" w:cs="source serif 4" w:ascii="source serif 4" w:hAnsi="source serif 4"/>
          <w:color w:val="000000"/>
          <w:sz w:val="21"/>
        </w:rPr>
        <w:t xml:space="preserve">CNV tiene normativa, pero no series de precios [cite:31][cite:34].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m_12_settlement_ars"/>
      <w:r>
        <w:rPr>
          <w:rFonts w:eastAsia="source serif 4" w:cs="source serif 4" w:ascii="source serif 4" w:hAnsi="source serif 4"/>
          <w:b/>
          <w:color w:val="000000"/>
          <w:sz w:val="24"/>
        </w:rPr>
        <w:t xml:space="preserve">12. Settlement ARS</w:t>
      </w:r>
      <w:bookmarkEnd w:id="47"/>
    </w:p>
    <w:p>
      <w:pPr>
        <w:spacing w:line="360" w:before="315" w:after="105" w:lineRule="auto"/>
        <w:ind w:left="-30"/>
        <w:jc w:val="left"/>
      </w:pPr>
      <w:bookmarkStart w:id="48" w:name="bm_12_1_plazos_de_liquidación"/>
      <w:r>
        <w:rPr>
          <w:rFonts w:eastAsia="source serif 4" w:cs="source serif 4" w:ascii="source serif 4" w:hAnsi="source serif 4"/>
          <w:b/>
          <w:color w:val="000000"/>
          <w:sz w:val="24"/>
        </w:rPr>
        <w:t xml:space="preserve">12.1 Plazos de Liquidación</w:t>
      </w:r>
      <w:bookmarkEnd w:id="48"/>
    </w:p>
    <w:p>
      <w:pPr>
        <w:numPr>
          <w:ilvl w:val="0"/>
          <w:numId w:val="36"/>
        </w:numPr>
        <w:spacing w:line="360" w:before="105" w:after="105" w:lineRule="auto"/>
      </w:pPr>
      <w:r>
        <w:rPr>
          <w:rFonts w:eastAsia="source serif 4" w:cs="source serif 4" w:ascii="source serif 4" w:hAnsi="source serif 4"/>
          <w:b/>
          <w:color w:val="000000"/>
          <w:sz w:val="21"/>
        </w:rPr>
        <w:t xml:space="preserve">T+0 (Contado Inmediato):</w:t>
      </w:r>
      <w:r>
        <w:rPr>
          <w:rFonts w:eastAsia="source serif 4" w:cs="source serif 4" w:ascii="source serif 4" w:hAnsi="source serif 4"/>
          <w:color w:val="000000"/>
          <w:sz w:val="21"/>
        </w:rPr>
        <w:t xml:space="preserve"> Operaciones liquidadas en la misma fecha de concertación [cite:31].</w:t>
      </w:r>
    </w:p>
    <w:p>
      <w:pPr>
        <w:numPr>
          <w:ilvl w:val="0"/>
          <w:numId w:val="36"/>
        </w:numPr>
        <w:spacing w:line="360" w:before="105" w:after="105" w:lineRule="auto"/>
      </w:pPr>
      <w:r>
        <w:rPr>
          <w:rFonts w:eastAsia="source serif 4" w:cs="source serif 4" w:ascii="source serif 4" w:hAnsi="source serif 4"/>
          <w:b/>
          <w:color w:val="000000"/>
          <w:sz w:val="21"/>
        </w:rPr>
        <w:t xml:space="preserve">T+1 (Contado 24 horas):</w:t>
      </w:r>
      <w:r>
        <w:rPr>
          <w:rFonts w:eastAsia="source serif 4" w:cs="source serif 4" w:ascii="source serif 4" w:hAnsi="source serif 4"/>
          <w:color w:val="000000"/>
          <w:sz w:val="21"/>
        </w:rPr>
        <w:t xml:space="preserve"> Operaciones liquidadas a las 24 horas hábiles desde la concertación [cite:31][cite:34][cite:35].</w:t>
      </w:r>
    </w:p>
    <w:p>
      <w:pPr>
        <w:numPr>
          <w:ilvl w:val="0"/>
          <w:numId w:val="36"/>
        </w:numPr>
        <w:spacing w:line="360" w:before="105" w:after="105" w:lineRule="auto"/>
      </w:pPr>
      <w:r>
        <w:rPr>
          <w:rFonts w:eastAsia="source serif 4" w:cs="source serif 4" w:ascii="source serif 4" w:hAnsi="source serif 4"/>
          <w:b/>
          <w:color w:val="000000"/>
          <w:sz w:val="21"/>
        </w:rPr>
        <w:t xml:space="preserve">T+2 (Contado 48 horas):</w:t>
      </w:r>
      <w:r>
        <w:rPr>
          <w:rFonts w:eastAsia="source serif 4" w:cs="source serif 4" w:ascii="source serif 4" w:hAnsi="source serif 4"/>
          <w:color w:val="000000"/>
          <w:sz w:val="21"/>
        </w:rPr>
        <w:t xml:space="preserve"> Solo para renta fija, si los Mercados y Cámaras Compensadoras no optaron por discontinuar esta modalidad [cite:31].</w:t>
      </w:r>
    </w:p>
    <w:p>
      <w:pPr>
        <w:spacing w:line="360" w:before="315" w:after="105" w:lineRule="auto"/>
        <w:ind w:left="-30"/>
        <w:jc w:val="left"/>
      </w:pPr>
      <w:bookmarkStart w:id="49" w:name="bm_12_2_marco_normativo"/>
      <w:r>
        <w:rPr>
          <w:rFonts w:eastAsia="source serif 4" w:cs="source serif 4" w:ascii="source serif 4" w:hAnsi="source serif 4"/>
          <w:b/>
          <w:color w:val="000000"/>
          <w:sz w:val="24"/>
        </w:rPr>
        <w:t xml:space="preserve">12.2 Marco Normativo</w:t>
      </w:r>
      <w:bookmarkEnd w:id="49"/>
    </w:p>
    <w:p>
      <w:pPr>
        <w:numPr>
          <w:ilvl w:val="0"/>
          <w:numId w:val="37"/>
        </w:numPr>
        <w:spacing w:line="360" w:before="105" w:after="105" w:lineRule="auto"/>
      </w:pPr>
      <w:r>
        <w:rPr>
          <w:rFonts w:eastAsia="source serif 4" w:cs="source serif 4" w:ascii="source serif 4" w:hAnsi="source serif 4"/>
          <w:b/>
          <w:color w:val="000000"/>
          <w:sz w:val="21"/>
        </w:rPr>
        <w:t xml:space="preserve">CNV RG 1000/2024:</w:t>
      </w:r>
      <w:r>
        <w:rPr>
          <w:rFonts w:eastAsia="source serif 4" w:cs="source serif 4" w:ascii="source serif 4" w:hAnsi="source serif 4"/>
          <w:color w:val="000000"/>
          <w:sz w:val="21"/>
        </w:rPr>
        <w:t xml:space="preserve"> Modifica el plazo de liquidación normal de T+2 a T+1 para renta variable y renta fija (con excepción de renta fija si los Mercados mantienen T+2) [cite:31][cite:34][cite:35].</w:t>
      </w:r>
    </w:p>
    <w:p>
      <w:pPr>
        <w:numPr>
          <w:ilvl w:val="0"/>
          <w:numId w:val="37"/>
        </w:numPr>
        <w:spacing w:line="360" w:before="105" w:after="105" w:lineRule="auto"/>
      </w:pPr>
      <w:r>
        <w:rPr>
          <w:rFonts w:eastAsia="source serif 4" w:cs="source serif 4" w:ascii="source serif 4" w:hAnsi="source serif 4"/>
          <w:b/>
          <w:color w:val="000000"/>
          <w:sz w:val="21"/>
        </w:rPr>
        <w:t xml:space="preserve">Vigencia:</w:t>
      </w:r>
      <w:r>
        <w:rPr>
          <w:rFonts w:eastAsia="source serif 4" w:cs="source serif 4" w:ascii="source serif 4" w:hAnsi="source serif 4"/>
          <w:color w:val="000000"/>
          <w:sz w:val="21"/>
        </w:rPr>
        <w:t xml:space="preserve"> A partir de mayo 2024 [cite:31][cite:34].</w:t>
      </w:r>
    </w:p>
    <w:p>
      <w:pPr>
        <w:spacing w:line="360" w:before="315" w:after="105" w:lineRule="auto"/>
        <w:ind w:left="-30"/>
        <w:jc w:val="left"/>
      </w:pPr>
      <w:bookmarkStart w:id="50" w:name="bm_12_3_sistemas_de_liquidación"/>
      <w:r>
        <w:rPr>
          <w:rFonts w:eastAsia="source serif 4" w:cs="source serif 4" w:ascii="source serif 4" w:hAnsi="source serif 4"/>
          <w:b/>
          <w:color w:val="000000"/>
          <w:sz w:val="24"/>
        </w:rPr>
        <w:t xml:space="preserve">12.3 Sistemas de Liquidación</w:t>
      </w:r>
      <w:bookmarkEnd w:id="50"/>
    </w:p>
    <w:p>
      <w:pPr>
        <w:numPr>
          <w:ilvl w:val="0"/>
          <w:numId w:val="38"/>
        </w:numPr>
        <w:spacing w:line="360" w:before="105" w:after="105" w:lineRule="auto"/>
      </w:pPr>
      <w:r>
        <w:rPr>
          <w:rFonts w:eastAsia="source serif 4" w:cs="source serif 4" w:ascii="source serif 4" w:hAnsi="source serif 4"/>
          <w:b/>
          <w:color w:val="000000"/>
          <w:sz w:val="21"/>
        </w:rPr>
        <w:t xml:space="preserve">BYMA Clearing:</w:t>
      </w:r>
      <w:r>
        <w:rPr>
          <w:rFonts w:eastAsia="source serif 4" w:cs="source serif 4" w:ascii="source serif 4" w:hAnsi="source serif 4"/>
          <w:color w:val="000000"/>
          <w:sz w:val="21"/>
        </w:rPr>
        <w:t xml:space="preserve"> Nueva infraestructura de post-negociación con tecnología Nasdaq, go-live 24/04/2026 [cite:67][cite:69][cite:70].</w:t>
      </w:r>
    </w:p>
    <w:p>
      <w:pPr>
        <w:numPr>
          <w:ilvl w:val="0"/>
          <w:numId w:val="38"/>
        </w:numPr>
        <w:spacing w:line="360" w:before="105" w:after="105" w:lineRule="auto"/>
      </w:pPr>
      <w:r>
        <w:rPr>
          <w:rFonts w:eastAsia="source serif 4" w:cs="source serif 4" w:ascii="source serif 4" w:hAnsi="source serif 4"/>
          <w:b/>
          <w:color w:val="000000"/>
          <w:sz w:val="21"/>
        </w:rPr>
        <w:t xml:space="preserve">Caja de Valores:</w:t>
      </w:r>
      <w:r>
        <w:rPr>
          <w:rFonts w:eastAsia="source serif 4" w:cs="source serif 4" w:ascii="source serif 4" w:hAnsi="source serif 4"/>
          <w:color w:val="000000"/>
          <w:sz w:val="21"/>
        </w:rPr>
        <w:t xml:space="preserve"> Depositaria central de valores negociables [cite:6][cite:13].</w:t>
      </w:r>
    </w:p>
    <w:p>
      <w:pPr>
        <w:numPr>
          <w:ilvl w:val="0"/>
          <w:numId w:val="38"/>
        </w:numPr>
        <w:spacing w:line="360" w:before="105" w:after="105" w:lineRule="auto"/>
      </w:pPr>
      <w:r>
        <w:rPr>
          <w:rFonts w:eastAsia="source serif 4" w:cs="source serif 4" w:ascii="source serif 4" w:hAnsi="source serif 4"/>
          <w:b/>
          <w:color w:val="000000"/>
          <w:sz w:val="21"/>
        </w:rPr>
        <w:t xml:space="preserve">BCRA MEP System:</w:t>
      </w:r>
      <w:r>
        <w:rPr>
          <w:rFonts w:eastAsia="source serif 4" w:cs="source serif 4" w:ascii="source serif 4" w:hAnsi="source serif 4"/>
          <w:color w:val="000000"/>
          <w:sz w:val="21"/>
        </w:rPr>
        <w:t xml:space="preserve"> Sistema de liquidación de pagos interbancarios en pesos y dólares [cite:32][cite:33][cite:64].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13_settlement_usd"/>
      <w:r>
        <w:rPr>
          <w:rFonts w:eastAsia="source serif 4" w:cs="source serif 4" w:ascii="source serif 4" w:hAnsi="source serif 4"/>
          <w:b/>
          <w:color w:val="000000"/>
          <w:sz w:val="24"/>
        </w:rPr>
        <w:t xml:space="preserve">13. Settlement USD</w:t>
      </w:r>
      <w:bookmarkEnd w:id="51"/>
    </w:p>
    <w:p>
      <w:pPr>
        <w:spacing w:line="360" w:before="315" w:after="105" w:lineRule="auto"/>
        <w:ind w:left="-30"/>
        <w:jc w:val="left"/>
      </w:pPr>
      <w:bookmarkStart w:id="52" w:name="bm_13_1_modalidades"/>
      <w:r>
        <w:rPr>
          <w:rFonts w:eastAsia="source serif 4" w:cs="source serif 4" w:ascii="source serif 4" w:hAnsi="source serif 4"/>
          <w:b/>
          <w:color w:val="000000"/>
          <w:sz w:val="24"/>
        </w:rPr>
        <w:t xml:space="preserve">13.1 Modalidades</w:t>
      </w:r>
      <w:bookmarkEnd w:id="52"/>
    </w:p>
    <w:p>
      <w:pPr>
        <w:numPr>
          <w:ilvl w:val="0"/>
          <w:numId w:val="39"/>
        </w:numPr>
        <w:spacing w:line="360" w:before="105" w:after="105" w:lineRule="auto"/>
      </w:pPr>
      <w:r>
        <w:rPr>
          <w:rFonts w:eastAsia="source serif 4" w:cs="source serif 4" w:ascii="source serif 4" w:hAnsi="source serif 4"/>
          <w:b/>
          <w:color w:val="000000"/>
          <w:sz w:val="21"/>
        </w:rPr>
        <w:t xml:space="preserve">USD MEP:</w:t>
      </w:r>
      <w:r>
        <w:rPr>
          <w:rFonts w:eastAsia="source serif 4" w:cs="source serif 4" w:ascii="source serif 4" w:hAnsi="source serif 4"/>
          <w:color w:val="000000"/>
          <w:sz w:val="21"/>
        </w:rPr>
        <w:t xml:space="preserve"> Dólares liquidados en cuentas en Argentina (dentro del sistema financiero local) [cite:43][cite:66].</w:t>
      </w:r>
    </w:p>
    <w:p>
      <w:pPr>
        <w:numPr>
          <w:ilvl w:val="0"/>
          <w:numId w:val="39"/>
        </w:numPr>
        <w:spacing w:line="360" w:before="105" w:after="105" w:lineRule="auto"/>
      </w:pPr>
      <w:r>
        <w:rPr>
          <w:rFonts w:eastAsia="source serif 4" w:cs="source serif 4" w:ascii="source serif 4" w:hAnsi="source serif 4"/>
          <w:b/>
          <w:color w:val="000000"/>
          <w:sz w:val="21"/>
        </w:rPr>
        <w:t xml:space="preserve">USD Cable:</w:t>
      </w:r>
      <w:r>
        <w:rPr>
          <w:rFonts w:eastAsia="source serif 4" w:cs="source serif 4" w:ascii="source serif 4" w:hAnsi="source serif 4"/>
          <w:color w:val="000000"/>
          <w:sz w:val="21"/>
        </w:rPr>
        <w:t xml:space="preserve"> Dólares liquidados en cuentas en el exterior (transferencias al exterior) [cite:43][cite:66].</w:t>
      </w:r>
    </w:p>
    <w:p>
      <w:pPr>
        <w:spacing w:line="360" w:before="315" w:after="105" w:lineRule="auto"/>
        <w:ind w:left="-30"/>
        <w:jc w:val="left"/>
      </w:pPr>
      <w:bookmarkStart w:id="53" w:name="bm_13_2_cuentas_ccyl"/>
      <w:r>
        <w:rPr>
          <w:rFonts w:eastAsia="source serif 4" w:cs="source serif 4" w:ascii="source serif 4" w:hAnsi="source serif 4"/>
          <w:b/>
          <w:color w:val="000000"/>
          <w:sz w:val="24"/>
        </w:rPr>
        <w:t xml:space="preserve">13.2 Cuentas CCyL</w:t>
      </w:r>
      <w:bookmarkEnd w:id="53"/>
    </w:p>
    <w:p>
      <w:pPr>
        <w:numPr>
          <w:ilvl w:val="0"/>
          <w:numId w:val="40"/>
        </w:numPr>
        <w:spacing w:line="360" w:before="105" w:after="105" w:lineRule="auto"/>
      </w:pPr>
      <w:r>
        <w:rPr>
          <w:rFonts w:eastAsia="source serif 4" w:cs="source serif 4" w:ascii="source serif 4" w:hAnsi="source serif 4"/>
          <w:b/>
          <w:color w:val="000000"/>
          <w:sz w:val="21"/>
        </w:rPr>
        <w:t xml:space="preserve">CCyL Dollar MEP:</w:t>
      </w:r>
      <w:r>
        <w:rPr>
          <w:rFonts w:eastAsia="source serif 4" w:cs="source serif 4" w:ascii="source serif 4" w:hAnsi="source serif 4"/>
          <w:color w:val="000000"/>
          <w:sz w:val="21"/>
        </w:rPr>
        <w:t xml:space="preserve"> Para operaciones de valores negociables y FCI que se liquidan en dólares MEP [cite:43][cite:66].</w:t>
      </w:r>
    </w:p>
    <w:p>
      <w:pPr>
        <w:numPr>
          <w:ilvl w:val="0"/>
          <w:numId w:val="40"/>
        </w:numPr>
        <w:spacing w:line="360" w:before="105" w:after="105" w:lineRule="auto"/>
      </w:pPr>
      <w:r>
        <w:rPr>
          <w:rFonts w:eastAsia="source serif 4" w:cs="source serif 4" w:ascii="source serif 4" w:hAnsi="source serif 4"/>
          <w:b/>
          <w:color w:val="000000"/>
          <w:sz w:val="21"/>
        </w:rPr>
        <w:t xml:space="preserve">CCyL Dollar Cable:</w:t>
      </w:r>
      <w:r>
        <w:rPr>
          <w:rFonts w:eastAsia="source serif 4" w:cs="source serif 4" w:ascii="source serif 4" w:hAnsi="source serif 4"/>
          <w:color w:val="000000"/>
          <w:sz w:val="21"/>
        </w:rPr>
        <w:t xml:space="preserve"> Para operaciones de valores negociables y FCI que se liquidan en dólares cable [cite:43][cite:66].</w:t>
      </w:r>
    </w:p>
    <w:p>
      <w:pPr>
        <w:spacing w:line="360" w:before="315" w:after="105" w:lineRule="auto"/>
        <w:ind w:left="-30"/>
        <w:jc w:val="left"/>
      </w:pPr>
      <w:bookmarkStart w:id="54" w:name="bm_13_3_plazos"/>
      <w:r>
        <w:rPr>
          <w:rFonts w:eastAsia="source serif 4" w:cs="source serif 4" w:ascii="source serif 4" w:hAnsi="source serif 4"/>
          <w:b/>
          <w:color w:val="000000"/>
          <w:sz w:val="24"/>
        </w:rPr>
        <w:t xml:space="preserve">13.3 Plazos</w:t>
      </w:r>
      <w:bookmarkEnd w:id="54"/>
    </w:p>
    <w:p>
      <w:pPr>
        <w:numPr>
          <w:ilvl w:val="0"/>
          <w:numId w:val="41"/>
        </w:numPr>
        <w:spacing w:line="360" w:before="105" w:after="105" w:lineRule="auto"/>
      </w:pPr>
      <w:r>
        <w:rPr>
          <w:rFonts w:eastAsia="source serif 4" w:cs="source serif 4" w:ascii="source serif 4" w:hAnsi="source serif 4"/>
          <w:b/>
          <w:color w:val="000000"/>
          <w:sz w:val="21"/>
        </w:rPr>
        <w:t xml:space="preserve">T+1:</w:t>
      </w:r>
      <w:r>
        <w:rPr>
          <w:rFonts w:eastAsia="source serif 4" w:cs="source serif 4" w:ascii="source serif 4" w:hAnsi="source serif 4"/>
          <w:color w:val="000000"/>
          <w:sz w:val="21"/>
        </w:rPr>
        <w:t xml:space="preserve"> Plazo estándar para liquidación de operaciones en USD desde junio 2024 [cite:60][cite:61].</w:t>
      </w:r>
    </w:p>
    <w:p>
      <w:pPr>
        <w:numPr>
          <w:ilvl w:val="0"/>
          <w:numId w:val="41"/>
        </w:numPr>
        <w:spacing w:line="360" w:before="105" w:after="105" w:lineRule="auto"/>
      </w:pPr>
      <w:r>
        <w:rPr>
          <w:rFonts w:eastAsia="source serif 4" w:cs="source serif 4" w:ascii="source serif 4" w:hAnsi="source serif 4"/>
          <w:b/>
          <w:color w:val="000000"/>
          <w:sz w:val="21"/>
        </w:rPr>
        <w:t xml:space="preserve">BCRA MAEClear:</w:t>
      </w:r>
      <w:r>
        <w:rPr>
          <w:rFonts w:eastAsia="source serif 4" w:cs="source serif 4" w:ascii="source serif 4" w:hAnsi="source serif 4"/>
          <w:color w:val="000000"/>
          <w:sz w:val="21"/>
        </w:rPr>
        <w:t xml:space="preserve"> Sistema multilateral de liquidación de operaciones cambiarias con T+1 [cite:60][cite:61].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14_settlement_cable"/>
      <w:r>
        <w:rPr>
          <w:rFonts w:eastAsia="source serif 4" w:cs="source serif 4" w:ascii="source serif 4" w:hAnsi="source serif 4"/>
          <w:b/>
          <w:color w:val="000000"/>
          <w:sz w:val="24"/>
        </w:rPr>
        <w:t xml:space="preserve">14. Settlement Cable</w:t>
      </w:r>
      <w:bookmarkEnd w:id="55"/>
    </w:p>
    <w:p>
      <w:pPr>
        <w:spacing w:line="360" w:before="315" w:after="105" w:lineRule="auto"/>
        <w:ind w:left="-30"/>
        <w:jc w:val="left"/>
      </w:pPr>
      <w:bookmarkStart w:id="56" w:name="bm_14_1_definición"/>
      <w:r>
        <w:rPr>
          <w:rFonts w:eastAsia="source serif 4" w:cs="source serif 4" w:ascii="source serif 4" w:hAnsi="source serif 4"/>
          <w:b/>
          <w:color w:val="000000"/>
          <w:sz w:val="24"/>
        </w:rPr>
        <w:t xml:space="preserve">14.1 Definición</w:t>
      </w:r>
      <w:bookmarkEnd w:id="56"/>
    </w:p>
    <w:p>
      <w:pPr>
        <w:numPr>
          <w:ilvl w:val="0"/>
          <w:numId w:val="42"/>
        </w:numPr>
        <w:spacing w:line="360" w:before="105" w:after="105" w:lineRule="auto"/>
      </w:pPr>
      <w:r>
        <w:rPr>
          <w:rFonts w:eastAsia="source serif 4" w:cs="source serif 4" w:ascii="source serif 4" w:hAnsi="source serif 4"/>
          <w:b/>
          <w:color w:val="000000"/>
          <w:sz w:val="21"/>
        </w:rPr>
        <w:t xml:space="preserve">Cable:</w:t>
      </w:r>
      <w:r>
        <w:rPr>
          <w:rFonts w:eastAsia="source serif 4" w:cs="source serif 4" w:ascii="source serif 4" w:hAnsi="source serif 4"/>
          <w:color w:val="000000"/>
          <w:sz w:val="21"/>
        </w:rPr>
        <w:t xml:space="preserve"> Transferencia de dólares a cuentas en el exterior [cite:43][cite:66].</w:t>
      </w:r>
    </w:p>
    <w:p>
      <w:pPr>
        <w:numPr>
          <w:ilvl w:val="0"/>
          <w:numId w:val="42"/>
        </w:numPr>
        <w:spacing w:line="360" w:before="105" w:after="105" w:lineRule="auto"/>
      </w:pPr>
      <w:r>
        <w:rPr>
          <w:rFonts w:eastAsia="source serif 4" w:cs="source serif 4" w:ascii="source serif 4" w:hAnsi="source serif 4"/>
          <w:color w:val="000000"/>
          <w:sz w:val="21"/>
        </w:rPr>
        <w:t xml:space="preserve">Se utiliza para operaciones de CCL y otros instrumentos que requieren liquidación en el exterior [cite:43][cite:66].</w:t>
      </w:r>
    </w:p>
    <w:p>
      <w:pPr>
        <w:spacing w:line="360" w:before="315" w:after="105" w:lineRule="auto"/>
        <w:ind w:left="-30"/>
        <w:jc w:val="left"/>
      </w:pPr>
      <w:bookmarkStart w:id="57" w:name="bm_14_2_instrucciones_de_liquidación"/>
      <w:r>
        <w:rPr>
          <w:rFonts w:eastAsia="source serif 4" w:cs="source serif 4" w:ascii="source serif 4" w:hAnsi="source serif 4"/>
          <w:b/>
          <w:color w:val="000000"/>
          <w:sz w:val="24"/>
        </w:rPr>
        <w:t xml:space="preserve">14.2 Instrucciones de Liquidación</w:t>
      </w:r>
      <w:bookmarkEnd w:id="57"/>
    </w:p>
    <w:p>
      <w:pPr>
        <w:numPr>
          <w:ilvl w:val="0"/>
          <w:numId w:val="43"/>
        </w:numPr>
        <w:spacing w:line="360" w:before="105" w:after="105" w:lineRule="auto"/>
      </w:pPr>
      <w:r>
        <w:rPr>
          <w:rFonts w:eastAsia="source serif 4" w:cs="source serif 4" w:ascii="source serif 4" w:hAnsi="source serif 4"/>
          <w:color w:val="000000"/>
          <w:sz w:val="21"/>
        </w:rPr>
        <w:t xml:space="preserve">Las instrucciones de liquidación en cable se procesan en las ventanas de liquidación de Argentina Clearing [cite:43][cite:65].</w:t>
      </w:r>
    </w:p>
    <w:p>
      <w:pPr>
        <w:numPr>
          <w:ilvl w:val="0"/>
          <w:numId w:val="43"/>
        </w:numPr>
        <w:spacing w:line="360" w:before="105" w:after="105" w:lineRule="auto"/>
      </w:pPr>
      <w:r>
        <w:rPr>
          <w:rFonts w:eastAsia="source serif 4" w:cs="source serif 4" w:ascii="source serif 4" w:hAnsi="source serif 4"/>
          <w:color w:val="000000"/>
          <w:sz w:val="21"/>
        </w:rPr>
        <w:t xml:space="preserve">Los participantes deben reportar los pagos a las cuentas bancarias detalladas en Annex II de las instrucciones de liquidación [cite:43].</w:t>
      </w:r>
    </w:p>
    <w:p>
      <w:pPr>
        <w:spacing w:line="360" w:before="315" w:after="105" w:lineRule="auto"/>
        <w:ind w:left="-30"/>
        <w:jc w:val="left"/>
      </w:pPr>
      <w:bookmarkStart w:id="58" w:name="bm_14_3_limitaciones"/>
      <w:r>
        <w:rPr>
          <w:rFonts w:eastAsia="source serif 4" w:cs="source serif 4" w:ascii="source serif 4" w:hAnsi="source serif 4"/>
          <w:b/>
          <w:color w:val="000000"/>
          <w:sz w:val="24"/>
        </w:rPr>
        <w:t xml:space="preserve">14.3 Limitaciones</w:t>
      </w:r>
      <w:bookmarkEnd w:id="58"/>
    </w:p>
    <w:p>
      <w:pPr>
        <w:numPr>
          <w:ilvl w:val="0"/>
          <w:numId w:val="44"/>
        </w:numPr>
        <w:spacing w:line="360" w:before="105" w:after="105" w:lineRule="auto"/>
      </w:pPr>
      <w:r>
        <w:rPr>
          <w:rFonts w:eastAsia="source serif 4" w:cs="source serif 4" w:ascii="source serif 4" w:hAnsi="source serif 4"/>
          <w:color w:val="000000"/>
          <w:sz w:val="21"/>
        </w:rPr>
        <w:t xml:space="preserve">Requiere cuentas bancarias en el exterior y cumplimiento de normativas cambiarias [cite:43][cite:66].</w:t>
      </w:r>
    </w:p>
    <w:p>
      <w:pPr>
        <w:numPr>
          <w:ilvl w:val="0"/>
          <w:numId w:val="44"/>
        </w:numPr>
        <w:spacing w:line="360" w:before="105" w:after="105" w:lineRule="auto"/>
      </w:pPr>
      <w:r>
        <w:rPr>
          <w:rFonts w:eastAsia="source serif 4" w:cs="source serif 4" w:ascii="source serif 4" w:hAnsi="source serif 4"/>
          <w:color w:val="000000"/>
          <w:sz w:val="21"/>
        </w:rPr>
        <w:t xml:space="preserve">Los plazos de liquidación pueden variar según el sistema utilizado (MAEClear, bilateral, etc.) [cite:60][cite:61].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15_metodología_de_conversión_ars_usd"/>
      <w:r>
        <w:rPr>
          <w:rFonts w:eastAsia="source serif 4" w:cs="source serif 4" w:ascii="source serif 4" w:hAnsi="source serif 4"/>
          <w:b/>
          <w:color w:val="000000"/>
          <w:sz w:val="24"/>
        </w:rPr>
        <w:t xml:space="preserve">15. Metodología de Conversión ARS/USD</w:t>
      </w:r>
      <w:bookmarkEnd w:id="59"/>
    </w:p>
    <w:p>
      <w:pPr>
        <w:spacing w:line="360" w:before="315" w:after="105" w:lineRule="auto"/>
        <w:ind w:left="-30"/>
        <w:jc w:val="left"/>
      </w:pPr>
      <w:bookmarkStart w:id="60" w:name="bm_15_1_conversiones_en_estados_f_8d7fbe"/>
      <w:r>
        <w:rPr>
          <w:rFonts w:eastAsia="source serif 4" w:cs="source serif 4" w:ascii="source serif 4" w:hAnsi="source serif 4"/>
          <w:b/>
          <w:color w:val="000000"/>
          <w:sz w:val="24"/>
        </w:rPr>
        <w:t xml:space="preserve">15.1 Conversiones en Estados Financieros</w:t>
      </w:r>
      <w:bookmarkEnd w:id="60"/>
    </w:p>
    <w:p>
      <w:pPr>
        <w:numPr>
          <w:ilvl w:val="0"/>
          <w:numId w:val="45"/>
        </w:numPr>
        <w:spacing w:line="360" w:before="105" w:after="105" w:lineRule="auto"/>
      </w:pPr>
      <w:r>
        <w:rPr>
          <w:rFonts w:eastAsia="source serif 4" w:cs="source serif 4" w:ascii="source serif 4" w:hAnsi="source serif 4"/>
          <w:b/>
          <w:color w:val="000000"/>
          <w:sz w:val="21"/>
        </w:rPr>
        <w:t xml:space="preserve">IAS 21 (IFRS):</w:t>
      </w:r>
      <w:r>
        <w:rPr>
          <w:rFonts w:eastAsia="source serif 4" w:cs="source serif 4" w:ascii="source serif 4" w:hAnsi="source serif 4"/>
          <w:color w:val="000000"/>
          <w:sz w:val="21"/>
        </w:rPr>
        <w:t xml:space="preserve"> Prescribe el uso del tipo de cambio spot en la fecha de la transacción para transacciones en moneda extranjera [cite:17][cite:19][cite:20][cite:24].</w:t>
      </w:r>
    </w:p>
    <w:p>
      <w:pPr>
        <w:numPr>
          <w:ilvl w:val="0"/>
          <w:numId w:val="45"/>
        </w:numPr>
        <w:spacing w:line="360" w:before="105" w:after="105" w:lineRule="auto"/>
      </w:pPr>
      <w:r>
        <w:rPr>
          <w:rFonts w:eastAsia="source serif 4" w:cs="source serif 4" w:ascii="source serif 4" w:hAnsi="source serif 4"/>
          <w:b/>
          <w:color w:val="000000"/>
          <w:sz w:val="21"/>
        </w:rPr>
        <w:t xml:space="preserve">Activos y pasivos monetarios:</w:t>
      </w:r>
      <w:r>
        <w:rPr>
          <w:rFonts w:eastAsia="source serif 4" w:cs="source serif 4" w:ascii="source serif 4" w:hAnsi="source serif 4"/>
          <w:color w:val="000000"/>
          <w:sz w:val="21"/>
        </w:rPr>
        <w:t xml:space="preserve"> Se traducen al tipo de cambio de cierre (closing rate) al final del período de reporte [cite:17][cite:19][cite:20][cite:24].</w:t>
      </w:r>
    </w:p>
    <w:p>
      <w:pPr>
        <w:numPr>
          <w:ilvl w:val="0"/>
          <w:numId w:val="45"/>
        </w:numPr>
        <w:spacing w:line="360" w:before="105" w:after="105" w:lineRule="auto"/>
      </w:pPr>
      <w:r>
        <w:rPr>
          <w:rFonts w:eastAsia="source serif 4" w:cs="source serif 4" w:ascii="source serif 4" w:hAnsi="source serif 4"/>
          <w:b/>
          <w:color w:val="000000"/>
          <w:sz w:val="21"/>
        </w:rPr>
        <w:t xml:space="preserve">Ingresos y gastos:</w:t>
      </w:r>
      <w:r>
        <w:rPr>
          <w:rFonts w:eastAsia="source serif 4" w:cs="source serif 4" w:ascii="source serif 4" w:hAnsi="source serif 4"/>
          <w:color w:val="000000"/>
          <w:sz w:val="21"/>
        </w:rPr>
        <w:t xml:space="preserve"> Se traducen a los tipos de cambio en las fechas de las transacciones (o promedio ponderado si es práctico) [cite:17][cite:19][cite:20][cite:24].</w:t>
      </w:r>
    </w:p>
    <w:p>
      <w:pPr>
        <w:spacing w:line="360" w:before="315" w:after="105" w:lineRule="auto"/>
        <w:ind w:left="-30"/>
        <w:jc w:val="left"/>
      </w:pPr>
      <w:bookmarkStart w:id="61" w:name="bm_15_2_conversiones_en_argentina"/>
      <w:r>
        <w:rPr>
          <w:rFonts w:eastAsia="source serif 4" w:cs="source serif 4" w:ascii="source serif 4" w:hAnsi="source serif 4"/>
          <w:b/>
          <w:color w:val="000000"/>
          <w:sz w:val="24"/>
        </w:rPr>
        <w:t xml:space="preserve">15.2 Conversiones en Argentina</w:t>
      </w:r>
      <w:bookmarkEnd w:id="61"/>
    </w:p>
    <w:p>
      <w:pPr>
        <w:numPr>
          <w:ilvl w:val="0"/>
          <w:numId w:val="46"/>
        </w:numPr>
        <w:spacing w:line="360" w:before="105" w:after="105" w:lineRule="auto"/>
      </w:pPr>
      <w:r>
        <w:rPr>
          <w:rFonts w:eastAsia="source serif 4" w:cs="source serif 4" w:ascii="source serif 4" w:hAnsi="source serif 4"/>
          <w:b/>
          <w:color w:val="000000"/>
          <w:sz w:val="21"/>
        </w:rPr>
        <w:t xml:space="preserve">BCRA:</w:t>
      </w:r>
      <w:r>
        <w:rPr>
          <w:rFonts w:eastAsia="source serif 4" w:cs="source serif 4" w:ascii="source serif 4" w:hAnsi="source serif 4"/>
          <w:color w:val="000000"/>
          <w:sz w:val="21"/>
        </w:rPr>
        <w:t xml:space="preserve"> Utiliza el TCR (Comunicación A 3500) para convertir inventarios en dólares a pesos en sus estados financieros [cite:45].</w:t>
      </w:r>
    </w:p>
    <w:p>
      <w:pPr>
        <w:numPr>
          <w:ilvl w:val="0"/>
          <w:numId w:val="46"/>
        </w:numPr>
        <w:spacing w:line="360" w:before="105" w:after="105" w:lineRule="auto"/>
      </w:pPr>
      <w:r>
        <w:rPr>
          <w:rFonts w:eastAsia="source serif 4" w:cs="source serif 4" w:ascii="source serif 4" w:hAnsi="source serif 4"/>
          <w:b/>
          <w:color w:val="000000"/>
          <w:sz w:val="21"/>
        </w:rPr>
        <w:t xml:space="preserve">Empresas argentinas:</w:t>
      </w:r>
      <w:r>
        <w:rPr>
          <w:rFonts w:eastAsia="source serif 4" w:cs="source serif 4" w:ascii="source serif 4" w:hAnsi="source serif 4"/>
          <w:color w:val="000000"/>
          <w:sz w:val="21"/>
        </w:rPr>
        <w:t xml:space="preserve"> Utilizan el tipo de cambio oficial BCRA o tipos de cambio de mercado (MEP, CCL) según la naturaleza de la transacción [cite:47].</w:t>
      </w:r>
    </w:p>
    <w:p>
      <w:pPr>
        <w:numPr>
          <w:ilvl w:val="0"/>
          <w:numId w:val="46"/>
        </w:numPr>
        <w:spacing w:line="360" w:before="105" w:after="105" w:lineRule="auto"/>
      </w:pPr>
      <w:r>
        <w:rPr>
          <w:rFonts w:eastAsia="source serif 4" w:cs="source serif 4" w:ascii="source serif 4" w:hAnsi="source serif 4"/>
          <w:b/>
          <w:color w:val="000000"/>
          <w:sz w:val="21"/>
        </w:rPr>
        <w:t xml:space="preserve">Hiperinflación (IAS 29):</w:t>
      </w:r>
      <w:r>
        <w:rPr>
          <w:rFonts w:eastAsia="source serif 4" w:cs="source serif 4" w:ascii="source serif 4" w:hAnsi="source serif 4"/>
          <w:color w:val="000000"/>
          <w:sz w:val="21"/>
        </w:rPr>
        <w:t xml:space="preserve"> Desde julio 2018, Argentina es considerada economía hiperinflacionaria; los estados financieros se reexpresan en moneda corriente antes de convertir a otra moneda [cite:47].</w:t>
      </w:r>
    </w:p>
    <w:p>
      <w:pPr>
        <w:spacing w:line="360" w:before="315" w:after="105" w:lineRule="auto"/>
        <w:ind w:left="-30"/>
        <w:jc w:val="left"/>
      </w:pPr>
      <w:bookmarkStart w:id="62" w:name="bm_15_3_limitaciones"/>
      <w:r>
        <w:rPr>
          <w:rFonts w:eastAsia="source serif 4" w:cs="source serif 4" w:ascii="source serif 4" w:hAnsi="source serif 4"/>
          <w:b/>
          <w:color w:val="000000"/>
          <w:sz w:val="24"/>
        </w:rPr>
        <w:t xml:space="preserve">15.3 Limitaciones</w:t>
      </w:r>
      <w:bookmarkEnd w:id="62"/>
    </w:p>
    <w:p>
      <w:pPr>
        <w:numPr>
          <w:ilvl w:val="0"/>
          <w:numId w:val="47"/>
        </w:numPr>
        <w:spacing w:line="360" w:before="105" w:after="105" w:lineRule="auto"/>
      </w:pPr>
      <w:r>
        <w:rPr>
          <w:rFonts w:eastAsia="source serif 4" w:cs="source serif 4" w:ascii="source serif 4" w:hAnsi="source serif 4"/>
          <w:color w:val="000000"/>
          <w:sz w:val="21"/>
        </w:rPr>
        <w:t xml:space="preserve">No hay una metodología única oficial para todas las conversiones ARS/USD; depende del propósito (contable, fiscal, de mercado) [cite:17][cite:45][cite:47].</w:t>
      </w:r>
    </w:p>
    <w:p>
      <w:pPr>
        <w:numPr>
          <w:ilvl w:val="0"/>
          <w:numId w:val="47"/>
        </w:numPr>
        <w:spacing w:line="360" w:before="105" w:after="105" w:lineRule="auto"/>
      </w:pPr>
      <w:r>
        <w:rPr>
          <w:rFonts w:eastAsia="source serif 4" w:cs="source serif 4" w:ascii="source serif 4" w:hAnsi="source serif 4"/>
          <w:color w:val="000000"/>
          <w:sz w:val="21"/>
        </w:rPr>
        <w:t xml:space="preserve">Para períodos con múltiples tipos de cambio (oficial, MEP, CCL, blue), la elección del tipo de cambio afecta significativamente los resultados [cite:42][cite:47].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bm_16_posibles_fuentes_utilizadas_ab5613"/>
      <w:r>
        <w:rPr>
          <w:rFonts w:eastAsia="source serif 4" w:cs="source serif 4" w:ascii="source serif 4" w:hAnsi="source serif 4"/>
          <w:b/>
          <w:color w:val="000000"/>
          <w:sz w:val="24"/>
        </w:rPr>
        <w:t xml:space="preserve">16. Posibles Fuentes Utilizadas por Proveedores Financieros Globales</w:t>
      </w:r>
      <w:bookmarkEnd w:id="63"/>
    </w:p>
    <w:p>
      <w:pPr>
        <w:spacing w:line="360" w:before="315" w:after="105" w:lineRule="auto"/>
        <w:ind w:left="-30"/>
        <w:jc w:val="left"/>
      </w:pPr>
      <w:bookmarkStart w:id="64" w:name="bm_16_1_fuentes_identificadas"/>
      <w:r>
        <w:rPr>
          <w:rFonts w:eastAsia="source serif 4" w:cs="source serif 4" w:ascii="source serif 4" w:hAnsi="source serif 4"/>
          <w:b/>
          <w:color w:val="000000"/>
          <w:sz w:val="24"/>
        </w:rPr>
        <w:t xml:space="preserve">16.1 Fuentes Identificadas</w:t>
      </w:r>
      <w:bookmarkEnd w:id="64"/>
    </w:p>
    <w:p>
      <w:pPr>
        <w:numPr>
          <w:ilvl w:val="0"/>
          <w:numId w:val="48"/>
        </w:numPr>
        <w:spacing w:line="360" w:before="105" w:after="105" w:lineRule="auto"/>
      </w:pPr>
      <w:r>
        <w:rPr>
          <w:rFonts w:eastAsia="source serif 4" w:cs="source serif 4" w:ascii="source serif 4" w:hAnsi="source serif 4"/>
          <w:b/>
          <w:color w:val="000000"/>
          <w:sz w:val="21"/>
        </w:rPr>
        <w:t xml:space="preserve">Bloomberg / Reuters:</w:t>
      </w:r>
      <w:r>
        <w:rPr>
          <w:rFonts w:eastAsia="source serif 4" w:cs="source serif 4" w:ascii="source serif 4" w:hAnsi="source serif 4"/>
          <w:color w:val="000000"/>
          <w:sz w:val="21"/>
        </w:rPr>
        <w:t xml:space="preserve"> Proveedores de datos financieros que publican tipos de cambio ARS/USD (oficial, MEP, CCL) [cite:18][cite:55].</w:t>
      </w:r>
    </w:p>
    <w:p>
      <w:pPr>
        <w:numPr>
          <w:ilvl w:val="0"/>
          <w:numId w:val="48"/>
        </w:numPr>
        <w:spacing w:line="360" w:before="105" w:after="105" w:lineRule="auto"/>
      </w:pPr>
      <w:r>
        <w:rPr>
          <w:rFonts w:eastAsia="source serif 4" w:cs="source serif 4" w:ascii="source serif 4" w:hAnsi="source serif 4"/>
          <w:b/>
          <w:color w:val="000000"/>
          <w:sz w:val="21"/>
        </w:rPr>
        <w:t xml:space="preserve">BCRA:</w:t>
      </w:r>
      <w:r>
        <w:rPr>
          <w:rFonts w:eastAsia="source serif 4" w:cs="source serif 4" w:ascii="source serif 4" w:hAnsi="source serif 4"/>
          <w:color w:val="000000"/>
          <w:sz w:val="21"/>
        </w:rPr>
        <w:t xml:space="preserve"> Fuente oficial del tipo de cambio de referencia (TCR) y tipos de cambio oficiales [cite:1][cite:36].</w:t>
      </w:r>
    </w:p>
    <w:p>
      <w:pPr>
        <w:numPr>
          <w:ilvl w:val="0"/>
          <w:numId w:val="48"/>
        </w:numPr>
        <w:spacing w:line="360" w:before="105" w:after="105" w:lineRule="auto"/>
      </w:pPr>
      <w:r>
        <w:rPr>
          <w:rFonts w:eastAsia="source serif 4" w:cs="source serif 4" w:ascii="source serif 4" w:hAnsi="source serif 4"/>
          <w:b/>
          <w:color w:val="000000"/>
          <w:sz w:val="21"/>
        </w:rPr>
        <w:t xml:space="preserve">BYMA:</w:t>
      </w:r>
      <w:r>
        <w:rPr>
          <w:rFonts w:eastAsia="source serif 4" w:cs="source serif 4" w:ascii="source serif 4" w:hAnsi="source serif 4"/>
          <w:color w:val="000000"/>
          <w:sz w:val="21"/>
        </w:rPr>
        <w:t xml:space="preserve"> Fuente de precios de instrumentos negociables y índices (Dollar Index, CCL Index) [cite:6][cite:8].</w:t>
      </w:r>
    </w:p>
    <w:p>
      <w:pPr>
        <w:numPr>
          <w:ilvl w:val="0"/>
          <w:numId w:val="48"/>
        </w:numPr>
        <w:spacing w:line="360" w:before="105" w:after="105" w:lineRule="auto"/>
      </w:pPr>
      <w:r>
        <w:rPr>
          <w:rFonts w:eastAsia="source serif 4" w:cs="source serif 4" w:ascii="source serif 4" w:hAnsi="source serif 4"/>
          <w:b/>
          <w:color w:val="000000"/>
          <w:sz w:val="21"/>
        </w:rPr>
        <w:t xml:space="preserve">MAE (Mercado Abierto Electrónico):</w:t>
      </w:r>
      <w:r>
        <w:rPr>
          <w:rFonts w:eastAsia="source serif 4" w:cs="source serif 4" w:ascii="source serif 4" w:hAnsi="source serif 4"/>
          <w:color w:val="000000"/>
          <w:sz w:val="21"/>
        </w:rPr>
        <w:t xml:space="preserve"> Fuente de cotizaciones y operaciones de cambio [cite:1][cite:60].</w:t>
      </w:r>
    </w:p>
    <w:p>
      <w:pPr>
        <w:spacing w:line="360" w:before="315" w:after="105" w:lineRule="auto"/>
        <w:ind w:left="-30"/>
        <w:jc w:val="left"/>
      </w:pPr>
      <w:bookmarkStart w:id="65" w:name="bm_16_2_metodología_de_proveedores"/>
      <w:r>
        <w:rPr>
          <w:rFonts w:eastAsia="source serif 4" w:cs="source serif 4" w:ascii="source serif 4" w:hAnsi="source serif 4"/>
          <w:b/>
          <w:color w:val="000000"/>
          <w:sz w:val="24"/>
        </w:rPr>
        <w:t xml:space="preserve">16.2 Metodología de Proveedores</w:t>
      </w:r>
      <w:bookmarkEnd w:id="65"/>
    </w:p>
    <w:p>
      <w:pPr>
        <w:numPr>
          <w:ilvl w:val="0"/>
          <w:numId w:val="49"/>
        </w:numPr>
        <w:spacing w:line="360" w:before="105" w:after="105" w:lineRule="auto"/>
      </w:pPr>
      <w:r>
        <w:rPr>
          <w:rFonts w:eastAsia="source serif 4" w:cs="source serif 4" w:ascii="source serif 4" w:hAnsi="source serif 4"/>
          <w:b/>
          <w:color w:val="000000"/>
          <w:sz w:val="21"/>
        </w:rPr>
        <w:t xml:space="preserve">Bloomberg / Reuters:</w:t>
      </w:r>
      <w:r>
        <w:rPr>
          <w:rFonts w:eastAsia="source serif 4" w:cs="source serif 4" w:ascii="source serif 4" w:hAnsi="source serif 4"/>
          <w:color w:val="000000"/>
          <w:sz w:val="21"/>
        </w:rPr>
        <w:t xml:space="preserve"> Utilizan cotizaciones de mercado (15:00, hora Argentina) para publicar tipos de cambio [cite:18].</w:t>
      </w:r>
    </w:p>
    <w:p>
      <w:pPr>
        <w:numPr>
          <w:ilvl w:val="0"/>
          <w:numId w:val="49"/>
        </w:numPr>
        <w:spacing w:line="360" w:before="105" w:after="105" w:lineRule="auto"/>
      </w:pPr>
      <w:r>
        <w:rPr>
          <w:rFonts w:eastAsia="source serif 4" w:cs="source serif 4" w:ascii="source serif 4" w:hAnsi="source serif 4"/>
          <w:b/>
          <w:color w:val="000000"/>
          <w:sz w:val="21"/>
        </w:rPr>
        <w:t xml:space="preserve">Proveedores de datos de bonos:</w:t>
      </w:r>
      <w:r>
        <w:rPr>
          <w:rFonts w:eastAsia="source serif 4" w:cs="source serif 4" w:ascii="source serif 4" w:hAnsi="source serif 4"/>
          <w:color w:val="000000"/>
          <w:sz w:val="21"/>
        </w:rPr>
        <w:t xml:space="preserve"> Utilizan precios de mercados locales (BYMA, MAE) para calcular paridades MEP/CCL [cite:55][cite:58].</w:t>
      </w:r>
    </w:p>
    <w:p>
      <w:pPr>
        <w:spacing w:line="360" w:before="315" w:after="105" w:lineRule="auto"/>
        <w:ind w:left="-30"/>
        <w:jc w:val="left"/>
      </w:pPr>
      <w:bookmarkStart w:id="66" w:name="bm_16_3_limitaciones"/>
      <w:r>
        <w:rPr>
          <w:rFonts w:eastAsia="source serif 4" w:cs="source serif 4" w:ascii="source serif 4" w:hAnsi="source serif 4"/>
          <w:b/>
          <w:color w:val="000000"/>
          <w:sz w:val="24"/>
        </w:rPr>
        <w:t xml:space="preserve">16.3 Limitaciones</w:t>
      </w:r>
      <w:bookmarkEnd w:id="66"/>
    </w:p>
    <w:p>
      <w:pPr>
        <w:numPr>
          <w:ilvl w:val="0"/>
          <w:numId w:val="50"/>
        </w:numPr>
        <w:spacing w:line="360" w:before="105" w:after="105" w:lineRule="auto"/>
      </w:pPr>
      <w:r>
        <w:rPr>
          <w:rFonts w:eastAsia="source serif 4" w:cs="source serif 4" w:ascii="source serif 4" w:hAnsi="source serif 4"/>
          <w:color w:val="000000"/>
          <w:sz w:val="21"/>
        </w:rPr>
        <w:t xml:space="preserve">No hay documentación pública detallada sobre las metodologías exactas de Bloomberg/Reuters para ARS/USD [cite:18].</w:t>
      </w:r>
    </w:p>
    <w:p>
      <w:pPr>
        <w:numPr>
          <w:ilvl w:val="0"/>
          <w:numId w:val="50"/>
        </w:numPr>
        <w:spacing w:line="360" w:before="105" w:after="105" w:lineRule="auto"/>
      </w:pPr>
      <w:r>
        <w:rPr>
          <w:rFonts w:eastAsia="source serif 4" w:cs="source serif 4" w:ascii="source serif 4" w:hAnsi="source serif 4"/>
          <w:color w:val="000000"/>
          <w:sz w:val="21"/>
        </w:rPr>
        <w:t xml:space="preserve">Las fuentes pueden diferir en los tipos de cambio reportados (oficial vs. MEP vs. CCL) [cite:42][cite:55].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bm_17_evidencia_pública_relaciona_ed0eb8"/>
      <w:r>
        <w:rPr>
          <w:rFonts w:eastAsia="source serif 4" w:cs="source serif 4" w:ascii="source serif 4" w:hAnsi="source serif 4"/>
          <w:b/>
          <w:color w:val="000000"/>
          <w:sz w:val="24"/>
        </w:rPr>
        <w:t xml:space="preserve">17. Evidencia Pública Relacionada con TIKR y Currency Conversion</w:t>
      </w:r>
      <w:bookmarkEnd w:id="67"/>
    </w:p>
    <w:p>
      <w:pPr>
        <w:spacing w:line="360" w:before="315" w:after="105" w:lineRule="auto"/>
        <w:ind w:left="-30"/>
        <w:jc w:val="left"/>
      </w:pPr>
      <w:bookmarkStart w:id="68" w:name="bm_17_1_tikr_terminal"/>
      <w:r>
        <w:rPr>
          <w:rFonts w:eastAsia="source serif 4" w:cs="source serif 4" w:ascii="source serif 4" w:hAnsi="source serif 4"/>
          <w:b/>
          <w:color w:val="000000"/>
          <w:sz w:val="24"/>
        </w:rPr>
        <w:t xml:space="preserve">17.1 TIKR Terminal</w:t>
      </w:r>
      <w:bookmarkEnd w:id="68"/>
    </w:p>
    <w:p>
      <w:pPr>
        <w:numPr>
          <w:ilvl w:val="0"/>
          <w:numId w:val="51"/>
        </w:numPr>
        <w:spacing w:line="360" w:before="105" w:after="105" w:lineRule="auto"/>
      </w:pPr>
      <w:r>
        <w:rPr>
          <w:rFonts w:eastAsia="source serif 4" w:cs="source serif 4" w:ascii="source serif 4" w:hAnsi="source serif 4"/>
          <w:b/>
          <w:color w:val="000000"/>
          <w:sz w:val="21"/>
        </w:rPr>
        <w:t xml:space="preserve">Descripción:</w:t>
      </w:r>
      <w:r>
        <w:rPr>
          <w:rFonts w:eastAsia="source serif 4" w:cs="source serif 4" w:ascii="source serif 4" w:hAnsi="source serif 4"/>
          <w:color w:val="000000"/>
          <w:sz w:val="21"/>
        </w:rPr>
        <w:t xml:space="preserve"> Plataforma de análisis financiero que ofrece datos de hasta 30 años de estados financieros para 100,000+ acciones globales [cite:54].</w:t>
      </w:r>
    </w:p>
    <w:p>
      <w:pPr>
        <w:numPr>
          <w:ilvl w:val="0"/>
          <w:numId w:val="51"/>
        </w:numPr>
        <w:spacing w:line="360" w:before="105" w:after="105" w:lineRule="auto"/>
      </w:pPr>
      <w:r>
        <w:rPr>
          <w:rFonts w:eastAsia="source serif 4" w:cs="source serif 4" w:ascii="source serif 4" w:hAnsi="source serif 4"/>
          <w:b/>
          <w:color w:val="000000"/>
          <w:sz w:val="21"/>
        </w:rPr>
        <w:t xml:space="preserve">Fuente de datos:</w:t>
      </w:r>
      <w:r>
        <w:rPr>
          <w:rFonts w:eastAsia="source serif 4" w:cs="source serif 4" w:ascii="source serif 4" w:hAnsi="source serif 4"/>
          <w:color w:val="000000"/>
          <w:sz w:val="21"/>
        </w:rPr>
        <w:t xml:space="preserve"> Powered by S&amp;P Global CapitalIQ [cite:54].</w:t>
      </w:r>
    </w:p>
    <w:p>
      <w:pPr>
        <w:numPr>
          <w:ilvl w:val="0"/>
          <w:numId w:val="51"/>
        </w:numPr>
        <w:spacing w:line="360" w:before="105" w:after="105" w:lineRule="auto"/>
      </w:pPr>
      <w:r>
        <w:rPr>
          <w:rFonts w:eastAsia="source serif 4" w:cs="source serif 4" w:ascii="source serif 4" w:hAnsi="source serif 4"/>
          <w:b/>
          <w:color w:val="000000"/>
          <w:sz w:val="21"/>
        </w:rPr>
        <w:t xml:space="preserve">Cobertura:</w:t>
      </w:r>
      <w:r>
        <w:rPr>
          <w:rFonts w:eastAsia="source serif 4" w:cs="source serif 4" w:ascii="source serif 4" w:hAnsi="source serif 4"/>
          <w:color w:val="000000"/>
          <w:sz w:val="21"/>
        </w:rPr>
        <w:t xml:space="preserve"> 92 países y 136 exchanges [cite:54].</w:t>
      </w:r>
    </w:p>
    <w:p>
      <w:pPr>
        <w:spacing w:line="360" w:before="315" w:after="105" w:lineRule="auto"/>
        <w:ind w:left="-30"/>
        <w:jc w:val="left"/>
      </w:pPr>
      <w:bookmarkStart w:id="69" w:name="bm_17_2_evidencia_de_conversión_d_5605ae"/>
      <w:r>
        <w:rPr>
          <w:rFonts w:eastAsia="source serif 4" w:cs="source serif 4" w:ascii="source serif 4" w:hAnsi="source serif 4"/>
          <w:b/>
          <w:color w:val="000000"/>
          <w:sz w:val="24"/>
        </w:rPr>
        <w:t xml:space="preserve">17.2 Evidencia de Conversión de Moneda</w:t>
      </w:r>
      <w:bookmarkEnd w:id="69"/>
    </w:p>
    <w:p>
      <w:pPr>
        <w:numPr>
          <w:ilvl w:val="0"/>
          <w:numId w:val="52"/>
        </w:numPr>
        <w:spacing w:line="360" w:before="105" w:after="105" w:lineRule="auto"/>
      </w:pPr>
      <w:r>
        <w:rPr>
          <w:rFonts w:eastAsia="source serif 4" w:cs="source serif 4" w:ascii="source serif 4" w:hAnsi="source serif 4"/>
          <w:b/>
          <w:color w:val="000000"/>
          <w:sz w:val="21"/>
        </w:rPr>
        <w:t xml:space="preserve">No hay documentación pública específica</w:t>
      </w:r>
      <w:r>
        <w:rPr>
          <w:rFonts w:eastAsia="source serif 4" w:cs="source serif 4" w:ascii="source serif 4" w:hAnsi="source serif 4"/>
          <w:color w:val="000000"/>
          <w:sz w:val="21"/>
        </w:rPr>
        <w:t xml:space="preserve"> sobre la metodología de conversión de moneda de TIKR para Argentina (ARS/USD) [cite:54].</w:t>
      </w:r>
    </w:p>
    <w:p>
      <w:pPr>
        <w:numPr>
          <w:ilvl w:val="0"/>
          <w:numId w:val="52"/>
        </w:numPr>
        <w:spacing w:line="360" w:before="105" w:after="105" w:lineRule="auto"/>
      </w:pPr>
      <w:r>
        <w:rPr>
          <w:rFonts w:eastAsia="source serif 4" w:cs="source serif 4" w:ascii="source serif 4" w:hAnsi="source serif 4"/>
          <w:b/>
          <w:color w:val="000000"/>
          <w:sz w:val="21"/>
        </w:rPr>
        <w:t xml:space="preserve">No hay evidencia directa</w:t>
      </w:r>
      <w:r>
        <w:rPr>
          <w:rFonts w:eastAsia="source serif 4" w:cs="source serif 4" w:ascii="source serif 4" w:hAnsi="source serif 4"/>
          <w:color w:val="000000"/>
          <w:sz w:val="21"/>
        </w:rPr>
        <w:t xml:space="preserve"> de que TIKR utilice MEP, CCL, o TCR para conversiones de estados financieros argentinos [cite:54].</w:t>
      </w:r>
    </w:p>
    <w:p>
      <w:pPr>
        <w:spacing w:line="360" w:before="315" w:after="105" w:lineRule="auto"/>
        <w:ind w:left="-30"/>
        <w:jc w:val="left"/>
      </w:pPr>
      <w:bookmarkStart w:id="70" w:name="bm_17_3_limitaciones"/>
      <w:r>
        <w:rPr>
          <w:rFonts w:eastAsia="source serif 4" w:cs="source serif 4" w:ascii="source serif 4" w:hAnsi="source serif 4"/>
          <w:b/>
          <w:color w:val="000000"/>
          <w:sz w:val="24"/>
        </w:rPr>
        <w:t xml:space="preserve">17.3 Limitaciones</w:t>
      </w:r>
      <w:bookmarkEnd w:id="70"/>
    </w:p>
    <w:p>
      <w:pPr>
        <w:numPr>
          <w:ilvl w:val="0"/>
          <w:numId w:val="53"/>
        </w:numPr>
        <w:spacing w:line="360" w:before="105" w:after="105" w:lineRule="auto"/>
      </w:pPr>
      <w:r>
        <w:rPr>
          <w:rFonts w:eastAsia="source serif 4" w:cs="source serif 4" w:ascii="source serif 4" w:hAnsi="source serif 4"/>
          <w:color w:val="000000"/>
          <w:sz w:val="21"/>
        </w:rPr>
        <w:t xml:space="preserve">La información disponible en el sitio web de TIKR no detalla la metodología de conversión de moneda para países con múltiples tipos de cambio [cite:54].</w:t>
      </w:r>
    </w:p>
    <w:p>
      <w:pPr>
        <w:numPr>
          <w:ilvl w:val="0"/>
          <w:numId w:val="53"/>
        </w:numPr>
        <w:spacing w:line="360" w:before="105" w:after="105" w:lineRule="auto"/>
      </w:pPr>
      <w:r>
        <w:rPr>
          <w:rFonts w:eastAsia="source serif 4" w:cs="source serif 4" w:ascii="source serif 4" w:hAnsi="source serif 4"/>
          <w:color w:val="000000"/>
          <w:sz w:val="21"/>
        </w:rPr>
        <w:t xml:space="preserve">Se requiere acceso a la documentación interna de TIKR o S&amp;P Global CapitalIQ para determinar la metodología exacta [cite:54].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bm_18_documentación_de_tikr_sobre_5be1f7"/>
      <w:r>
        <w:rPr>
          <w:rFonts w:eastAsia="source serif 4" w:cs="source serif 4" w:ascii="source serif 4" w:hAnsi="source serif 4"/>
          <w:b/>
          <w:color w:val="000000"/>
          <w:sz w:val="24"/>
        </w:rPr>
        <w:t xml:space="preserve">18. Documentación de TIKR sobre Financial Statement Currency Conversion</w:t>
      </w:r>
      <w:bookmarkEnd w:id="71"/>
    </w:p>
    <w:p>
      <w:pPr>
        <w:spacing w:line="360" w:before="315" w:after="105" w:lineRule="auto"/>
        <w:ind w:left="-30"/>
        <w:jc w:val="left"/>
      </w:pPr>
      <w:bookmarkStart w:id="72" w:name="bm_18_1_documentación_disponible"/>
      <w:r>
        <w:rPr>
          <w:rFonts w:eastAsia="source serif 4" w:cs="source serif 4" w:ascii="source serif 4" w:hAnsi="source serif 4"/>
          <w:b/>
          <w:color w:val="000000"/>
          <w:sz w:val="24"/>
        </w:rPr>
        <w:t xml:space="preserve">18.1 Documentación Disponible</w:t>
      </w:r>
      <w:bookmarkEnd w:id="72"/>
    </w:p>
    <w:p>
      <w:pPr>
        <w:numPr>
          <w:ilvl w:val="0"/>
          <w:numId w:val="54"/>
        </w:numPr>
        <w:spacing w:line="360" w:before="105" w:after="105" w:lineRule="auto"/>
      </w:pPr>
      <w:r>
        <w:rPr>
          <w:rFonts w:eastAsia="source serif 4" w:cs="source serif 4" w:ascii="source serif 4" w:hAnsi="source serif 4"/>
          <w:b/>
          <w:color w:val="000000"/>
          <w:sz w:val="21"/>
        </w:rPr>
        <w:t xml:space="preserve">No hay documentación pública</w:t>
      </w:r>
      <w:r>
        <w:rPr>
          <w:rFonts w:eastAsia="source serif 4" w:cs="source serif 4" w:ascii="source serif 4" w:hAnsi="source serif 4"/>
          <w:color w:val="000000"/>
          <w:sz w:val="21"/>
        </w:rPr>
        <w:t xml:space="preserve"> de TIKR sobre la metodología de conversión de estados financieros [cite:54].</w:t>
      </w:r>
    </w:p>
    <w:p>
      <w:pPr>
        <w:numPr>
          <w:ilvl w:val="0"/>
          <w:numId w:val="54"/>
        </w:numPr>
        <w:spacing w:line="360" w:before="105" w:after="105" w:lineRule="auto"/>
      </w:pPr>
      <w:r>
        <w:rPr>
          <w:rFonts w:eastAsia="source serif 4" w:cs="source serif 4" w:ascii="source serif 4" w:hAnsi="source serif 4"/>
          <w:b/>
          <w:color w:val="000000"/>
          <w:sz w:val="21"/>
        </w:rPr>
        <w:t xml:space="preserve">TIKR menciona</w:t>
      </w:r>
      <w:r>
        <w:rPr>
          <w:rFonts w:eastAsia="source serif 4" w:cs="source serif 4" w:ascii="source serif 4" w:hAnsi="source serif 4"/>
          <w:color w:val="000000"/>
          <w:sz w:val="21"/>
        </w:rPr>
        <w:t xml:space="preserve"> que sus datos son powered by S&amp;P Global CapitalIQ, pero no detalla las metodologías de conversión [cite:54].</w:t>
      </w:r>
    </w:p>
    <w:p>
      <w:pPr>
        <w:spacing w:line="360" w:before="315" w:after="105" w:lineRule="auto"/>
        <w:ind w:left="-30"/>
        <w:jc w:val="left"/>
      </w:pPr>
      <w:bookmarkStart w:id="73" w:name="bm_18_2_limitaciones"/>
      <w:r>
        <w:rPr>
          <w:rFonts w:eastAsia="source serif 4" w:cs="source serif 4" w:ascii="source serif 4" w:hAnsi="source serif 4"/>
          <w:b/>
          <w:color w:val="000000"/>
          <w:sz w:val="24"/>
        </w:rPr>
        <w:t xml:space="preserve">18.2 Limitaciones</w:t>
      </w:r>
      <w:bookmarkEnd w:id="73"/>
    </w:p>
    <w:p>
      <w:pPr>
        <w:numPr>
          <w:ilvl w:val="0"/>
          <w:numId w:val="55"/>
        </w:numPr>
        <w:spacing w:line="360" w:before="105" w:after="105" w:lineRule="auto"/>
      </w:pPr>
      <w:r>
        <w:rPr>
          <w:rFonts w:eastAsia="source serif 4" w:cs="source serif 4" w:ascii="source serif 4" w:hAnsi="source serif 4"/>
          <w:color w:val="000000"/>
          <w:sz w:val="21"/>
        </w:rPr>
        <w:t xml:space="preserve">Sin acceso a la documentación interna de TIKR o S&amp;P Global CapitalIQ, no es posible determinar la metodología exacta [cite:54].</w:t>
      </w:r>
    </w:p>
    <w:p>
      <w:pPr>
        <w:numPr>
          <w:ilvl w:val="0"/>
          <w:numId w:val="55"/>
        </w:numPr>
        <w:spacing w:line="360" w:before="105" w:after="105" w:lineRule="auto"/>
      </w:pPr>
      <w:r>
        <w:rPr>
          <w:rFonts w:eastAsia="source serif 4" w:cs="source serif 4" w:ascii="source serif 4" w:hAnsi="source serif 4"/>
          <w:color w:val="000000"/>
          <w:sz w:val="21"/>
        </w:rPr>
        <w:t xml:space="preserve">Las prácticas de la industria (IAS 21, ASC 830) sugieren el uso del tipo de cambio de cierre para activos/pasivos y tipos de cambio históricos o promedio para ingresos/gastos, pero no hay confirmación para TIKR [cite:17][cite:19][cite:20][cite:24][cite:25][cite:26][cite:27][cite:28].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19_referencias_a_exchange_rate_34e268"/>
      <w:r>
        <w:rPr>
          <w:rFonts w:eastAsia="source serif 4" w:cs="source serif 4" w:ascii="source serif 4" w:hAnsi="source serif 4"/>
          <w:b/>
          <w:color w:val="000000"/>
          <w:sz w:val="24"/>
        </w:rPr>
        <w:t xml:space="preserve">19. Referencias a Exchange Rate Methodology de TIKR</w:t>
      </w:r>
      <w:bookmarkEnd w:id="74"/>
    </w:p>
    <w:p>
      <w:pPr>
        <w:spacing w:line="360" w:before="315" w:after="105" w:lineRule="auto"/>
        <w:ind w:left="-30"/>
        <w:jc w:val="left"/>
      </w:pPr>
      <w:bookmarkStart w:id="75" w:name="bm_19_1_evidencia_encontrada"/>
      <w:r>
        <w:rPr>
          <w:rFonts w:eastAsia="source serif 4" w:cs="source serif 4" w:ascii="source serif 4" w:hAnsi="source serif 4"/>
          <w:b/>
          <w:color w:val="000000"/>
          <w:sz w:val="24"/>
        </w:rPr>
        <w:t xml:space="preserve">19.1 Evidencia Encontrada</w:t>
      </w:r>
      <w:bookmarkEnd w:id="75"/>
    </w:p>
    <w:p>
      <w:pPr>
        <w:numPr>
          <w:ilvl w:val="0"/>
          <w:numId w:val="56"/>
        </w:numPr>
        <w:spacing w:line="360" w:before="105" w:after="105" w:lineRule="auto"/>
      </w:pPr>
      <w:r>
        <w:rPr>
          <w:rFonts w:eastAsia="source serif 4" w:cs="source serif 4" w:ascii="source serif 4" w:hAnsi="source serif 4"/>
          <w:b/>
          <w:color w:val="000000"/>
          <w:sz w:val="21"/>
        </w:rPr>
        <w:t xml:space="preserve">No hay referencias públicas</w:t>
      </w:r>
      <w:r>
        <w:rPr>
          <w:rFonts w:eastAsia="source serif 4" w:cs="source serif 4" w:ascii="source serif 4" w:hAnsi="source serif 4"/>
          <w:color w:val="000000"/>
          <w:sz w:val="21"/>
        </w:rPr>
        <w:t xml:space="preserve"> a la metodología de tipo de cambio de TIKR [cite:54].</w:t>
      </w:r>
    </w:p>
    <w:p>
      <w:pPr>
        <w:numPr>
          <w:ilvl w:val="0"/>
          <w:numId w:val="56"/>
        </w:numPr>
        <w:spacing w:line="360" w:before="105" w:after="105" w:lineRule="auto"/>
      </w:pPr>
      <w:r>
        <w:rPr>
          <w:rFonts w:eastAsia="source serif 4" w:cs="source serif 4" w:ascii="source serif 4" w:hAnsi="source serif 4"/>
          <w:b/>
          <w:color w:val="000000"/>
          <w:sz w:val="21"/>
        </w:rPr>
        <w:t xml:space="preserve">No hay documentación</w:t>
      </w:r>
      <w:r>
        <w:rPr>
          <w:rFonts w:eastAsia="source serif 4" w:cs="source serif 4" w:ascii="source serif 4" w:hAnsi="source serif 4"/>
          <w:color w:val="000000"/>
          <w:sz w:val="21"/>
        </w:rPr>
        <w:t xml:space="preserve"> que indique si TIKR usa tipo de cambio oficial, MEP, CCL, u otro para conversiones ARS/USD [cite:54].</w:t>
      </w:r>
    </w:p>
    <w:p>
      <w:pPr>
        <w:spacing w:line="360" w:before="315" w:after="105" w:lineRule="auto"/>
        <w:ind w:left="-30"/>
        <w:jc w:val="left"/>
      </w:pPr>
      <w:bookmarkStart w:id="76" w:name="bm_19_2_limitaciones"/>
      <w:r>
        <w:rPr>
          <w:rFonts w:eastAsia="source serif 4" w:cs="source serif 4" w:ascii="source serif 4" w:hAnsi="source serif 4"/>
          <w:b/>
          <w:color w:val="000000"/>
          <w:sz w:val="24"/>
        </w:rPr>
        <w:t xml:space="preserve">19.2 Limitaciones</w:t>
      </w:r>
      <w:bookmarkEnd w:id="76"/>
    </w:p>
    <w:p>
      <w:pPr>
        <w:numPr>
          <w:ilvl w:val="0"/>
          <w:numId w:val="57"/>
        </w:numPr>
        <w:spacing w:line="360" w:before="105" w:after="105" w:lineRule="auto"/>
      </w:pPr>
      <w:r>
        <w:rPr>
          <w:rFonts w:eastAsia="source serif 4" w:cs="source serif 4" w:ascii="source serif 4" w:hAnsi="source serif 4"/>
          <w:color w:val="000000"/>
          <w:sz w:val="21"/>
        </w:rPr>
        <w:t xml:space="preserve">La falta de documentación pública impide determinar la metodología de TIKR [cite:54].</w:t>
      </w:r>
    </w:p>
    <w:p>
      <w:pPr>
        <w:numPr>
          <w:ilvl w:val="0"/>
          <w:numId w:val="57"/>
        </w:numPr>
        <w:spacing w:line="360" w:before="105" w:after="105" w:lineRule="auto"/>
      </w:pPr>
      <w:r>
        <w:rPr>
          <w:rFonts w:eastAsia="source serif 4" w:cs="source serif 4" w:ascii="source serif 4" w:hAnsi="source serif 4"/>
          <w:color w:val="000000"/>
          <w:sz w:val="21"/>
        </w:rPr>
        <w:t xml:space="preserve">Se requiere contacto directo con TIKR o S&amp;P Global CapitalIQ para obtener información detallada [cite:54].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clasificación_de_fuentes"/>
      <w:r>
        <w:rPr>
          <w:rFonts w:eastAsia="source serif 4" w:cs="source serif 4" w:ascii="source serif 4" w:hAnsi="source serif 4"/>
          <w:b/>
          <w:color w:val="000000"/>
          <w:sz w:val="24"/>
        </w:rPr>
        <w:t xml:space="preserve">CLASIFICACIÓN DE FUENTES</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ORGANIZATION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DOCUMENT_TITLE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PUBLICATION_DATE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ACCESS_DATE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EXACT_SUPPORT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SOURCE_TYPE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AUTHORITY_LEVEL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hyperlink r:id="rId8">
              <w:r>
                <w:rPr>
                  <w:rFonts w:eastAsia="source sans 3" w:cs="source sans 3" w:ascii="source sans 3" w:hAnsi="source sans 3"/>
                  <w:color w:val="#000"/>
                  <w:sz w:val="17"/>
                  <w:u w:val="single"/>
                </w:rPr>
                <w:t xml:space="preserve">https://www.bcra.gob.ar/archivos/Pdfs/comytexord/a3500.pdf</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Comunicación A 3500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2002-03-01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Metodología TCR 2002–2025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Texto completo de la Comunicación A 3500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hyperlink r:id="rId9">
              <w:r>
                <w:rPr>
                  <w:rFonts w:eastAsia="source sans 3" w:cs="source sans 3" w:ascii="source sans 3" w:hAnsi="source sans 3"/>
                  <w:color w:val="#000"/>
                  <w:sz w:val="17"/>
                  <w:u w:val="single"/>
                </w:rPr>
                <w:t xml:space="preserve">https://www.bcra.gob.ar/noticias/con-el-aporte-de-los-principales-actores-del-mercado-el-bcra-aprobo-una-nueva-metodologia-para-el-calculo-del-tipo-de-cambio-de-referencia-a-3500/</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Nueva metodología TCR A 3500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2025-12-04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Nueva metodología TCR desde 01/01/2026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Comunicado de prensa 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hyperlink r:id="rId10">
              <w:r>
                <w:rPr>
                  <w:rFonts w:eastAsia="source sans 3" w:cs="source sans 3" w:ascii="source sans 3" w:hAnsi="source sans 3"/>
                  <w:color w:val="#000"/>
                  <w:sz w:val="17"/>
                  <w:u w:val="single"/>
                </w:rPr>
                <w:t xml:space="preserve">https://www.bcra.gob.ar/archivos/Pdfs/Noticias/Proyecto-modificacion-comunicacion-A3500.pdf</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Proyecto de Modificación Comunicación A 3500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2025-12-XX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Fórmula de cálculo TCR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Documento 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hyperlink r:id="rId11">
              <w:r>
                <w:rPr>
                  <w:rFonts w:eastAsia="source sans 3" w:cs="source sans 3" w:ascii="source sans 3" w:hAnsi="source sans 3"/>
                  <w:color w:val="#000"/>
                  <w:sz w:val="17"/>
                  <w:u w:val="single"/>
                </w:rPr>
                <w:t xml:space="preserve">https://www.argentina.gob.ar/normativa/nacional/comunicación-3500-2002-73021/normas-modifican</w:t>
              </w:r>
            </w:hyperlink>
          </w:p>
        </w:tc>
        <w:tc>
          <w:tcPr>
            <w:tcBorders>
              <w:top w:val="single" w:sz="1" w:space="0" w:color="000000"/>
              <w:bottom w:val="single" w:sz="1" w:space="0" w:color="000000"/>
              <w:right w:val="single" w:sz="1" w:space="0" w:color="000000"/>
            </w:tcBorders>
          </w:tcPr>
          <w:p>
            <w:pPr>
              <w:spacing w:line="360" w:lineRule="auto"/>
            </w:pPr>
            <w:hyperlink r:id="rId12">
              <w:r>
                <w:rPr>
                  <w:rFonts w:eastAsia="source sans 3" w:cs="source sans 3" w:ascii="source sans 3" w:hAnsi="source sans 3"/>
                  <w:color w:val="#000"/>
                  <w:sz w:val="17"/>
                  <w:u w:val="single"/>
                </w:rPr>
                <w:t xml:space="preserve">Argentina.gob.ar</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Comunicación A 3500 / 2002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2002-03-01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Fecha de publicación A3500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Portal oficial del Estado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hyperlink r:id="rId13">
              <w:r>
                <w:rPr>
                  <w:rFonts w:eastAsia="source sans 3" w:cs="source sans 3" w:ascii="source sans 3" w:hAnsi="source sans 3"/>
                  <w:color w:val="#000"/>
                  <w:sz w:val="17"/>
                  <w:u w:val="single"/>
                </w:rPr>
                <w:t xml:space="preserve">https://www.byma.com.ar/productos/productos-de-datos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Productos de datos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2024-02-28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Definición Índice Dólar BYMA y CCL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Página web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PRIMARY_MARKET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hyperlink r:id="rId14">
              <w:r>
                <w:rPr>
                  <w:rFonts w:eastAsia="source sans 3" w:cs="source sans 3" w:ascii="source sans 3" w:hAnsi="source sans 3"/>
                  <w:color w:val="#000"/>
                  <w:sz w:val="17"/>
                  <w:u w:val="single"/>
                </w:rPr>
                <w:t xml:space="preserve">https://www.byma.com.ar/en/newsroom/byma-introduces-two-new-indexes-for-the-argentine-market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BYMA introduces two new indexes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2024-02-28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Lanzamiento índices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Comunicado de prensa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PRIMARY_MARKET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hyperlink r:id="rId15">
              <w:r>
                <w:rPr>
                  <w:rFonts w:eastAsia="source sans 3" w:cs="source sans 3" w:ascii="source sans 3" w:hAnsi="source sans 3"/>
                  <w:color w:val="#000"/>
                  <w:sz w:val="17"/>
                  <w:u w:val="single"/>
                </w:rPr>
                <w:t xml:space="preserve">https://www.byma.com.ar/productos/productos-de-datos/market-data</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Market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2024-02-28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Descripción índices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Página web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PRIMARY_MARKET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hyperlink r:id="rId16">
              <w:r>
                <w:rPr>
                  <w:rFonts w:eastAsia="source sans 3" w:cs="source sans 3" w:ascii="source sans 3" w:hAnsi="source sans 3"/>
                  <w:color w:val="#000"/>
                  <w:sz w:val="17"/>
                  <w:u w:val="single"/>
                </w:rPr>
                <w:t xml:space="preserve">https://www.ifrs.org/content/dam/ifrs/publications/html-standards/english/2024/issued/ias21.html</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IFRS Foundation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IAS 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Metodología conversión moneda extranjera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 IFRS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hyperlink r:id="rId17">
              <w:r>
                <w:rPr>
                  <w:rFonts w:eastAsia="source sans 3" w:cs="source sans 3" w:ascii="source sans 3" w:hAnsi="source sans 3"/>
                  <w:color w:val="#000"/>
                  <w:sz w:val="17"/>
                  <w:u w:val="single"/>
                </w:rPr>
                <w:t xml:space="preserve">https://dsbb.imf.org/sdds/dqaf-base/country/ARG/category/EXR00</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DQAF View: Argentina - Exchange rates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Fuentes de datos de tipo de cambio (Bloomberg/Reuters)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 IMF SDDS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hyperlink r:id="rId18">
              <w:r>
                <w:rPr>
                  <w:rFonts w:eastAsia="source sans 3" w:cs="source sans 3" w:ascii="source sans 3" w:hAnsi="source sans 3"/>
                  <w:color w:val="#000"/>
                  <w:sz w:val="17"/>
                  <w:u w:val="single"/>
                </w:rPr>
                <w:t xml:space="preserve">https://www.argentina.gob.ar/normativa/nacional/resolución-1000-2024-399067/texto</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Resolución General 1000/2024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2024-05-08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Plazos de liquidación T+1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 CNV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hyperlink r:id="rId19">
              <w:r>
                <w:rPr>
                  <w:rFonts w:eastAsia="source sans 3" w:cs="source sans 3" w:ascii="source sans 3" w:hAnsi="source sans 3"/>
                  <w:color w:val="#000"/>
                  <w:sz w:val="17"/>
                  <w:u w:val="single"/>
                </w:rPr>
                <w:t xml:space="preserve">https://www.argentina.gob.ar/noticias/la-cnv-continua-alineando-su-normativa-los-altos-estandares-de-los-mercados-internacionales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 CNV continúa alineando su normativa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2024-11-06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Modificación plazos de liquidación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Comunicado CNV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hyperlink r:id="rId20">
              <w:r>
                <w:rPr>
                  <w:rFonts w:eastAsia="source sans 3" w:cs="source sans 3" w:ascii="source sans 3" w:hAnsi="source sans 3"/>
                  <w:color w:val="#000"/>
                  <w:sz w:val="17"/>
                  <w:u w:val="single"/>
                </w:rPr>
                <w:t xml:space="preserve">https://www.bcra.gob.ar/en/currency-evolution/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Evolution of exchange rates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2021-08-03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Series históricas de tipo de cambio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Página web 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38</w:t>
            </w:r>
          </w:p>
        </w:tc>
        <w:tc>
          <w:tcPr>
            <w:tcBorders>
              <w:top w:val="single" w:sz="1" w:space="0" w:color="000000"/>
              <w:bottom w:val="single" w:sz="1" w:space="0" w:color="000000"/>
              <w:right w:val="single" w:sz="1" w:space="0" w:color="000000"/>
            </w:tcBorders>
          </w:tcPr>
          <w:p>
            <w:pPr>
              <w:spacing w:line="360" w:lineRule="auto"/>
            </w:pPr>
            <w:hyperlink r:id="rId21">
              <w:r>
                <w:rPr>
                  <w:rFonts w:eastAsia="source sans 3" w:cs="source sans 3" w:ascii="source sans 3" w:hAnsi="source sans 3"/>
                  <w:color w:val="#000"/>
                  <w:sz w:val="17"/>
                  <w:u w:val="single"/>
                </w:rPr>
                <w:t xml:space="preserve">https://www.lanacion.com.ar/dolar-oficial-historico/</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 Nación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Dólar oficial histórico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Buscador de cotizaciones históricas desde 2015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Portal de prensa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w:t>
            </w:r>
          </w:p>
        </w:tc>
        <w:tc>
          <w:tcPr>
            <w:tcBorders>
              <w:top w:val="single" w:sz="1" w:space="0" w:color="000000"/>
              <w:bottom w:val="single" w:sz="1" w:space="0" w:color="000000"/>
              <w:right w:val="single" w:sz="1" w:space="0" w:color="000000"/>
            </w:tcBorders>
          </w:tcPr>
          <w:p>
            <w:pPr>
              <w:spacing w:line="360" w:lineRule="auto"/>
            </w:pPr>
            <w:hyperlink r:id="rId22">
              <w:r>
                <w:rPr>
                  <w:rFonts w:eastAsia="source sans 3" w:cs="source sans 3" w:ascii="source sans 3" w:hAnsi="source sans 3"/>
                  <w:color w:val="#000"/>
                  <w:sz w:val="17"/>
                  <w:u w:val="single"/>
                </w:rPr>
                <w:t xml:space="preserve">https://www.dolarito.ar/cotizaciones-historicas/mep</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Dolarito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Dólar MEP Histórico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Historial MEP desde 2003/2018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Portal de datos de mercado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w:t>
            </w:r>
          </w:p>
        </w:tc>
        <w:tc>
          <w:tcPr>
            <w:tcBorders>
              <w:top w:val="single" w:sz="1" w:space="0" w:color="000000"/>
              <w:bottom w:val="single" w:sz="1" w:space="0" w:color="000000"/>
              <w:right w:val="single" w:sz="1" w:space="0" w:color="000000"/>
            </w:tcBorders>
          </w:tcPr>
          <w:p>
            <w:pPr>
              <w:spacing w:line="360" w:lineRule="auto"/>
            </w:pPr>
            <w:hyperlink r:id="rId23">
              <w:r>
                <w:rPr>
                  <w:rFonts w:eastAsia="source sans 3" w:cs="source sans 3" w:ascii="source sans 3" w:hAnsi="source sans 3"/>
                  <w:color w:val="#000"/>
                  <w:sz w:val="17"/>
                  <w:u w:val="single"/>
                </w:rPr>
                <w:t xml:space="preserve">https://valordolarblue.ar/blog/dolar-historico-argentina</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Valor Dólar Blue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Dólar Histórico Argentina 2011-2026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2026-08-04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Serie histórica oficial y blue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Portal de datos de mercado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43</w:t>
            </w:r>
          </w:p>
        </w:tc>
        <w:tc>
          <w:tcPr>
            <w:tcBorders>
              <w:top w:val="single" w:sz="1" w:space="0" w:color="000000"/>
              <w:bottom w:val="single" w:sz="1" w:space="0" w:color="000000"/>
              <w:right w:val="single" w:sz="1" w:space="0" w:color="000000"/>
            </w:tcBorders>
          </w:tcPr>
          <w:p>
            <w:pPr>
              <w:spacing w:line="360" w:lineRule="auto"/>
            </w:pPr>
            <w:hyperlink r:id="rId24">
              <w:r>
                <w:rPr>
                  <w:rFonts w:eastAsia="source sans 3" w:cs="source sans 3" w:ascii="source sans 3" w:hAnsi="source sans 3"/>
                  <w:color w:val="#000"/>
                  <w:sz w:val="17"/>
                  <w:u w:val="single"/>
                </w:rPr>
                <w:t xml:space="preserve">https://argentinaclearing.com.ar/wp-content/uploads/2022/03/Settlement-instructions-2024-07-15.pdf</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Argentina Clearing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Settlement Instructions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2024-07-15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Instrucciones de liquidación, cuentas CCyL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Documento operativo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PRIMARY_MARKET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hyperlink r:id="rId25">
              <w:r>
                <w:rPr>
                  <w:rFonts w:eastAsia="source sans 3" w:cs="source sans 3" w:ascii="source sans 3" w:hAnsi="source sans 3"/>
                  <w:color w:val="#000"/>
                  <w:sz w:val="17"/>
                  <w:u w:val="single"/>
                </w:rPr>
                <w:t xml:space="preserve">https://www.bcra.gob.ar/archivos/Pdfs/PublicacionesEstadisticas/i2023FinancialStatements.pdf</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Financial Statements 2023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Conversión de inventarios en USD usando TCR A3500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Estados financieros 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w:t>
            </w:r>
          </w:p>
        </w:tc>
        <w:tc>
          <w:tcPr>
            <w:tcBorders>
              <w:top w:val="single" w:sz="1" w:space="0" w:color="000000"/>
              <w:bottom w:val="single" w:sz="1" w:space="0" w:color="000000"/>
              <w:right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https://www.sec.gov/Archives/edgar/data/932470/000110465925019133/teo-20241231x20f.htm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Telecom Argentina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20-F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2024-12-31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Conversión de estados financieros, IAS 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Filing SEC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PRIMARY_MARKET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hyperlink r:id="rId27">
              <w:r>
                <w:rPr>
                  <w:rFonts w:eastAsia="source sans 3" w:cs="source sans 3" w:ascii="source sans 3" w:hAnsi="source sans 3"/>
                  <w:color w:val="#000"/>
                  <w:sz w:val="17"/>
                  <w:u w:val="single"/>
                </w:rPr>
                <w:t xml:space="preserve">https://es.investing.com/rates-bonds/ararge3209s6-usd-historical-data</w:t>
              </w:r>
            </w:hyperlink>
          </w:p>
        </w:tc>
        <w:tc>
          <w:tcPr>
            <w:tcBorders>
              <w:top w:val="single" w:sz="1" w:space="0" w:color="000000"/>
              <w:bottom w:val="single" w:sz="1" w:space="0" w:color="000000"/>
              <w:right w:val="single" w:sz="1" w:space="0" w:color="000000"/>
            </w:tcBorders>
          </w:tcPr>
          <w:p>
            <w:pPr>
              <w:spacing w:line="360" w:lineRule="auto"/>
            </w:pPr>
            <w:hyperlink r:id="rId28">
              <w:r>
                <w:rPr>
                  <w:rFonts w:eastAsia="source sans 3" w:cs="source sans 3" w:ascii="source sans 3" w:hAnsi="source sans 3"/>
                  <w:color w:val="#000"/>
                  <w:sz w:val="17"/>
                  <w:u w:val="single"/>
                </w:rPr>
                <w:t xml:space="preserve">Investing.com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AL30D Historical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2026-06-17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Precios históricos de AL30D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Portal de datos de mercado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54</w:t>
            </w:r>
          </w:p>
        </w:tc>
        <w:tc>
          <w:tcPr>
            <w:tcBorders>
              <w:top w:val="single" w:sz="1" w:space="0" w:color="000000"/>
              <w:bottom w:val="single" w:sz="1" w:space="0" w:color="000000"/>
              <w:right w:val="single" w:sz="1" w:space="0" w:color="000000"/>
            </w:tcBorders>
          </w:tcPr>
          <w:p>
            <w:pPr>
              <w:spacing w:line="360" w:lineRule="auto"/>
            </w:pPr>
            <w:hyperlink r:id="rId29">
              <w:r>
                <w:rPr>
                  <w:rFonts w:eastAsia="source sans 3" w:cs="source sans 3" w:ascii="source sans 3" w:hAnsi="source sans 3"/>
                  <w:color w:val="#000"/>
                  <w:sz w:val="17"/>
                  <w:u w:val="single"/>
                </w:rPr>
                <w:t xml:space="preserve">https://www.tikr.com/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TIKR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Stock Market Research &amp; Investor Analysis Tools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2025-07-03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Descripción de TIKR Terminal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Página web TIKR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TERTIARY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55</w:t>
            </w:r>
          </w:p>
        </w:tc>
        <w:tc>
          <w:tcPr>
            <w:tcBorders>
              <w:top w:val="single" w:sz="1" w:space="0" w:color="000000"/>
              <w:bottom w:val="single" w:sz="1" w:space="0" w:color="000000"/>
              <w:right w:val="single" w:sz="1" w:space="0" w:color="000000"/>
            </w:tcBorders>
          </w:tcPr>
          <w:p>
            <w:pPr>
              <w:spacing w:line="360" w:lineRule="auto"/>
            </w:pPr>
            <w:hyperlink r:id="rId30">
              <w:r>
                <w:rPr>
                  <w:rFonts w:eastAsia="source sans 3" w:cs="source sans 3" w:ascii="source sans 3" w:hAnsi="source sans 3"/>
                  <w:color w:val="#000"/>
                  <w:sz w:val="17"/>
                  <w:u w:val="single"/>
                </w:rPr>
                <w:t xml:space="preserve">https://sekoia.com.uy/storage/pdfs/1dstGHiUhyTrU7txQ4HmB36jFsEx9tIIZ900wbqh.pdf</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Sekoia Research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Report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Precios de bonos argentinos (AL30, GD30)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Informe de investigación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56</w:t>
            </w:r>
          </w:p>
        </w:tc>
        <w:tc>
          <w:tcPr>
            <w:tcBorders>
              <w:top w:val="single" w:sz="1" w:space="0" w:color="000000"/>
              <w:bottom w:val="single" w:sz="1" w:space="0" w:color="000000"/>
              <w:right w:val="single" w:sz="1" w:space="0" w:color="000000"/>
            </w:tcBorders>
          </w:tcPr>
          <w:p>
            <w:pPr>
              <w:spacing w:line="360" w:lineRule="auto"/>
            </w:pPr>
            <w:hyperlink r:id="rId31">
              <w:r>
                <w:rPr>
                  <w:rFonts w:eastAsia="source sans 3" w:cs="source sans 3" w:ascii="source sans 3" w:hAnsi="source sans 3"/>
                  <w:color w:val="#000"/>
                  <w:sz w:val="17"/>
                  <w:u w:val="single"/>
                </w:rPr>
                <w:t xml:space="preserve">https://rueda.live/en/bonos/curva-soberana</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Rueda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Argentina sovereign curve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2026-04-27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Curva soberana en tiempo real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Portal de datos de mercado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58</w:t>
            </w:r>
          </w:p>
        </w:tc>
        <w:tc>
          <w:tcPr>
            <w:tcBorders>
              <w:top w:val="single" w:sz="1" w:space="0" w:color="000000"/>
              <w:bottom w:val="single" w:sz="1" w:space="0" w:color="000000"/>
              <w:right w:val="single" w:sz="1" w:space="0" w:color="000000"/>
            </w:tcBorders>
          </w:tcPr>
          <w:p>
            <w:pPr>
              <w:spacing w:line="360" w:lineRule="auto"/>
            </w:pPr>
            <w:hyperlink r:id="rId32">
              <w:r>
                <w:rPr>
                  <w:rFonts w:eastAsia="source sans 3" w:cs="source sans 3" w:ascii="source sans 3" w:hAnsi="source sans 3"/>
                  <w:color w:val="#000"/>
                  <w:sz w:val="17"/>
                  <w:u w:val="single"/>
                </w:rPr>
                <w:t xml:space="preserve">https://www.tradingview.com/script/ppcLlbR6/</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TradingView (EcoValores)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Argentina Bonds Yield Curve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2026-02-26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Metodología de conversión ARS/USD usando AL30 ratios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Script de TradingView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hyperlink r:id="rId33">
              <w:r>
                <w:rPr>
                  <w:rFonts w:eastAsia="source sans 3" w:cs="source sans 3" w:ascii="source sans 3" w:hAnsi="source sans 3"/>
                  <w:color w:val="#000"/>
                  <w:sz w:val="17"/>
                  <w:u w:val="single"/>
                </w:rPr>
                <w:t xml:space="preserve">https://www.bcra.gob.ar/en/news/the-bcra-aligns-foreign-exchange-transactions-settlement-term-with-international-practices/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BCRA aligns foreign exchange transactions settlement 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2024-05-09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Cambio de settlement de T+0 a T+1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Comunicado de prensa BCRA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PRIMARY_OFFICIAL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64</w:t>
            </w:r>
          </w:p>
        </w:tc>
        <w:tc>
          <w:tcPr>
            <w:tcBorders>
              <w:top w:val="single" w:sz="1" w:space="0" w:color="000000"/>
              <w:bottom w:val="single" w:sz="1" w:space="0" w:color="000000"/>
              <w:right w:val="single" w:sz="1" w:space="0" w:color="000000"/>
            </w:tcBorders>
          </w:tcPr>
          <w:p>
            <w:pPr>
              <w:spacing w:line="360" w:lineRule="auto"/>
            </w:pPr>
            <w:hyperlink r:id="rId34">
              <w:r>
                <w:rPr>
                  <w:rFonts w:eastAsia="source sans 3" w:cs="source sans 3" w:ascii="source sans 3" w:hAnsi="source sans 3"/>
                  <w:color w:val="#000"/>
                  <w:sz w:val="17"/>
                  <w:u w:val="single"/>
                </w:rPr>
                <w:t xml:space="preserve">https://data-widgets.byma.com.ar/wp-content/uploads/2019/02/BYMA-Procedures-Manual.pdf</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de Procedimientos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Procesos de liquidación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operativo BYMA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PRIMARY_MARKET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verified"/>
      <w:r>
        <w:rPr>
          <w:rFonts w:eastAsia="source serif 4" w:cs="source serif 4" w:ascii="source serif 4" w:hAnsi="source serif 4"/>
          <w:b/>
          <w:color w:val="000000"/>
          <w:sz w:val="24"/>
        </w:rPr>
        <w:t xml:space="preserve">VERIFIED</w:t>
      </w:r>
      <w:bookmarkEnd w:id="78"/>
    </w:p>
    <w:p>
      <w:pPr>
        <w:numPr>
          <w:ilvl w:val="0"/>
          <w:numId w:val="58"/>
        </w:numPr>
        <w:spacing w:line="360" w:before="105" w:after="105" w:lineRule="auto"/>
      </w:pPr>
      <w:r>
        <w:rPr>
          <w:rFonts w:eastAsia="source serif 4" w:cs="source serif 4" w:ascii="source serif 4" w:hAnsi="source serif 4"/>
          <w:b/>
          <w:color w:val="000000"/>
          <w:sz w:val="21"/>
        </w:rPr>
        <w:t xml:space="preserve">BCRA A3500:</w:t>
      </w:r>
      <w:r>
        <w:rPr>
          <w:rFonts w:eastAsia="source serif 4" w:cs="source serif 4" w:ascii="source serif 4" w:hAnsi="source serif 4"/>
          <w:color w:val="000000"/>
          <w:sz w:val="21"/>
        </w:rPr>
        <w:t xml:space="preserve"> Metodología documentada en Comunicación A 3500 (2002) y proyecto de modificación (2025) [cite:1][cite:2][cite:4].</w:t>
      </w:r>
    </w:p>
    <w:p>
      <w:pPr>
        <w:numPr>
          <w:ilvl w:val="0"/>
          <w:numId w:val="58"/>
        </w:numPr>
        <w:spacing w:line="360" w:before="105" w:after="105" w:lineRule="auto"/>
      </w:pPr>
      <w:r>
        <w:rPr>
          <w:rFonts w:eastAsia="source serif 4" w:cs="source serif 4" w:ascii="source serif 4" w:hAnsi="source serif 4"/>
          <w:b/>
          <w:color w:val="000000"/>
          <w:sz w:val="21"/>
        </w:rPr>
        <w:t xml:space="preserve">BYMA Dollar Index / CCL Index:</w:t>
      </w:r>
      <w:r>
        <w:rPr>
          <w:rFonts w:eastAsia="source serif 4" w:cs="source serif 4" w:ascii="source serif 4" w:hAnsi="source serif 4"/>
          <w:color w:val="000000"/>
          <w:sz w:val="21"/>
        </w:rPr>
        <w:t xml:space="preserve"> Lanzados en febrero 2024, con descripción metodológica en sitio web BYMA [cite:6][cite:8][cite:10].</w:t>
      </w:r>
    </w:p>
    <w:p>
      <w:pPr>
        <w:numPr>
          <w:ilvl w:val="0"/>
          <w:numId w:val="58"/>
        </w:numPr>
        <w:spacing w:line="360" w:before="105" w:after="105" w:lineRule="auto"/>
      </w:pPr>
      <w:r>
        <w:rPr>
          <w:rFonts w:eastAsia="source serif 4" w:cs="source serif 4" w:ascii="source serif 4" w:hAnsi="source serif 4"/>
          <w:b/>
          <w:color w:val="000000"/>
          <w:sz w:val="21"/>
        </w:rPr>
        <w:t xml:space="preserve">Settlement T+1:</w:t>
      </w:r>
      <w:r>
        <w:rPr>
          <w:rFonts w:eastAsia="source serif 4" w:cs="source serif 4" w:ascii="source serif 4" w:hAnsi="source serif 4"/>
          <w:color w:val="000000"/>
          <w:sz w:val="21"/>
        </w:rPr>
        <w:t xml:space="preserve"> Normativa CNV RG 1000/2024 y comunicado BCRA mayo 2024 [cite:31][cite:34][cite:60].</w:t>
      </w:r>
    </w:p>
    <w:p>
      <w:pPr>
        <w:numPr>
          <w:ilvl w:val="0"/>
          <w:numId w:val="58"/>
        </w:numPr>
        <w:spacing w:line="360" w:before="105" w:after="105" w:lineRule="auto"/>
      </w:pPr>
      <w:r>
        <w:rPr>
          <w:rFonts w:eastAsia="source serif 4" w:cs="source serif 4" w:ascii="source serif 4" w:hAnsi="source serif 4"/>
          <w:b/>
          <w:color w:val="000000"/>
          <w:sz w:val="21"/>
        </w:rPr>
        <w:t xml:space="preserve">IAS 21:</w:t>
      </w:r>
      <w:r>
        <w:rPr>
          <w:rFonts w:eastAsia="source serif 4" w:cs="source serif 4" w:ascii="source serif 4" w:hAnsi="source serif 4"/>
          <w:color w:val="000000"/>
          <w:sz w:val="21"/>
        </w:rPr>
        <w:t xml:space="preserve"> Norma IFRS sobre conversión de moneda extranjera [cite:17][cite:19][cite:20][cite:24].</w:t>
      </w:r>
    </w:p>
    <w:p>
      <w:pPr>
        <w:numPr>
          <w:ilvl w:val="0"/>
          <w:numId w:val="58"/>
        </w:numPr>
        <w:spacing w:line="360" w:before="105" w:after="105" w:lineRule="auto"/>
      </w:pPr>
      <w:r>
        <w:rPr>
          <w:rFonts w:eastAsia="source serif 4" w:cs="source serif 4" w:ascii="source serif 4" w:hAnsi="source serif 4"/>
          <w:b/>
          <w:color w:val="000000"/>
          <w:sz w:val="21"/>
        </w:rPr>
        <w:t xml:space="preserve">Precios de bonos AL30/AL30D:</w:t>
      </w:r>
      <w:r>
        <w:rPr>
          <w:rFonts w:eastAsia="source serif 4" w:cs="source serif 4" w:ascii="source serif 4" w:hAnsi="source serif 4"/>
          <w:color w:val="000000"/>
          <w:sz w:val="21"/>
        </w:rPr>
        <w:t xml:space="preserve"> Disponibles en </w:t>
      </w:r>
      <w:hyperlink r:id="rId35">
        <w:r>
          <w:rPr>
            <w:rFonts w:eastAsia="source sans 3" w:cs="source sans 3" w:ascii="source sans 3" w:hAnsi="source sans 3"/>
            <w:color w:val="#000"/>
            <w:sz w:val="21"/>
            <w:u w:val="single"/>
          </w:rPr>
          <w:t xml:space="preserve">Investing.com</w:t>
        </w:r>
      </w:hyperlink>
      <w:r>
        <w:rPr>
          <w:rFonts w:eastAsia="source serif 4" w:cs="source serif 4" w:ascii="source serif 4" w:hAnsi="source serif 4"/>
          <w:color w:val="000000"/>
          <w:sz w:val="21"/>
        </w:rPr>
        <w:t xml:space="preserve">, BondTerminal, Rueda AI [cite:50][cite:53][cite:56].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partially_verified"/>
      <w:r>
        <w:rPr>
          <w:rFonts w:eastAsia="source serif 4" w:cs="source serif 4" w:ascii="source serif 4" w:hAnsi="source serif 4"/>
          <w:b/>
          <w:color w:val="000000"/>
          <w:sz w:val="24"/>
        </w:rPr>
        <w:t xml:space="preserve">PARTIALLY_VERIFIED</w:t>
      </w:r>
      <w:bookmarkEnd w:id="79"/>
    </w:p>
    <w:p>
      <w:pPr>
        <w:numPr>
          <w:ilvl w:val="0"/>
          <w:numId w:val="59"/>
        </w:numPr>
        <w:spacing w:line="360" w:before="105" w:after="105" w:lineRule="auto"/>
      </w:pPr>
      <w:r>
        <w:rPr>
          <w:rFonts w:eastAsia="source serif 4" w:cs="source serif 4" w:ascii="source serif 4" w:hAnsi="source serif 4"/>
          <w:b/>
          <w:color w:val="000000"/>
          <w:sz w:val="21"/>
        </w:rPr>
        <w:t xml:space="preserve">MEP/CCL histórico 2003–2018:</w:t>
      </w:r>
      <w:r>
        <w:rPr>
          <w:rFonts w:eastAsia="source serif 4" w:cs="source serif 4" w:ascii="source serif 4" w:hAnsi="source serif 4"/>
          <w:color w:val="000000"/>
          <w:sz w:val="21"/>
        </w:rPr>
        <w:t xml:space="preserve"> Disponible en fuentes de mercado (Dolarito, </w:t>
      </w:r>
      <w:hyperlink r:id="rId36">
        <w:r>
          <w:rPr>
            <w:rFonts w:eastAsia="source sans 3" w:cs="source sans 3" w:ascii="source sans 3" w:hAnsi="source sans 3"/>
            <w:color w:val="#000"/>
            <w:sz w:val="21"/>
            <w:u w:val="single"/>
          </w:rPr>
          <w:t xml:space="preserve">Investing.com</w:t>
        </w:r>
      </w:hyperlink>
      <w:r>
        <w:rPr>
          <w:rFonts w:eastAsia="source serif 4" w:cs="source serif 4" w:ascii="source serif 4" w:hAnsi="source serif 4"/>
          <w:color w:val="000000"/>
          <w:sz w:val="21"/>
        </w:rPr>
        <w:t xml:space="preserve">), pero sin documentación oficial BCRA/BYMA [cite:40][cite:50].</w:t>
      </w:r>
    </w:p>
    <w:p>
      <w:pPr>
        <w:numPr>
          <w:ilvl w:val="0"/>
          <w:numId w:val="59"/>
        </w:numPr>
        <w:spacing w:line="360" w:before="105" w:after="105" w:lineRule="auto"/>
      </w:pPr>
      <w:r>
        <w:rPr>
          <w:rFonts w:eastAsia="source serif 4" w:cs="source serif 4" w:ascii="source serif 4" w:hAnsi="source serif 4"/>
          <w:b/>
          <w:color w:val="000000"/>
          <w:sz w:val="21"/>
        </w:rPr>
        <w:t xml:space="preserve">Fuentes de proveedores financieros (Bloomberg/Reuters):</w:t>
      </w:r>
      <w:r>
        <w:rPr>
          <w:rFonts w:eastAsia="source serif 4" w:cs="source serif 4" w:ascii="source serif 4" w:hAnsi="source serif 4"/>
          <w:color w:val="000000"/>
          <w:sz w:val="21"/>
        </w:rPr>
        <w:t xml:space="preserve"> Mencionadas en informe IMF SDDS, pero sin metodología detallada pública [cite:18].</w:t>
      </w:r>
    </w:p>
    <w:p>
      <w:pPr>
        <w:numPr>
          <w:ilvl w:val="0"/>
          <w:numId w:val="59"/>
        </w:numPr>
        <w:spacing w:line="360" w:before="105" w:after="105" w:lineRule="auto"/>
      </w:pPr>
      <w:r>
        <w:rPr>
          <w:rFonts w:eastAsia="source serif 4" w:cs="source serif 4" w:ascii="source serif 4" w:hAnsi="source serif 4"/>
          <w:b/>
          <w:color w:val="000000"/>
          <w:sz w:val="21"/>
        </w:rPr>
        <w:t xml:space="preserve">TIKR currency conversion:</w:t>
      </w:r>
      <w:r>
        <w:rPr>
          <w:rFonts w:eastAsia="source serif 4" w:cs="source serif 4" w:ascii="source serif 4" w:hAnsi="source serif 4"/>
          <w:color w:val="000000"/>
          <w:sz w:val="21"/>
        </w:rPr>
        <w:t xml:space="preserve"> No hay documentación pública; solo descripción general de la plataforma [cite:54].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not_determinable"/>
      <w:r>
        <w:rPr>
          <w:rFonts w:eastAsia="source serif 4" w:cs="source serif 4" w:ascii="source serif 4" w:hAnsi="source serif 4"/>
          <w:b/>
          <w:color w:val="000000"/>
          <w:sz w:val="24"/>
        </w:rPr>
        <w:t xml:space="preserve">NOT_DETERMINABLE</w:t>
      </w:r>
      <w:bookmarkEnd w:id="80"/>
    </w:p>
    <w:p>
      <w:pPr>
        <w:numPr>
          <w:ilvl w:val="0"/>
          <w:numId w:val="60"/>
        </w:numPr>
        <w:spacing w:line="360" w:before="105" w:after="105" w:lineRule="auto"/>
      </w:pPr>
      <w:r>
        <w:rPr>
          <w:rFonts w:eastAsia="source serif 4" w:cs="source serif 4" w:ascii="source serif 4" w:hAnsi="source serif 4"/>
          <w:b/>
          <w:color w:val="000000"/>
          <w:sz w:val="21"/>
        </w:rPr>
        <w:t xml:space="preserve">Metodología exacta de TIKR para conversión ARS/USD:</w:t>
      </w:r>
      <w:r>
        <w:rPr>
          <w:rFonts w:eastAsia="source serif 4" w:cs="source serif 4" w:ascii="source serif 4" w:hAnsi="source serif 4"/>
          <w:color w:val="000000"/>
          <w:sz w:val="21"/>
        </w:rPr>
        <w:t xml:space="preserve"> Sin evidencia documental directa [cite:54].</w:t>
      </w:r>
    </w:p>
    <w:p>
      <w:pPr>
        <w:numPr>
          <w:ilvl w:val="0"/>
          <w:numId w:val="60"/>
        </w:numPr>
        <w:spacing w:line="360" w:before="105" w:after="105" w:lineRule="auto"/>
      </w:pPr>
      <w:r>
        <w:rPr>
          <w:rFonts w:eastAsia="source serif 4" w:cs="source serif 4" w:ascii="source serif 4" w:hAnsi="source serif 4"/>
          <w:b/>
          <w:color w:val="000000"/>
          <w:sz w:val="21"/>
        </w:rPr>
        <w:t xml:space="preserve">Precios de bonos argentinos 2001–2002:</w:t>
      </w:r>
      <w:r>
        <w:rPr>
          <w:rFonts w:eastAsia="source serif 4" w:cs="source serif 4" w:ascii="source serif 4" w:hAnsi="source serif 4"/>
          <w:color w:val="000000"/>
          <w:sz w:val="21"/>
        </w:rPr>
        <w:t xml:space="preserve"> No hay fuentes públicas identificadas con datos históricos de ese período [cite:50][cite:51].</w:t>
      </w:r>
    </w:p>
    <w:p>
      <w:pPr>
        <w:numPr>
          <w:ilvl w:val="0"/>
          <w:numId w:val="60"/>
        </w:numPr>
        <w:spacing w:line="360" w:before="105" w:after="105" w:lineRule="auto"/>
      </w:pPr>
      <w:r>
        <w:rPr>
          <w:rFonts w:eastAsia="source serif 4" w:cs="source serif 4" w:ascii="source serif 4" w:hAnsi="source serif 4"/>
          <w:b/>
          <w:color w:val="000000"/>
          <w:sz w:val="21"/>
        </w:rPr>
        <w:t xml:space="preserve">Serie TCR BCRA 2001–febrero 2002:</w:t>
      </w:r>
      <w:r>
        <w:rPr>
          <w:rFonts w:eastAsia="source serif 4" w:cs="source serif 4" w:ascii="source serif 4" w:hAnsi="source serif 4"/>
          <w:color w:val="000000"/>
          <w:sz w:val="21"/>
        </w:rPr>
        <w:t xml:space="preserve"> No disponible bajo Comunicación A 3500 (entra en vigor 01/03/2002) [cite:1][cite:5].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FIN DEL DOSSIER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Investing.com" TargetMode="External"/><Relationship Id="rId6" Type="http://schemas.openxmlformats.org/officeDocument/2006/relationships/hyperlink" Target="http://Investing.com" TargetMode="External"/><Relationship Id="rId7" Type="http://schemas.openxmlformats.org/officeDocument/2006/relationships/hyperlink" Target="http://Investing.com" TargetMode="External"/><Relationship Id="rId8" Type="http://schemas.openxmlformats.org/officeDocument/2006/relationships/hyperlink" Target="https://www.bcra.gob.ar/archivos/Pdfs/comytexord/a3500.pdf" TargetMode="External"/><Relationship Id="rId9" Type="http://schemas.openxmlformats.org/officeDocument/2006/relationships/hyperlink" Target="https://www.bcra.gob.ar/noticias/con-el-aporte-de-los-principales-actores-del-mercado-el-bcra-aprobo-una-nueva-metodologia-para-el-calculo-del-tipo-de-cambio-de-referencia-a-3500/" TargetMode="External"/><Relationship Id="rId10" Type="http://schemas.openxmlformats.org/officeDocument/2006/relationships/hyperlink" Target="https://www.bcra.gob.ar/archivos/Pdfs/Noticias/Proyecto-modificacion-comunicacion-A3500.pdf" TargetMode="External"/><Relationship Id="rId11" Type="http://schemas.openxmlformats.org/officeDocument/2006/relationships/hyperlink" Target="https://www.argentina.gob.ar/normativa/nacional/comunicaci%C3%B3n-3500-2002-73021/normas-modifican" TargetMode="External"/><Relationship Id="rId12" Type="http://schemas.openxmlformats.org/officeDocument/2006/relationships/hyperlink" Target="http://Argentina.gob.ar" TargetMode="External"/><Relationship Id="rId13" Type="http://schemas.openxmlformats.org/officeDocument/2006/relationships/hyperlink" Target="https://www.byma.com.ar/productos/productos-de-datos" TargetMode="External"/><Relationship Id="rId14" Type="http://schemas.openxmlformats.org/officeDocument/2006/relationships/hyperlink" Target="https://www.byma.com.ar/en/newsroom/byma-introduces-two-new-indexes-for-the-argentine-market" TargetMode="External"/><Relationship Id="rId15" Type="http://schemas.openxmlformats.org/officeDocument/2006/relationships/hyperlink" Target="https://www.byma.com.ar/productos/productos-de-datos/market-data" TargetMode="External"/><Relationship Id="rId16" Type="http://schemas.openxmlformats.org/officeDocument/2006/relationships/hyperlink" Target="https://www.ifrs.org/content/dam/ifrs/publications/html-standards/english/2024/issued/ias21.html" TargetMode="External"/><Relationship Id="rId17" Type="http://schemas.openxmlformats.org/officeDocument/2006/relationships/hyperlink" Target="https://dsbb.imf.org/sdds/dqaf-base/country/ARG/category/EXR00" TargetMode="External"/><Relationship Id="rId18" Type="http://schemas.openxmlformats.org/officeDocument/2006/relationships/hyperlink" Target="https://www.argentina.gob.ar/normativa/nacional/resoluci%C3%B3n-1000-2024-399067/texto" TargetMode="External"/><Relationship Id="rId19" Type="http://schemas.openxmlformats.org/officeDocument/2006/relationships/hyperlink" Target="https://www.argentina.gob.ar/noticias/la-cnv-continua-alineando-su-normativa-los-altos-estandares-de-los-mercados-internacionales" TargetMode="External"/><Relationship Id="rId20" Type="http://schemas.openxmlformats.org/officeDocument/2006/relationships/hyperlink" Target="https://www.bcra.gob.ar/en/currency-evolution/" TargetMode="External"/><Relationship Id="rId21" Type="http://schemas.openxmlformats.org/officeDocument/2006/relationships/hyperlink" Target="https://www.lanacion.com.ar/dolar-oficial-historico/" TargetMode="External"/><Relationship Id="rId22" Type="http://schemas.openxmlformats.org/officeDocument/2006/relationships/hyperlink" Target="https://www.dolarito.ar/cotizaciones-historicas/mep" TargetMode="External"/><Relationship Id="rId23" Type="http://schemas.openxmlformats.org/officeDocument/2006/relationships/hyperlink" Target="https://valordolarblue.ar/blog/dolar-historico-argentina" TargetMode="External"/><Relationship Id="rId24" Type="http://schemas.openxmlformats.org/officeDocument/2006/relationships/hyperlink" Target="https://argentinaclearing.com.ar/wp-content/uploads/2022/03/Settlement-instructions-2024-07-15.pdf" TargetMode="External"/><Relationship Id="rId25" Type="http://schemas.openxmlformats.org/officeDocument/2006/relationships/hyperlink" Target="https://www.bcra.gob.ar/archivos/Pdfs/PublicacionesEstadisticas/i2023FinancialStatements.pdf" TargetMode="External"/><Relationship Id="rId26" Type="http://schemas.openxmlformats.org/officeDocument/2006/relationships/hyperlink" Target="https://www.sec.gov/Archives/edgar/data/932470/000110465925019133/teo-20241231x20f.htm" TargetMode="External"/><Relationship Id="rId27" Type="http://schemas.openxmlformats.org/officeDocument/2006/relationships/hyperlink" Target="https://es.investing.com/rates-bonds/ararge3209s6-usd-historical-data" TargetMode="External"/><Relationship Id="rId28" Type="http://schemas.openxmlformats.org/officeDocument/2006/relationships/hyperlink" Target="http://Investing.com" TargetMode="External"/><Relationship Id="rId29" Type="http://schemas.openxmlformats.org/officeDocument/2006/relationships/hyperlink" Target="https://www.tikr.com/" TargetMode="External"/><Relationship Id="rId30" Type="http://schemas.openxmlformats.org/officeDocument/2006/relationships/hyperlink" Target="https://sekoia.com.uy/storage/pdfs/1dstGHiUhyTrU7txQ4HmB36jFsEx9tIIZ900wbqh.pdf" TargetMode="External"/><Relationship Id="rId31" Type="http://schemas.openxmlformats.org/officeDocument/2006/relationships/hyperlink" Target="https://rueda.live/en/bonos/curva-soberana" TargetMode="External"/><Relationship Id="rId32" Type="http://schemas.openxmlformats.org/officeDocument/2006/relationships/hyperlink" Target="https://www.tradingview.com/script/ppcLlbR6/" TargetMode="External"/><Relationship Id="rId33" Type="http://schemas.openxmlformats.org/officeDocument/2006/relationships/hyperlink" Target="https://www.bcra.gob.ar/en/news/the-bcra-aligns-foreign-exchange-transactions-settlement-term-with-international-practices/" TargetMode="External"/><Relationship Id="rId34" Type="http://schemas.openxmlformats.org/officeDocument/2006/relationships/hyperlink" Target="https://data-widgets.byma.com.ar/wp-content/uploads/2019/02/BYMA-Procedures-Manual.pdf" TargetMode="External"/><Relationship Id="rId35" Type="http://schemas.openxmlformats.org/officeDocument/2006/relationships/hyperlink" Target="http://Investing.com" TargetMode="External"/><Relationship Id="rId36" Type="http://schemas.openxmlformats.org/officeDocument/2006/relationships/hyperlink" Target="http://Investing.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2026-09-15T21:25:20.757Z</dcterms:created>
  <dcterms:modified xsi:type="dcterms:W3CDTF">2026-09-15T21:25:20.757Z</dcterms:modified>
</cp:coreProperties>
</file>