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ource_gaps_huecos_documentales_y_d1f999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SOURCE GAPS — Huecos Documentales y Perí��os que Requieren Reconstrucci�n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Access Date:</w:t>
      </w:r>
      <w:r>
        <w:rPr>
          <w:rFonts w:eastAsia="source serif 4" w:cs="source serif 4" w:ascii="source serif 4" w:hAnsi="source serif 4"/>
          <w:color w:val="000000"/>
        </w:rPr>
        <w:t xml:space="preserve"> 2026-09-15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huecos_temporales_cr_tic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Huecos Temporales Cr�ticos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1_1_per_odo_2001_febrero_200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1.1 Per�odo 2001 – febrero 2002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Estado:</w:t>
      </w:r>
      <w:r>
        <w:rPr>
          <w:rFonts w:eastAsia="source serif 4" w:cs="source serif 4" w:ascii="source serif 4" w:hAnsi="source serif 4"/>
          <w:color w:val="000000"/>
        </w:rPr>
        <w:t xml:space="preserve"> NOT_DETERMINABLE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Raz�n: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 Comunicaci�n A 3500 del BCRA entra en vigor el 01/03/2002 [cite:1][cite:5].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hay serie TCR oficial BCRA para 2001–febrero 2002.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El mercado de bonos argentinos estaba en default tras la crisis de diciembre 2001, sin operatoria normal de AL30/AL30D [cite:40].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hay evidencia documental de MEP/CCL como conceptos formales en este per�odo [cite:40].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Reconstrucci�n requerida: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Usar tipo de cambio oficial BCRA (disponible en archivos internos del BCRA, no en portales p�blicos) [cite:36][cite:63].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Para MEP/CCL: no hay precios de bonos disponibles en fuentes p�blicas identificadas [cite:50][cite:51].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Conclusi�n: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Per�odo requiere reconstrucci�n instrumental parcial (solo tipo de cambio oficial), pero MEP/CCL no son reconstruibles con fuentes p�blicas actuales.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1_2_per_odo_marzo_2002_diciembre_200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1.2 Per�odo marzo 2002 – diciembre 2002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Estado:</w:t>
      </w:r>
      <w:r>
        <w:rPr>
          <w:rFonts w:eastAsia="source serif 4" w:cs="source serif 4" w:ascii="source serif 4" w:hAnsi="source serif 4"/>
          <w:color w:val="000000"/>
        </w:rPr>
        <w:t xml:space="preserve"> PARTIALLY_VERIFIED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Raz�n: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TCR BCRA disponible bajo Comunicaci�n A 3500 desde 01/03/2002 [cite:1][cite:5].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Tipo de cambio oficial BCRA disponible [cite:36].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hay evidencia de precios de bonos AL30/AL30D en fuentes p�blicas para 2002 [cite:50][cite:51].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MEP/CCL no son reconstruibles sin precios de bonos.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Reconstrucci�n requerida: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TCR y oficial: disponibles en BCRA.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MEP/CCL: requieren acceso a archivos de BYMA/MAE o proveedores de datos (Bloomberg, Reuters) no disponibles p�blicamente.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1_3_per_odo_2003_201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1.3 Per�odo 2003 – 2016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Estado:</w:t>
      </w:r>
      <w:r>
        <w:rPr>
          <w:rFonts w:eastAsia="source serif 4" w:cs="source serif 4" w:ascii="source serif 4" w:hAnsi="source serif 4"/>
          <w:color w:val="000000"/>
        </w:rPr>
        <w:t xml:space="preserve"> PARTIALLY_VERIFIED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Raz�n: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TCR BCRA disponible [cite:1].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Tipo de cambio oficial BCRA disponible [cite:36].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MEP/CCL disponibles en fuentes de mercado (Dolarito claima disponibilidad desde 02/01/2003) [cite:40].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Precios de bonos AL30/AL30D: no hay fuentes p�blicas identificadas con datos hist�ricos completos para este per�odo [cite:50][cite:51].</w:t>
      </w:r>
    </w:p>
    <w:p>
      <w:pPr>
        <w:numPr>
          <w:ilvl w:val="0"/>
          <w:numId w:val="5"/>
        </w:numPr>
        <w:spacing w:line="360" w:before="105" w:after="105" w:lineRule="auto"/>
      </w:pP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Investing.com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tiene AL30D desde 2017 en adelante [cite:50].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Reconstrucci�n requerida: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MEP/CCL: requieren acceso a archivos de BYMA/MAE o proveedores de datos (Bloomberg, Reuters) para 2003–2016.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Alternativa: contactar a Dolarito/ValorDolarBlue para obtener sus fuentes originales (no documentadas p�blicamente) [cite:40][cite:42].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1_4_per_odo_2017_202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1.4 Per�odo 2017 – 2023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Estado:</w:t>
      </w:r>
      <w:r>
        <w:rPr>
          <w:rFonts w:eastAsia="source serif 4" w:cs="source serif 4" w:ascii="source serif 4" w:hAnsi="source serif 4"/>
          <w:color w:val="000000"/>
        </w:rPr>
        <w:t xml:space="preserve"> VERIFIED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Raz�n: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TCR BCRA disponible [cite:1].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Tipo de cambio oficial BCRA disponible [cite:36].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Precios de bonos AL30D disponibles en </w:t>
      </w: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Investing.com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desde agosto 2017 [cite:50][cite:51].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MEP/CCL disponibles en Dolarito, </w:t>
      </w: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Investing.com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, y otras fuentes de mercado [cite:40][cite:50].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Reconstrucci�n requerida: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Ninguna. Per�odo cubierto por fuentes p�blicas.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1_5_per_odo_2024_202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1.5 Per�odo 2024 – 2026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Estado:</w:t>
      </w:r>
      <w:r>
        <w:rPr>
          <w:rFonts w:eastAsia="source serif 4" w:cs="source serif 4" w:ascii="source serif 4" w:hAnsi="source serif 4"/>
          <w:color w:val="000000"/>
        </w:rPr>
        <w:t xml:space="preserve"> VERIFIED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Raz�n: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TCR BCRA disponible (metodolog�a 2002–2025 hasta 31/12/2025; nueva metodolog�a desde 01/01/2026) [cite:2][cite:4].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Tipo de cambio oficial BCRA disponible [cite:36].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BYMA Dollar Index y CCL BYMA Index disponibles desde 28/02/2024 [cite:8][cite:11].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Precios de bonos AL30/AL30D disponibles en </w:t>
      </w:r>
      <w:hyperlink r:id="rId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Investing.com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, Rueda AI, BondTerminal [cite:50][cite:53][cite:56].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MEP/CCL disponibles en m�ltiples fuentes de mercado [cite:40][cite:58].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Reconstrucci�n requerida: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Ninguna. Per�odo cubierto por fuentes p�blicas.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2_huecos_metodol_gic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Huecos Metodol�gicos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bm_2_1_metodolog_a_exacta_de_byma_68445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 Metodolog�a Exacta de BYMA Dollar Index / CCL Index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Estado:</w:t>
      </w:r>
      <w:r>
        <w:rPr>
          <w:rFonts w:eastAsia="source serif 4" w:cs="source serif 4" w:ascii="source serif 4" w:hAnsi="source serif 4"/>
          <w:color w:val="000000"/>
        </w:rPr>
        <w:t xml:space="preserve"> PARTIALLY_VERIFIED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Raz�n: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BYMA describe conceptualmente los �ndices (paridad impl�cita en operaciones de activos liquidados en pesos vs. MEP/CCL) [cite:6][cite:8][cite:10].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hay documentaci�n t�cnica p�blica con la f�rmula exacta de c�lculo (ponderaci�n, instrumentos incluidos, tratamiento de operaciones, etc.) [cite:6][cite:8].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Reconstrucci�n requerida: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Contactar a BYMA para obtener la metodolog�a t�cnica detallada.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Alternativa: ingenier�a inversa usando datos hist�ricos de los �ndices y precios de bonos (si est�n disponibles).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2_2_metodolog_a_de_tikr_s_p_gl_31973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2.2 Metodolog�a de TIKR / S&amp;P Global CapitalIQ para Conversi�n ARS/USD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Estado:</w:t>
      </w:r>
      <w:r>
        <w:rPr>
          <w:rFonts w:eastAsia="source serif 4" w:cs="source serif 4" w:ascii="source serif 4" w:hAnsi="source serif 4"/>
          <w:color w:val="000000"/>
        </w:rPr>
        <w:t xml:space="preserve"> NOT_DETERMINABLE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Raz�n: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TIKR menciona que sus datos son "powered by S&amp;P Global CapitalIQ" [cite:54].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hay documentaci�n p�blica sobre la metodolog�a de conversi�n de moneda para pa�ses con m�ltiples tipos de cambio (Argentina) [cite:54].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hay evidencia de si usan tipo de cambio oficial, MEP, CCL, TCR, u otro [cite:54].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Reconstrucci�n requerida: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Contactar a TIKR o S&amp;P Global CapitalIQ para obtener documentaci�n de metodolog�a.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Alternativa: an�lisis comparativo de estados financieros en TIKR vs. fuentes originales (pero esto no confirma la metodolog�a, solo sugiere patrones).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2_3_fuentes_exactas_de_bloombe_c4597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2.3 Fuentes Exactas de Bloomberg / Reuters para ARS/USD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Estado:</w:t>
      </w:r>
      <w:r>
        <w:rPr>
          <w:rFonts w:eastAsia="source serif 4" w:cs="source serif 4" w:ascii="source serif 4" w:hAnsi="source serif 4"/>
          <w:color w:val="000000"/>
        </w:rPr>
        <w:t xml:space="preserve"> PARTIALLY_VERIFIED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Raz�n: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El informe IMF SDDS menciona que los datos se publican basados en tasas suministradas por Bloomberg o Reuters (15:00, hora Argentina) [cite:18].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hay documentaci�n p�blica detallada sobre: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Qu� tipo de cambio usan (oficial, MEP, CCL, TCR).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C�mo calculan las paridades MEP/CCL (qu� bonos, qu� settlement, etc.).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Reconstrucci�n requerida: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Contactar a Bloomberg / Reuters para obtener documentaci�n de metodolog�a.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Alternativa: comparar datos de Bloomberg/Reuters con fuentes locales (BYMA, BCRA) para inferir la metodolog�a.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3_huecos_de_instrument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Huecos de Instrumentos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bm_3_1_precios_hist_ricos_de_bono_75a2a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3.1 Precios Hist�ricos de Bonos Argentinos 2001–2016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Estado:</w:t>
      </w:r>
      <w:r>
        <w:rPr>
          <w:rFonts w:eastAsia="source serif 4" w:cs="source serif 4" w:ascii="source serif 4" w:hAnsi="source serif 4"/>
          <w:color w:val="000000"/>
        </w:rPr>
        <w:t xml:space="preserve"> NOT_DETERMINABLE (2001–2002) / PARTIALLY_VERIFIED (2003–2016)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Raz�n: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2001–2002: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Mercado de bonos en default; no hay operatoria normal. No hay fuentes p�blicas con precios [cite:50][cite:51].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2003–2016: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Dolarito claima disponibilidad de MEP/CCL desde 2003 [cite:40], pero no hay fuentes p�blicas identificadas con precios de AL30/AL30D para este per�odo [cite:50][cite:51].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2017 en adelante: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hyperlink r:id="rId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Investing.com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tiene AL30D desde agosto 2017 [cite:50].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Reconstrucci�n requerida: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Contactar a BYMA/MAE para obtener archivos hist�ricos de precios de bonos.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Contactar a proveedores de datos (Bloomberg, Reuters, S&amp;P Global) para obtener series hist�ricas.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Contactar a Dolarito/ValorDolarBlue para obtener sus fuentes originales.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3_2_instrumentos_alternativos_f80fb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3.2 Instrumentos Alternativos para MEP/CCL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Estado:</w:t>
      </w:r>
      <w:r>
        <w:rPr>
          <w:rFonts w:eastAsia="source serif 4" w:cs="source serif 4" w:ascii="source serif 4" w:hAnsi="source serif 4"/>
          <w:color w:val="000000"/>
        </w:rPr>
        <w:t xml:space="preserve"> PARTIALLY_VERIFIED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Raz�n: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 metodolog�a de mercado usa t�picamente AL30/AL30D para MEP y AL30/AL30C (o GD30) para CCL [cite:58][cite:59].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Sin embargo, existen otros instrumentos negociables (AL35, GD35, AE38, etc.) que podr�an usarse para calcular paridades alternativas [cite:56].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hay documentaci�n oficial sobre cu�les instrumentos se usan para los �ndices BYMA [cite:6][cite:8].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Reconstrucci�n requerida: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Contactar a BYMA para obtener la lista exacta de instrumentos usados en los �ndices.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Analizar datos hist�ricos para determinar si hay cambios en los instrumentos base a lo largo del tiempo.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4_huecos_de_settl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Huecos de Settlement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bm_4_1_settlement_hist_rico_pre_202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 Settlement Hist�rico (pre-2024)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Estado:</w:t>
      </w:r>
      <w:r>
        <w:rPr>
          <w:rFonts w:eastAsia="source serif 4" w:cs="source serif 4" w:ascii="source serif 4" w:hAnsi="source serif 4"/>
          <w:color w:val="000000"/>
        </w:rPr>
        <w:t xml:space="preserve"> PARTIALLY_VERIFIED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Raz�n: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CNV RG 1000/2024 establece T+1 como plazo normal desde mayo 2024 [cite:31][cite:34][cite:35].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Antes de 2024, el plazo normal era T+2 para renta variable y T+2 o T+3 para renta fija [cite:32][cite:33][cite:64].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hay documentaci�n p�blica detallada sobre los plazos exactos de settlement para MEP/CCL antes de 2024.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Reconstrucci�n requerida: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Contactar a BYMA/MAE para obtener reglamentos hist�ricos de settlement.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Revisar archivos de la CNV para resoluciones anteriores a 2024.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4_2_settlement_cable_cc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 Settlement Cable (CCL)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Estado:</w:t>
      </w:r>
      <w:r>
        <w:rPr>
          <w:rFonts w:eastAsia="source serif 4" w:cs="source serif 4" w:ascii="source serif 4" w:hAnsi="source serif 4"/>
          <w:color w:val="000000"/>
        </w:rPr>
        <w:t xml:space="preserve"> PARTIALLY_VERIFIED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Raz�n: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Argentina Clearing tiene instrucciones de liquidaci�n para CCyL Dollar Cable [cite:43][cite:66].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Sin embargo, no hay documentaci�n p�blica sobre los plazos exactos de liquidaci�n en el exterior (depende de los bancos corresponsales, normativas cambiarias, etc.).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Reconstrucci�n requerida: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Contactar a Argentina Clearing para obtener detalles de settlement cable.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Contactar a bancos participantes para obtener plazos reales de liquidaci�n.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bm_5_recomendaciones_para_reconstrucci_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Recomendaciones para Reconstrucci�n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bm_5_1_per_odos_prioritari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5.1 Per�odos Prioritarios</w:t>
      </w:r>
      <w:bookmarkEnd w:id="18"/>
    </w:p>
    <w:p>
      <w:pPr>
        <w:numPr>
          <w:ilvl w:val="0"/>
          <w:numId w:val="2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2001–febrero 2002: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Prioridad: ALTA (per�odo de crisis, datos escasos).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Acci�n: Contactar al BCRA para obtener archivos hist�ricos de tipo de cambio oficial.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MEP/CCL: No reconstruibles con fuentes p�blicas actuales.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2003–2016: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Prioridad: MEDIA (per�odo largo, datos parcialmente disponibles).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Acci�n: Contactar a BYMA/MAE, Bloomberg, Reuters, Dolarito para obtener precios de bonos.</w:t>
      </w:r>
    </w:p>
    <w:p>
      <w:pPr>
        <w:numPr>
          <w:ilvl w:val="0"/>
          <w:numId w:val="25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2017–2023: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Prioridad: BAJA (datos disponibles en fuentes p�blicas).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Acci�n: Validar consistencia entre fuentes (</w:t>
      </w:r>
      <w:hyperlink r:id="rId1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Investing.com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, Dolarito, BCRA).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bm_5_2_fuentes_a_contacta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5.2 Fuentes a Contactar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Organizaci�n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Contacto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Informaci�n Requerida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BCRA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gerencia.operaciones@bcra.gob.ar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Archivos hist�ricos TCR 2001–2002, tipo de cambio oficial 2001–2016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BYMA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marketdata@byma.com.ar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Metodolog�a t�cnica �ndices Dollar/CCL, precios hist�ricos de bonos 2003–2016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info@mae.com.ar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Archivos hist�ricos de operaciones MEP/CCL 2003–2016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CNV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consultas@cnv.gov.ar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Resoluciones hist�ricas sobre settlement pre-2024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Argentina Clearing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compliance@argentinaclearing.com.ar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Detalles de settlement cable (CCL)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Dolarito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contacto@dolarito.ar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Fuentes originales de MEP/CCL 2003–2016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Investing.com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soporte@investing.com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Precios hist�ricos de AL30/AL30D 2017–2023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TIKR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support@tikr.com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Metodolog�a de conversi�n ARS/USD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S&amp;P Global CapitalIQ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soporte@spglobal.com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Metodolog�a de conversi�n de moneda para Argentina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Bloomberg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soporte@bloomberg.com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Metodolog�a de tipos de cambio ARS/USD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Reuters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soporte@reuters.com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Metodolog�a de tipos de cambio ARS/USD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bm_6_resumen_de_estad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Resumen de Estados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Per�odo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TCR BCRA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Oficial BCRA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CCL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Precios Bonos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Estado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2001–feb 2002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NOT_DETERMINABLE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mar 2002–dic 2002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PARTIALLY_VERIFIED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2003–2016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PARTIALLY_VERIFIED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2017–2023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VERIFIED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2024–2026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VERIFIED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FIN DEL DOCUMENTO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Investing.com" TargetMode="External"/><Relationship Id="rId6" Type="http://schemas.openxmlformats.org/officeDocument/2006/relationships/hyperlink" Target="http://Investing.com" TargetMode="External"/><Relationship Id="rId7" Type="http://schemas.openxmlformats.org/officeDocument/2006/relationships/hyperlink" Target="http://Investing.com" TargetMode="External"/><Relationship Id="rId8" Type="http://schemas.openxmlformats.org/officeDocument/2006/relationships/hyperlink" Target="http://Investing.com" TargetMode="External"/><Relationship Id="rId9" Type="http://schemas.openxmlformats.org/officeDocument/2006/relationships/hyperlink" Target="http://Investing.com" TargetMode="External"/><Relationship Id="rId10" Type="http://schemas.openxmlformats.org/officeDocument/2006/relationships/hyperlink" Target="http://Investing.com" TargetMode="External"/><Relationship Id="rId11" Type="http://schemas.openxmlformats.org/officeDocument/2006/relationships/hyperlink" Target="mailto:gerencia.operaciones@bcra.gob.ar" TargetMode="External"/><Relationship Id="rId12" Type="http://schemas.openxmlformats.org/officeDocument/2006/relationships/hyperlink" Target="mailto:marketdata@byma.com.ar" TargetMode="External"/><Relationship Id="rId13" Type="http://schemas.openxmlformats.org/officeDocument/2006/relationships/hyperlink" Target="mailto:info@mae.com.ar" TargetMode="External"/><Relationship Id="rId14" Type="http://schemas.openxmlformats.org/officeDocument/2006/relationships/hyperlink" Target="mailto:consultas@cnv.gov.ar" TargetMode="External"/><Relationship Id="rId15" Type="http://schemas.openxmlformats.org/officeDocument/2006/relationships/hyperlink" Target="mailto:compliance@argentinaclearing.com.ar" TargetMode="External"/><Relationship Id="rId16" Type="http://schemas.openxmlformats.org/officeDocument/2006/relationships/hyperlink" Target="mailto:contacto@dolarito.ar" TargetMode="External"/><Relationship Id="rId17" Type="http://schemas.openxmlformats.org/officeDocument/2006/relationships/hyperlink" Target="http://Investing.com" TargetMode="External"/><Relationship Id="rId18" Type="http://schemas.openxmlformats.org/officeDocument/2006/relationships/hyperlink" Target="mailto:soporte@investing.com" TargetMode="External"/><Relationship Id="rId19" Type="http://schemas.openxmlformats.org/officeDocument/2006/relationships/hyperlink" Target="mailto:support@tikr.com" TargetMode="External"/><Relationship Id="rId20" Type="http://schemas.openxmlformats.org/officeDocument/2006/relationships/hyperlink" Target="mailto:soporte@spglobal.com" TargetMode="External"/><Relationship Id="rId21" Type="http://schemas.openxmlformats.org/officeDocument/2006/relationships/hyperlink" Target="mailto:soporte@bloomberg.com" TargetMode="External"/><Relationship Id="rId22" Type="http://schemas.openxmlformats.org/officeDocument/2006/relationships/hyperlink" Target="mailto:soporte@reuters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2026-09-15T21:28:46.604Z</dcterms:created>
  <dcterms:modified xsi:type="dcterms:W3CDTF">2026-09-15T21:28:46.604Z</dcterms:modified>
</cp:coreProperties>
</file>