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ource_methods_metodologías_de_cá_1a6cb0"/>
      <w:r>
        <w:rPr>
          <w:rFonts w:eastAsia="source serif 4" w:cs="source serif 4" w:ascii="source serif 4" w:hAnsi="source serif 4"/>
          <w:b/>
          <w:color w:val="000000"/>
          <w:sz w:val="39"/>
        </w:rPr>
        <w:t xml:space="preserve">SOURCE METHODS — Metodologías de Cálculo y Conversión</w:t>
      </w:r>
      <w:bookmarkEnd w:id="0"/>
    </w:p>
    <w:p>
      <w:pPr>
        <w:spacing w:line="360" w:after="210" w:lineRule="auto"/>
      </w:pPr>
      <w:r>
        <w:rPr>
          <w:rFonts w:eastAsia="source serif 4" w:cs="source serif 4" w:ascii="source serif 4" w:hAnsi="source serif 4"/>
          <w:b/>
          <w:color w:val="000000"/>
        </w:rPr>
        <w:t xml:space="preserve">Access Date:</w:t>
      </w:r>
      <w:r>
        <w:rPr>
          <w:rFonts w:eastAsia="source serif 4" w:cs="source serif 4" w:ascii="source serif 4" w:hAnsi="source serif 4"/>
          <w:color w:val="000000"/>
        </w:rPr>
        <w:t xml:space="preserve"> 2026-09-15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bcra_a3500_tipo_de_cambio_de_8f48a4"/>
      <w:r>
        <w:rPr>
          <w:rFonts w:eastAsia="source serif 4" w:cs="source serif 4" w:ascii="source serif 4" w:hAnsi="source serif 4"/>
          <w:b/>
          <w:color w:val="000000"/>
          <w:sz w:val="24"/>
        </w:rPr>
        <w:t xml:space="preserve">1. BCRA A3500 — Tipo de Cambio de Referencia (TCR)</w:t>
      </w:r>
      <w:bookmarkEnd w:id="1"/>
    </w:p>
    <w:p>
      <w:pPr>
        <w:spacing w:line="360" w:before="315" w:after="105" w:lineRule="auto"/>
        <w:ind w:left="-30"/>
        <w:jc w:val="left"/>
      </w:pPr>
      <w:bookmarkStart w:id="2" w:name="bm_1_1_metodología_2002_2025_encu_aec35e"/>
      <w:r>
        <w:rPr>
          <w:rFonts w:eastAsia="source serif 4" w:cs="source serif 4" w:ascii="source serif 4" w:hAnsi="source serif 4"/>
          <w:b/>
          <w:color w:val="000000"/>
          <w:sz w:val="24"/>
        </w:rPr>
        <w:t xml:space="preserve">1.1 Metodología 2002–2025 (Encuesta SIOPEL)</w:t>
      </w:r>
      <w:bookmarkEnd w:id="2"/>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Comunicación A 3500 del BCRA [cite:1]</w:t>
      </w:r>
    </w:p>
    <w:p>
      <w:pPr>
        <w:spacing w:line="360" w:after="210" w:lineRule="auto"/>
      </w:pPr>
      <w:r>
        <w:rPr>
          <w:rFonts w:eastAsia="source serif 4" w:cs="source serif 4" w:ascii="source serif 4" w:hAnsi="source serif 4"/>
          <w:b/>
          <w:color w:val="000000"/>
        </w:rPr>
        <w:t xml:space="preserve">Procedimiento:</w:t>
      </w:r>
    </w:p>
    <w:p>
      <w:pPr>
        <w:numPr>
          <w:ilvl w:val="0"/>
          <w:numId w:val="1"/>
        </w:numPr>
        <w:spacing w:line="360" w:after="210" w:lineRule="auto"/>
      </w:pPr>
      <w:r>
        <w:rPr>
          <w:rFonts w:eastAsia="source serif 4" w:cs="source serif 4" w:ascii="source serif 4" w:hAnsi="source serif 4"/>
          <w:b/>
          <w:color w:val="000000"/>
          <w:sz w:val="21"/>
        </w:rPr>
        <w:t xml:space="preserve">Solicitud de cotizaciones:</w:t>
      </w:r>
    </w:p>
    <w:p>
      <w:pPr>
        <w:numPr>
          <w:ilvl w:val="1"/>
          <w:numId w:val="1"/>
        </w:numPr>
        <w:spacing w:line="360" w:before="105" w:after="105" w:lineRule="auto"/>
      </w:pPr>
      <w:r>
        <w:rPr>
          <w:rFonts w:eastAsia="source serif 4" w:cs="source serif 4" w:ascii="source serif 4" w:hAnsi="source serif 4"/>
          <w:color w:val="000000"/>
          <w:sz w:val="21"/>
        </w:rPr>
        <w:t xml:space="preserve">El BCRA solicita cotizaciones de compra y venta del dólar estadounidense a través del sistema SIOPEL del Mercado Abierto Electrónico (MAE).</w:t>
      </w:r>
    </w:p>
    <w:p>
      <w:pPr>
        <w:numPr>
          <w:ilvl w:val="1"/>
          <w:numId w:val="1"/>
        </w:numPr>
        <w:spacing w:line="360" w:before="105" w:after="105" w:lineRule="auto"/>
      </w:pPr>
      <w:r>
        <w:rPr>
          <w:rFonts w:eastAsia="source serif 4" w:cs="source serif 4" w:ascii="source serif 4" w:hAnsi="source serif 4"/>
          <w:color w:val="000000"/>
          <w:sz w:val="21"/>
        </w:rPr>
        <w:t xml:space="preserve">Tres rondas diarias: 10:00–10:59, 12:00–12:59, 14:00–14:59.</w:t>
      </w:r>
    </w:p>
    <w:p>
      <w:pPr>
        <w:numPr>
          <w:ilvl w:val="1"/>
          <w:numId w:val="1"/>
        </w:numPr>
        <w:spacing w:line="360" w:before="105" w:after="105" w:lineRule="auto"/>
      </w:pPr>
      <w:r>
        <w:rPr>
          <w:rFonts w:eastAsia="source serif 4" w:cs="source serif 4" w:ascii="source serif 4" w:hAnsi="source serif 4"/>
          <w:color w:val="000000"/>
          <w:sz w:val="21"/>
        </w:rPr>
        <w:t xml:space="preserve">En cada ronda, se selecciona aleatoriamente un intervalo de 15 minutos.</w:t>
      </w:r>
    </w:p>
    <w:p>
      <w:pPr>
        <w:numPr>
          <w:ilvl w:val="1"/>
          <w:numId w:val="1"/>
        </w:numPr>
        <w:spacing w:line="360" w:before="105" w:after="105" w:lineRule="auto"/>
      </w:pPr>
      <w:r>
        <w:rPr>
          <w:rFonts w:eastAsia="source serif 4" w:cs="source serif 4" w:ascii="source serif 4" w:hAnsi="source serif 4"/>
          <w:color w:val="000000"/>
          <w:sz w:val="21"/>
        </w:rPr>
        <w:t xml:space="preserve">Se solicitan cotizaciones a al menos cuatro entidades.</w:t>
      </w:r>
    </w:p>
    <w:p>
      <w:pPr>
        <w:numPr>
          <w:ilvl w:val="1"/>
          <w:numId w:val="1"/>
        </w:numPr>
        <w:spacing w:line="360" w:before="105" w:after="105" w:lineRule="auto"/>
      </w:pPr>
      <w:r>
        <w:rPr>
          <w:rFonts w:eastAsia="source serif 4" w:cs="source serif 4" w:ascii="source serif 4" w:hAnsi="source serif 4"/>
          <w:color w:val="000000"/>
          <w:sz w:val="21"/>
        </w:rPr>
        <w:t xml:space="preserve">Las cotizaciones son obligatorias e irrevocables.</w:t>
      </w:r>
    </w:p>
    <w:p>
      <w:pPr>
        <w:numPr>
          <w:ilvl w:val="0"/>
          <w:numId w:val="1"/>
        </w:numPr>
        <w:spacing w:line="360" w:after="210" w:lineRule="auto"/>
      </w:pPr>
      <w:r>
        <w:rPr>
          <w:rFonts w:eastAsia="source serif 4" w:cs="source serif 4" w:ascii="source serif 4" w:hAnsi="source serif 4"/>
          <w:b/>
          <w:color w:val="000000"/>
          <w:sz w:val="21"/>
        </w:rPr>
        <w:t xml:space="preserve">Algoritmo de cálculo (Anexo I):</w:t>
      </w:r>
    </w:p>
    <w:p>
      <w:pPr>
        <w:spacing w:line="360" w:after="210" w:lineRule="auto"/>
        <w:ind w:left="540"/>
      </w:pPr>
      <w:r>
        <w:rPr>
          <w:rFonts w:eastAsia="source serif 4" w:cs="source serif 4" w:ascii="source serif 4" w:hAnsi="source serif 4"/>
          <w:color w:val="000000"/>
          <w:sz w:val="21"/>
        </w:rPr>
        <w:t xml:space="preserve">a) Se construyen los vectores:</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X</m:t>
              </m:r>
            </m:e>
            <m:sub>
              <m:r>
                <m:rPr>
                  <m:sty m:val="i"/>
                </m:rPr>
                <w:rPr>
                  <w:color w:val="000000"/>
                  <w:sz w:val="21"/>
                </w:rPr>
                <m:t>v</m:t>
              </m:r>
            </m:sub>
          </m:sSub>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p"/>
                </m:rPr>
                <w:rPr>
                  <w:color w:val="000000"/>
                  <w:sz w:val="21"/>
                </w:rPr>
                <m:t>2</m:t>
              </m:r>
              <m:r>
                <m:rPr>
                  <m:sty m:val="p"/>
                </m:rPr>
                <w:rPr>
                  <w:color w:val="000000"/>
                  <w:sz w:val="21"/>
                </w:rPr>
                <m:t>)</m:t>
              </m:r>
            </m:sup>
          </m:sSubSup>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oMath>
      </m:oMathPara>
    </w:p>
    <w:p>
      <w:pPr>
        <w:spacing w:line="360" w:after="210" w:lineRule="auto"/>
        <w:ind w:left="540"/>
      </w:pPr>
      <w:r>
        <w:rPr>
          <w:rFonts w:eastAsia="source serif 4" w:cs="source serif 4" w:ascii="source serif 4" w:hAnsi="source serif 4"/>
          <w:color w:val="000000"/>
          <w:sz w:val="21"/>
        </w:rPr>
        <w:t xml:space="preserve">donde </w:t>
      </w:r>
      <m:oMath>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p"/>
              </m:rPr>
              <w:rPr>
                <w:color w:val="000000"/>
                <w:sz w:val="21"/>
              </w:rPr>
              <m:t>2</m:t>
            </m:r>
            <m:r>
              <m:rPr>
                <m:sty m:val="p"/>
              </m:rPr>
              <w:rPr>
                <w:color w:val="000000"/>
                <w:sz w:val="21"/>
              </w:rPr>
              <m:t>)</m:t>
            </m:r>
          </m:sup>
        </m:sSubSup>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i"/>
              </m:rPr>
              <w:rPr>
                <w:color w:val="000000"/>
                <w:sz w:val="21"/>
              </w:rPr>
              <m:t>k</m:t>
            </m:r>
            <m:r>
              <m:rPr>
                <m:sty m:val="p"/>
              </m:rPr>
              <w:rPr>
                <w:color w:val="000000"/>
                <w:sz w:val="21"/>
              </w:rPr>
              <m:t>)</m:t>
            </m:r>
          </m:sup>
        </m:sSubSup>
      </m:oMath>
      <w:r>
        <w:rPr>
          <w:rFonts w:eastAsia="source serif 4" w:cs="source serif 4" w:ascii="source serif 4" w:hAnsi="source serif 4"/>
          <w:color w:val="000000"/>
          <w:sz w:val="21"/>
        </w:rPr>
        <w:t xml:space="preserve"> son los tipos de cambio de venta ordenados de menor a mayor.</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X</m:t>
              </m:r>
            </m:e>
            <m:sub>
              <m:r>
                <m:rPr>
                  <m:sty m:val="i"/>
                </m:rPr>
                <w:rPr>
                  <w:color w:val="000000"/>
                  <w:sz w:val="21"/>
                </w:rPr>
                <m:t>c</m:t>
              </m:r>
            </m:sub>
          </m:sSub>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p"/>
                </m:rPr>
                <w:rPr>
                  <w:color w:val="000000"/>
                  <w:sz w:val="21"/>
                </w:rPr>
                <m:t>2</m:t>
              </m:r>
              <m:r>
                <m:rPr>
                  <m:sty m:val="p"/>
                </m:rPr>
                <w:rPr>
                  <w:color w:val="000000"/>
                  <w:sz w:val="21"/>
                </w:rPr>
                <m:t>)</m:t>
              </m:r>
            </m:sup>
          </m:sSubSup>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oMath>
      </m:oMathPara>
    </w:p>
    <w:p>
      <w:pPr>
        <w:spacing w:line="360" w:after="210" w:lineRule="auto"/>
        <w:ind w:left="540"/>
      </w:pPr>
      <w:r>
        <w:rPr>
          <w:rFonts w:eastAsia="source serif 4" w:cs="source serif 4" w:ascii="source serif 4" w:hAnsi="source serif 4"/>
          <w:color w:val="000000"/>
          <w:sz w:val="21"/>
        </w:rPr>
        <w:t xml:space="preserve">donde </w:t>
      </w:r>
      <m:oMath>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p"/>
              </m:rPr>
              <w:rPr>
                <w:color w:val="000000"/>
                <w:sz w:val="21"/>
              </w:rPr>
              <m:t>2</m:t>
            </m:r>
            <m:r>
              <m:rPr>
                <m:sty m:val="p"/>
              </m:rPr>
              <w:rPr>
                <w:color w:val="000000"/>
                <w:sz w:val="21"/>
              </w:rPr>
              <m:t>)</m:t>
            </m:r>
          </m:sup>
        </m:sSubSup>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i"/>
              </m:rPr>
              <w:rPr>
                <w:color w:val="000000"/>
                <w:sz w:val="21"/>
              </w:rPr>
              <m:t>k</m:t>
            </m:r>
            <m:r>
              <m:rPr>
                <m:sty m:val="p"/>
              </m:rPr>
              <w:rPr>
                <w:color w:val="000000"/>
                <w:sz w:val="21"/>
              </w:rPr>
              <m:t>)</m:t>
            </m:r>
          </m:sup>
        </m:sSubSup>
      </m:oMath>
      <w:r>
        <w:rPr>
          <w:rFonts w:eastAsia="source serif 4" w:cs="source serif 4" w:ascii="source serif 4" w:hAnsi="source serif 4"/>
          <w:color w:val="000000"/>
          <w:sz w:val="21"/>
        </w:rPr>
        <w:t xml:space="preserve"> son los tipos de cambio de compra ordenados de mayor a menor.</w:t>
      </w:r>
    </w:p>
    <w:p>
      <w:pPr>
        <w:spacing w:line="360" w:after="210" w:lineRule="auto"/>
        <w:ind w:left="540"/>
      </w:pPr>
      <w:r>
        <w:rPr>
          <w:rFonts w:eastAsia="source serif 4" w:cs="source serif 4" w:ascii="source serif 4" w:hAnsi="source serif 4"/>
          <w:color w:val="000000"/>
          <w:sz w:val="21"/>
        </w:rPr>
        <w:t xml:space="preserve">b) Se calcula el vector diferencia:</w:t>
      </w:r>
    </w:p>
    <w:p>
      <w:pPr>
        <w:spacing w:line="360" w:after="210" w:lineRule="auto"/>
        <w:ind w:left="540"/>
      </w:pPr>
      <m:oMathPara>
        <m:oMath>
          <m:r>
            <m:rPr>
              <m:sty m:val="i"/>
            </m:rPr>
            <w:rPr>
              <w:color w:val="000000"/>
              <w:sz w:val="21"/>
            </w:rPr>
            <m:t>u</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p"/>
                </m:rPr>
                <w:rPr>
                  <w:color w:val="000000"/>
                  <w:sz w:val="21"/>
                </w:rPr>
                <m:t>2</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p"/>
                </m:rPr>
                <w:rPr>
                  <w:color w:val="000000"/>
                  <w:sz w:val="21"/>
                </w:rPr>
                <m:t>2</m:t>
              </m:r>
              <m:r>
                <m:rPr>
                  <m:sty m:val="p"/>
                </m:rPr>
                <w:rPr>
                  <w:color w:val="000000"/>
                  <w:sz w:val="21"/>
                </w:rPr>
                <m:t>)</m:t>
              </m:r>
            </m:sup>
          </m:sSubSup>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oMath>
      </m:oMathPara>
    </w:p>
    <w:p>
      <w:pPr>
        <w:spacing w:line="360" w:after="210" w:lineRule="auto"/>
        <w:ind w:left="540"/>
      </w:pPr>
      <w:r>
        <w:rPr>
          <w:rFonts w:eastAsia="source serif 4" w:cs="source serif 4" w:ascii="source serif 4" w:hAnsi="source serif 4"/>
          <w:color w:val="000000"/>
          <w:sz w:val="21"/>
        </w:rPr>
        <w:t xml:space="preserve">c) Se cuenta el número </w:t>
      </w:r>
      <m:oMath>
        <m:r>
          <m:rPr>
            <m:sty m:val="i"/>
          </m:rPr>
          <w:rPr>
            <w:color w:val="000000"/>
            <w:sz w:val="21"/>
          </w:rPr>
          <m:t>u</m:t>
        </m:r>
      </m:oMath>
      <w:r>
        <w:rPr>
          <w:rFonts w:eastAsia="source serif 4" w:cs="source serif 4" w:ascii="source serif 4" w:hAnsi="source serif 4"/>
          <w:color w:val="000000"/>
          <w:sz w:val="21"/>
        </w:rPr>
        <w:t xml:space="preserve"> de componentes positivos del vector diferencia.</w:t>
      </w:r>
    </w:p>
    <w:p>
      <w:pPr>
        <w:spacing w:line="360" w:after="210" w:lineRule="auto"/>
        <w:ind w:left="540"/>
      </w:pPr>
      <w:r>
        <w:rPr>
          <w:rFonts w:eastAsia="source serif 4" w:cs="source serif 4" w:ascii="source serif 4" w:hAnsi="source serif 4"/>
          <w:color w:val="000000"/>
          <w:sz w:val="21"/>
        </w:rPr>
        <w:t xml:space="preserve">d) </w:t>
      </w:r>
      <w:r>
        <w:rPr>
          <w:rFonts w:eastAsia="source serif 4" w:cs="source serif 4" w:ascii="source serif 4" w:hAnsi="source serif 4"/>
          <w:b/>
          <w:color w:val="000000"/>
          <w:sz w:val="21"/>
        </w:rPr>
        <w:t xml:space="preserve">Caso I:</w:t>
      </w:r>
      <w:r>
        <w:rPr>
          <w:rFonts w:eastAsia="source serif 4" w:cs="source serif 4" w:ascii="source serif 4" w:hAnsi="source serif 4"/>
          <w:color w:val="000000"/>
          <w:sz w:val="21"/>
        </w:rPr>
        <w:t xml:space="preserve"> Si </w:t>
      </w:r>
      <m:oMath>
        <m:r>
          <m:rPr>
            <m:sty m:val="i"/>
          </m:rPr>
          <w:rPr>
            <w:color w:val="000000"/>
            <w:sz w:val="21"/>
          </w:rPr>
          <m:t>k</m:t>
        </m:r>
        <m:r>
          <m:rPr>
            <m:sty m:val="p"/>
          </m:rPr>
          <w:rPr>
            <w:color w:val="000000"/>
            <w:sz w:val="21"/>
          </w:rPr>
          <m:t>&gt;</m:t>
        </m:r>
        <m:r>
          <m:rPr>
            <m:sty m:val="i"/>
          </m:rPr>
          <w:rPr>
            <w:color w:val="000000"/>
            <w:sz w:val="21"/>
          </w:rPr>
          <m:t>u</m:t>
        </m:r>
        <m:r>
          <m:rPr>
            <m:sty m:val="p"/>
          </m:rPr>
          <w:rPr>
            <w:color w:val="000000"/>
            <w:sz w:val="21"/>
          </w:rPr>
          <m:t>&gt;</m:t>
        </m:r>
        <m:r>
          <m:rPr>
            <m:sty m:val="p"/>
          </m:rPr>
          <w:rPr>
            <w:color w:val="000000"/>
            <w:sz w:val="21"/>
          </w:rPr>
          <m:t>0</m:t>
        </m:r>
      </m:oMath>
      <w:r>
        <w:rPr>
          <w:rFonts w:eastAsia="source serif 4" w:cs="source serif 4" w:ascii="source serif 4" w:hAnsi="source serif 4"/>
          <w:color w:val="000000"/>
          <w:sz w:val="21"/>
        </w:rPr>
        <w:t xml:space="preserve">:</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s</m:t>
              </m:r>
            </m:e>
            <m:sub>
              <m:r>
                <m:rPr>
                  <m:sty m:val="p"/>
                </m:rPr>
                <w:rPr>
                  <w:color w:val="000000"/>
                  <w:sz w:val="21"/>
                </w:rPr>
                <m:t>1</m:t>
              </m:r>
            </m:sub>
          </m:sSub>
          <m:r>
            <m:rPr>
              <m:sty m:val="p"/>
            </m:rPr>
            <w:rPr>
              <w:color w:val="000000"/>
              <w:sz w:val="21"/>
            </w:rPr>
            <m:t>=</m:t>
          </m:r>
          <m:r>
            <m:rPr>
              <m:sty m:val="p"/>
            </m:rPr>
            <w:rPr>
              <w:color w:val="000000"/>
              <w:sz w:val="21"/>
            </w:rPr>
            <m:t xml:space="preserve"> </m:t>
          </m:r>
          <m:r>
            <m:rPr>
              <m:sty m:val="i"/>
            </m:rPr>
            <w:rPr>
              <w:color w:val="000000"/>
              <w:sz w:val="21"/>
            </w:rPr>
            <m:t>m</m:t>
          </m:r>
          <m:r>
            <m:rPr>
              <m:sty m:val="i"/>
            </m:rPr>
            <w:rPr>
              <w:color w:val="000000"/>
              <w:sz w:val="21"/>
            </w:rPr>
            <m:t>a</m:t>
          </m:r>
          <m:r>
            <m:rPr>
              <m:sty m:val="i"/>
            </m:rPr>
            <w:rPr>
              <w:color w:val="000000"/>
              <w:sz w:val="21"/>
            </w:rPr>
            <m:t>x</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i"/>
                </m:rPr>
                <w:rPr>
                  <w:color w:val="000000"/>
                  <w:sz w:val="21"/>
                </w:rPr>
                <m:t>u</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i"/>
                </m:rPr>
                <w:rPr>
                  <w:color w:val="000000"/>
                  <w:sz w:val="21"/>
                </w:rPr>
                <m:t>u</m:t>
              </m:r>
              <m:r>
                <m:rPr>
                  <m:sty m:val="p"/>
                </m:rPr>
                <w:rPr>
                  <w:color w:val="000000"/>
                  <w:sz w:val="21"/>
                </w:rPr>
                <m:t>+</m:t>
              </m:r>
              <m:r>
                <m:rPr>
                  <m:sty m:val="p"/>
                </m:rPr>
                <w:rPr>
                  <w:color w:val="000000"/>
                  <w:sz w:val="21"/>
                </w:rPr>
                <m:t>1</m:t>
              </m:r>
              <m:r>
                <m:rPr>
                  <m:sty m:val="p"/>
                </m:rPr>
                <w:rPr>
                  <w:color w:val="000000"/>
                  <w:sz w:val="21"/>
                </w:rPr>
                <m:t>)</m:t>
              </m:r>
            </m:sup>
          </m:sSubSup>
        </m:oMath>
      </m:oMathPara>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s</m:t>
              </m:r>
            </m:e>
            <m:sub>
              <m:r>
                <m:rPr>
                  <m:sty m:val="p"/>
                </m:rPr>
                <w:rPr>
                  <w:color w:val="000000"/>
                  <w:sz w:val="21"/>
                </w:rPr>
                <m:t>2</m:t>
              </m:r>
            </m:sub>
          </m:sSub>
          <m:r>
            <m:rPr>
              <m:sty m:val="p"/>
            </m:rPr>
            <w:rPr>
              <w:color w:val="000000"/>
              <w:sz w:val="21"/>
            </w:rPr>
            <m:t>=</m:t>
          </m:r>
          <m:r>
            <m:rPr>
              <m:sty m:val="p"/>
            </m:rPr>
            <w:rPr>
              <w:color w:val="000000"/>
              <w:sz w:val="21"/>
            </w:rPr>
            <m:t xml:space="preserve"> </m:t>
          </m:r>
          <m:r>
            <m:rPr>
              <m:sty m:val="i"/>
            </m:rPr>
            <w:rPr>
              <w:color w:val="000000"/>
              <w:sz w:val="21"/>
            </w:rPr>
            <m:t>m</m:t>
          </m:r>
          <m:r>
            <m:rPr>
              <m:sty m:val="i"/>
            </m:rPr>
            <w:rPr>
              <w:color w:val="000000"/>
              <w:sz w:val="21"/>
            </w:rPr>
            <m:t>i</m:t>
          </m:r>
          <m:r>
            <m:rPr>
              <m:sty m:val="i"/>
            </m:rPr>
            <w:rPr>
              <w:color w:val="000000"/>
              <w:sz w:val="21"/>
            </w:rPr>
            <m:t>n</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i"/>
                </m:rPr>
                <w:rPr>
                  <w:color w:val="000000"/>
                  <w:sz w:val="21"/>
                </w:rPr>
                <m:t>u</m:t>
              </m:r>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i"/>
                </m:rPr>
                <w:rPr>
                  <w:color w:val="000000"/>
                  <w:sz w:val="21"/>
                </w:rPr>
                <m:t>u</m:t>
              </m:r>
              <m:r>
                <m:rPr>
                  <m:sty m:val="p"/>
                </m:rPr>
                <w:rPr>
                  <w:color w:val="000000"/>
                  <w:sz w:val="21"/>
                </w:rPr>
                <m:t>)</m:t>
              </m:r>
            </m:sup>
          </m:sSubSup>
        </m:oMath>
      </m:oMathPara>
    </w:p>
    <w:p>
      <w:pPr>
        <w:spacing w:line="360" w:after="210" w:lineRule="auto"/>
        <w:ind w:left="540"/>
      </w:pPr>
      <w:r>
        <w:rPr>
          <w:rFonts w:eastAsia="source serif 4" w:cs="source serif 4" w:ascii="source serif 4" w:hAnsi="source serif 4"/>
          <w:b/>
          <w:color w:val="000000"/>
          <w:sz w:val="21"/>
        </w:rPr>
        <w:t xml:space="preserve">Caso II:</w:t>
      </w:r>
      <w:r>
        <w:rPr>
          <w:rFonts w:eastAsia="source serif 4" w:cs="source serif 4" w:ascii="source serif 4" w:hAnsi="source serif 4"/>
          <w:color w:val="000000"/>
          <w:sz w:val="21"/>
        </w:rPr>
        <w:t xml:space="preserve"> Si </w:t>
      </w:r>
      <m:oMath>
        <m:r>
          <m:rPr>
            <m:sty m:val="i"/>
          </m:rPr>
          <w:rPr>
            <w:color w:val="000000"/>
            <w:sz w:val="21"/>
          </w:rPr>
          <m:t>u</m:t>
        </m:r>
        <m:r>
          <m:rPr>
            <m:sty m:val="p"/>
          </m:rPr>
          <w:rPr>
            <w:color w:val="000000"/>
            <w:sz w:val="21"/>
          </w:rPr>
          <m:t>=</m:t>
        </m:r>
        <m:r>
          <m:rPr>
            <m:sty m:val="p"/>
          </m:rPr>
          <w:rPr>
            <w:color w:val="000000"/>
            <w:sz w:val="21"/>
          </w:rPr>
          <m:t>0</m:t>
        </m:r>
      </m:oMath>
      <w:r>
        <w:rPr>
          <w:rFonts w:eastAsia="source serif 4" w:cs="source serif 4" w:ascii="source serif 4" w:hAnsi="source serif 4"/>
          <w:color w:val="000000"/>
          <w:sz w:val="21"/>
        </w:rPr>
        <w:t xml:space="preserve">:</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s</m:t>
              </m:r>
            </m:e>
            <m:sub>
              <m:r>
                <m:rPr>
                  <m:sty m:val="p"/>
                </m:rPr>
                <w:rPr>
                  <w:color w:val="000000"/>
                  <w:sz w:val="21"/>
                </w:rPr>
                <m:t>1</m:t>
              </m:r>
            </m:sub>
          </m:sSub>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v</m:t>
              </m:r>
            </m:sub>
            <m:sup>
              <m:r>
                <m:rPr>
                  <m:sty m:val="p"/>
                </m:rPr>
                <w:rPr>
                  <w:color w:val="000000"/>
                  <w:sz w:val="21"/>
                </w:rPr>
                <m:t>(</m:t>
              </m:r>
              <m:r>
                <m:rPr>
                  <m:sty m:val="p"/>
                </m:rPr>
                <w:rPr>
                  <w:color w:val="000000"/>
                  <w:sz w:val="21"/>
                </w:rPr>
                <m:t>1</m:t>
              </m:r>
              <m:r>
                <m:rPr>
                  <m:sty m:val="p"/>
                </m:rPr>
                <w:rPr>
                  <w:color w:val="000000"/>
                  <w:sz w:val="21"/>
                </w:rPr>
                <m:t>)</m:t>
              </m:r>
            </m:sup>
          </m:sSubSup>
        </m:oMath>
      </m:oMathPara>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s</m:t>
              </m:r>
            </m:e>
            <m:sub>
              <m:r>
                <m:rPr>
                  <m:sty m:val="p"/>
                </m:rPr>
                <w:rPr>
                  <w:color w:val="000000"/>
                  <w:sz w:val="21"/>
                </w:rPr>
                <m:t>2</m:t>
              </m:r>
            </m:sub>
          </m:sSub>
          <m:r>
            <m:rPr>
              <m:sty m:val="p"/>
            </m:rPr>
            <w:rPr>
              <w:color w:val="000000"/>
              <w:sz w:val="21"/>
            </w:rPr>
            <m:t>=</m:t>
          </m:r>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c</m:t>
              </m:r>
            </m:sub>
            <m:sup>
              <m:r>
                <m:rPr>
                  <m:sty m:val="p"/>
                </m:rPr>
                <w:rPr>
                  <w:color w:val="000000"/>
                  <w:sz w:val="21"/>
                </w:rPr>
                <m:t>(</m:t>
              </m:r>
              <m:r>
                <m:rPr>
                  <m:sty m:val="p"/>
                </m:rPr>
                <w:rPr>
                  <w:color w:val="000000"/>
                  <w:sz w:val="21"/>
                </w:rPr>
                <m:t>1</m:t>
              </m:r>
              <m:r>
                <m:rPr>
                  <m:sty m:val="p"/>
                </m:rPr>
                <w:rPr>
                  <w:color w:val="000000"/>
                  <w:sz w:val="21"/>
                </w:rPr>
                <m:t>)</m:t>
              </m:r>
            </m:sup>
          </m:sSubSup>
        </m:oMath>
      </m:oMathPara>
    </w:p>
    <w:p>
      <w:pPr>
        <w:spacing w:line="360" w:after="210" w:lineRule="auto"/>
        <w:ind w:left="540"/>
      </w:pPr>
      <w:r>
        <w:rPr>
          <w:rFonts w:eastAsia="source serif 4" w:cs="source serif 4" w:ascii="source serif 4" w:hAnsi="source serif 4"/>
          <w:color w:val="000000"/>
          <w:sz w:val="21"/>
        </w:rPr>
        <w:t xml:space="preserve">e) El tipo de cambio de equilibrio para cada período es:</w:t>
      </w:r>
    </w:p>
    <w:p>
      <w:pPr>
        <w:spacing w:line="360" w:after="210" w:lineRule="auto"/>
        <w:ind w:left="540"/>
      </w:pPr>
      <m:oMathPara>
        <m:oMath>
          <m:r>
            <m:rPr>
              <m:sty m:val="i"/>
            </m:rPr>
            <w:rPr>
              <w:color w:val="000000"/>
              <w:sz w:val="21"/>
            </w:rPr>
            <m:t>T</m:t>
          </m:r>
          <m:r>
            <m:rPr>
              <m:sty m:val="i"/>
            </m:rPr>
            <w:rPr>
              <w:color w:val="000000"/>
              <w:sz w:val="21"/>
            </w:rPr>
            <m:t>C</m:t>
          </m:r>
          <m:r>
            <m:rPr>
              <m:sty m:val="p"/>
            </m:rPr>
            <w:rPr>
              <w:color w:val="000000"/>
              <w:sz w:val="21"/>
            </w:rPr>
            <m:t>_</m:t>
          </m:r>
          <m:r>
            <m:rPr>
              <m:sty m:val="i"/>
            </m:rPr>
            <w:rPr>
              <w:color w:val="000000"/>
              <w:sz w:val="21"/>
            </w:rPr>
            <m:t>e</m:t>
          </m:r>
          <m:r>
            <m:rPr>
              <m:sty m:val="i"/>
            </m:rPr>
            <w:rPr>
              <w:color w:val="000000"/>
              <w:sz w:val="21"/>
            </w:rPr>
            <m:t>q</m:t>
          </m:r>
          <m:r>
            <m:rPr>
              <m:sty m:val="i"/>
            </m:rPr>
            <w:rPr>
              <w:color w:val="000000"/>
              <w:sz w:val="21"/>
            </w:rPr>
            <m:t>u</m:t>
          </m:r>
          <m:r>
            <m:rPr>
              <m:sty m:val="i"/>
            </m:rPr>
            <w:rPr>
              <w:color w:val="000000"/>
              <w:sz w:val="21"/>
            </w:rPr>
            <m:t>i</m:t>
          </m:r>
          <m:r>
            <m:rPr>
              <m:sty m:val="i"/>
            </m:rPr>
            <w:rPr>
              <w:color w:val="000000"/>
              <w:sz w:val="21"/>
            </w:rPr>
            <m:t>l</m:t>
          </m:r>
          <m:r>
            <m:rPr>
              <m:sty m:val="i"/>
            </m:rPr>
            <w:rPr>
              <w:color w:val="000000"/>
              <w:sz w:val="21"/>
            </w:rPr>
            <m:t>i</m:t>
          </m:r>
          <m:r>
            <m:rPr>
              <m:sty m:val="i"/>
            </m:rPr>
            <w:rPr>
              <w:color w:val="000000"/>
              <w:sz w:val="21"/>
            </w:rPr>
            <m:t>b</m:t>
          </m:r>
          <m:r>
            <m:rPr>
              <m:sty m:val="i"/>
            </m:rPr>
            <w:rPr>
              <w:color w:val="000000"/>
              <w:sz w:val="21"/>
            </w:rPr>
            <m:t>r</m:t>
          </m:r>
          <m:r>
            <m:rPr>
              <m:sty m:val="i"/>
            </m:rPr>
            <w:rPr>
              <w:color w:val="000000"/>
              <w:sz w:val="21"/>
            </w:rPr>
            <m:t>i</m:t>
          </m:r>
          <m:r>
            <m:rPr>
              <m:sty m:val="i"/>
            </m:rPr>
            <w:rPr>
              <w:color w:val="000000"/>
              <w:sz w:val="21"/>
            </w:rPr>
            <m:t>o</m:t>
          </m:r>
          <m:r>
            <m:rPr>
              <m:sty m:val="p"/>
            </m:rPr>
            <w:rPr>
              <w:color w:val="000000"/>
              <w:sz w:val="21"/>
            </w:rPr>
            <m:t>=</m:t>
          </m:r>
          <m:r>
            <m:rPr>
              <m:sty m:val="p"/>
            </m:rPr>
            <w:rPr>
              <w:color w:val="000000"/>
              <w:sz w:val="21"/>
            </w:rPr>
            <m:t xml:space="preserve"> </m:t>
          </m:r>
          <m:r>
            <m:rPr>
              <m:sty m:val="i"/>
            </m:rPr>
            <w:rPr>
              <w:color w:val="000000"/>
              <w:sz w:val="21"/>
            </w:rPr>
            <m:t>f</m:t>
          </m:r>
          <m:r>
            <m:rPr>
              <m:sty m:val="i"/>
            </m:rPr>
            <w:rPr>
              <w:color w:val="000000"/>
              <w:sz w:val="21"/>
            </w:rPr>
            <m:t>r</m:t>
          </m:r>
          <m:r>
            <m:rPr>
              <m:sty m:val="i"/>
            </m:rPr>
            <w:rPr>
              <w:color w:val="000000"/>
              <w:sz w:val="21"/>
            </w:rPr>
            <m:t>a</m:t>
          </m:r>
          <m:r>
            <m:rPr>
              <m:sty m:val="i"/>
            </m:rPr>
            <w:rPr>
              <w:color w:val="000000"/>
              <w:sz w:val="21"/>
            </w:rPr>
            <m:t>c</m:t>
          </m:r>
          <m:sSub>
            <m:sSubPr>
              <m:ctrlPr>
                <w:rPr>
                  <w:rFonts w:ascii="Cambria Math" w:hAnsi="Cambria Math"/>
                  <w:color w:val="000000"/>
                  <w:sz w:val="21"/>
                </w:rPr>
              </m:ctrlPr>
            </m:sSubPr>
            <m:e>
              <m:r>
                <m:rPr>
                  <m:sty m:val="i"/>
                </m:rPr>
                <w:rPr>
                  <w:color w:val="000000"/>
                  <w:sz w:val="21"/>
                </w:rPr>
                <m:t>s</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sty m:val="p"/>
                </m:rPr>
                <w:rPr>
                  <w:color w:val="000000"/>
                  <w:sz w:val="21"/>
                </w:rPr>
                <m:t>2</m:t>
              </m:r>
            </m:sub>
          </m:sSub>
          <m:r>
            <m:rPr>
              <m:sty m:val="p"/>
            </m:rPr>
            <w:rPr>
              <w:color w:val="000000"/>
              <w:sz w:val="21"/>
            </w:rPr>
            <m:t>2</m:t>
          </m:r>
        </m:oMath>
      </m:oMathPara>
    </w:p>
    <w:p>
      <w:pPr>
        <w:numPr>
          <w:ilvl w:val="0"/>
          <w:numId w:val="1"/>
        </w:numPr>
        <w:spacing w:line="360" w:after="210" w:lineRule="auto"/>
      </w:pPr>
      <w:r>
        <w:rPr>
          <w:rFonts w:eastAsia="source serif 4" w:cs="source serif 4" w:ascii="source serif 4" w:hAnsi="source serif 4"/>
          <w:b/>
          <w:color w:val="000000"/>
          <w:sz w:val="21"/>
        </w:rPr>
        <w:t xml:space="preserve">TCR diario:</w:t>
      </w:r>
    </w:p>
    <w:p>
      <w:pPr>
        <w:numPr>
          <w:ilvl w:val="1"/>
          <w:numId w:val="1"/>
        </w:numPr>
        <w:spacing w:line="360" w:before="105" w:after="105" w:lineRule="auto"/>
      </w:pPr>
      <w:r>
        <w:rPr>
          <w:rFonts w:eastAsia="source serif 4" w:cs="source serif 4" w:ascii="source serif 4" w:hAnsi="source serif 4"/>
          <w:color w:val="000000"/>
          <w:sz w:val="21"/>
        </w:rPr>
        <w:t xml:space="preserve">El TCR es el promedio aritmético de los tres tipos de cambio de equilibrio de las rondas.</w:t>
      </w:r>
    </w:p>
    <w:p>
      <w:pPr>
        <w:numPr>
          <w:ilvl w:val="1"/>
          <w:numId w:val="1"/>
        </w:numPr>
        <w:spacing w:line="360" w:before="105" w:after="105" w:lineRule="auto"/>
      </w:pPr>
      <w:r>
        <w:rPr>
          <w:rFonts w:eastAsia="source serif 4" w:cs="source serif 4" w:ascii="source serif 4" w:hAnsi="source serif 4"/>
          <w:color w:val="000000"/>
          <w:sz w:val="21"/>
        </w:rPr>
        <w:t xml:space="preserve">Se cierra a cuatro decimales.</w:t>
      </w:r>
    </w:p>
    <w:p>
      <w:pPr>
        <w:numPr>
          <w:ilvl w:val="0"/>
          <w:numId w:val="1"/>
        </w:numPr>
        <w:spacing w:line="360" w:after="210" w:lineRule="auto"/>
      </w:pPr>
      <w:r>
        <w:rPr>
          <w:rFonts w:eastAsia="source serif 4" w:cs="source serif 4" w:ascii="source serif 4" w:hAnsi="source serif 4"/>
          <w:b/>
          <w:color w:val="000000"/>
          <w:sz w:val="21"/>
        </w:rPr>
        <w:t xml:space="preserve">Publicación:</w:t>
      </w:r>
    </w:p>
    <w:p>
      <w:pPr>
        <w:numPr>
          <w:ilvl w:val="1"/>
          <w:numId w:val="1"/>
        </w:numPr>
        <w:spacing w:line="360" w:before="105" w:after="105" w:lineRule="auto"/>
      </w:pPr>
      <w:r>
        <w:rPr>
          <w:rFonts w:eastAsia="source serif 4" w:cs="source serif 4" w:ascii="source serif 4" w:hAnsi="source serif 4"/>
          <w:color w:val="000000"/>
          <w:sz w:val="21"/>
        </w:rPr>
        <w:t xml:space="preserve">El BCRA informa el resultado mediante comunicado de prensa.</w:t>
      </w:r>
    </w:p>
    <w:p>
      <w:pPr>
        <w:numPr>
          <w:ilvl w:val="1"/>
          <w:numId w:val="1"/>
        </w:numPr>
        <w:spacing w:line="360" w:before="105" w:after="105" w:lineRule="auto"/>
      </w:pPr>
      <w:r>
        <w:rPr>
          <w:rFonts w:eastAsia="source serif 4" w:cs="source serif 4" w:ascii="source serif 4" w:hAnsi="source serif 4"/>
          <w:color w:val="000000"/>
          <w:sz w:val="21"/>
        </w:rPr>
        <w:t xml:space="preserve">Se publica en la página institucional el día hábil bancario inmediato siguiente.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2_metodología_2026_en_adelan_48201c"/>
      <w:r>
        <w:rPr>
          <w:rFonts w:eastAsia="source serif 4" w:cs="source serif 4" w:ascii="source serif 4" w:hAnsi="source serif 4"/>
          <w:b/>
          <w:color w:val="000000"/>
          <w:sz w:val="24"/>
        </w:rPr>
        <w:t xml:space="preserve">1.2 Metodología 2026 en adelante (Operaciones Ponderadas)</w:t>
      </w:r>
      <w:bookmarkEnd w:id="3"/>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Proyecto de Modificación Comunicación A 3500 [cite:2][cite:4]</w:t>
      </w:r>
    </w:p>
    <w:p>
      <w:pPr>
        <w:spacing w:line="360" w:after="210" w:lineRule="auto"/>
      </w:pPr>
      <w:r>
        <w:rPr>
          <w:rFonts w:eastAsia="source serif 4" w:cs="source serif 4" w:ascii="source serif 4" w:hAnsi="source serif 4"/>
          <w:b/>
          <w:color w:val="000000"/>
        </w:rPr>
        <w:t xml:space="preserve">Procedimiento:</w:t>
      </w:r>
    </w:p>
    <w:p>
      <w:pPr>
        <w:numPr>
          <w:ilvl w:val="0"/>
          <w:numId w:val="2"/>
        </w:numPr>
        <w:spacing w:line="360" w:after="210" w:lineRule="auto"/>
      </w:pPr>
      <w:r>
        <w:rPr>
          <w:rFonts w:eastAsia="source serif 4" w:cs="source serif 4" w:ascii="source serif 4" w:hAnsi="source serif 4"/>
          <w:b/>
          <w:color w:val="000000"/>
          <w:sz w:val="21"/>
        </w:rPr>
        <w:t xml:space="preserve">Selección de Entidades Relevantes:</w:t>
      </w:r>
    </w:p>
    <w:p>
      <w:pPr>
        <w:numPr>
          <w:ilvl w:val="1"/>
          <w:numId w:val="2"/>
        </w:numPr>
        <w:spacing w:line="360" w:before="105" w:after="105" w:lineRule="auto"/>
      </w:pPr>
      <w:r>
        <w:rPr>
          <w:rFonts w:eastAsia="source serif 4" w:cs="source serif 4" w:ascii="source serif 4" w:hAnsi="source serif 4"/>
          <w:color w:val="000000"/>
          <w:sz w:val="21"/>
        </w:rPr>
        <w:t xml:space="preserve">El BCRA determina trimestralmente las 10 entidades financieras con mayor volumen de operaciones de compra y venta contado de dólares contra pesos.</w:t>
      </w:r>
    </w:p>
    <w:p>
      <w:pPr>
        <w:numPr>
          <w:ilvl w:val="0"/>
          <w:numId w:val="2"/>
        </w:numPr>
        <w:spacing w:line="360" w:after="210" w:lineRule="auto"/>
      </w:pPr>
      <w:r>
        <w:rPr>
          <w:rFonts w:eastAsia="source serif 4" w:cs="source serif 4" w:ascii="source serif 4" w:hAnsi="source serif 4"/>
          <w:b/>
          <w:color w:val="000000"/>
          <w:sz w:val="21"/>
        </w:rPr>
        <w:t xml:space="preserve">Suministro de información:</w:t>
      </w:r>
    </w:p>
    <w:p>
      <w:pPr>
        <w:numPr>
          <w:ilvl w:val="1"/>
          <w:numId w:val="2"/>
        </w:numPr>
        <w:spacing w:line="360" w:before="105" w:after="105" w:lineRule="auto"/>
      </w:pPr>
      <w:r>
        <w:rPr>
          <w:rFonts w:eastAsia="source serif 4" w:cs="source serif 4" w:ascii="source serif 4" w:hAnsi="source serif 4"/>
          <w:color w:val="000000"/>
          <w:sz w:val="21"/>
        </w:rPr>
        <w:t xml:space="preserve">Las Entidades Relevantes suministran diariamente (15:00–15:45 hs):</w:t>
      </w:r>
    </w:p>
    <w:p>
      <w:pPr>
        <w:numPr>
          <w:ilvl w:val="2"/>
          <w:numId w:val="2"/>
        </w:numPr>
        <w:spacing w:line="360" w:before="105" w:after="105" w:lineRule="auto"/>
      </w:pPr>
      <w:r>
        <w:rPr>
          <w:rFonts w:eastAsia="source serif 4" w:cs="source serif 4" w:ascii="source serif 4" w:hAnsi="source serif 4"/>
          <w:color w:val="000000"/>
          <w:sz w:val="21"/>
        </w:rPr>
        <w:t xml:space="preserve">Tipo de cambio comprador promedio ponderado por monto (10:00–15:00 hs).</w:t>
      </w:r>
    </w:p>
    <w:p>
      <w:pPr>
        <w:numPr>
          <w:ilvl w:val="2"/>
          <w:numId w:val="2"/>
        </w:numPr>
        <w:spacing w:line="360" w:before="105" w:after="105" w:lineRule="auto"/>
      </w:pPr>
      <w:r>
        <w:rPr>
          <w:rFonts w:eastAsia="source serif 4" w:cs="source serif 4" w:ascii="source serif 4" w:hAnsi="source serif 4"/>
          <w:color w:val="000000"/>
          <w:sz w:val="21"/>
        </w:rPr>
        <w:t xml:space="preserve">Volumen total comprado.</w:t>
      </w:r>
    </w:p>
    <w:p>
      <w:pPr>
        <w:numPr>
          <w:ilvl w:val="2"/>
          <w:numId w:val="2"/>
        </w:numPr>
        <w:spacing w:line="360" w:before="105" w:after="105" w:lineRule="auto"/>
      </w:pPr>
      <w:r>
        <w:rPr>
          <w:rFonts w:eastAsia="source serif 4" w:cs="source serif 4" w:ascii="source serif 4" w:hAnsi="source serif 4"/>
          <w:color w:val="000000"/>
          <w:sz w:val="21"/>
        </w:rPr>
        <w:t xml:space="preserve">Tipo de cambio vendedor promedio ponderado por monto.</w:t>
      </w:r>
    </w:p>
    <w:p>
      <w:pPr>
        <w:numPr>
          <w:ilvl w:val="2"/>
          <w:numId w:val="2"/>
        </w:numPr>
        <w:spacing w:line="360" w:before="105" w:after="105" w:lineRule="auto"/>
      </w:pPr>
      <w:r>
        <w:rPr>
          <w:rFonts w:eastAsia="source serif 4" w:cs="source serif 4" w:ascii="source serif 4" w:hAnsi="source serif 4"/>
          <w:color w:val="000000"/>
          <w:sz w:val="21"/>
        </w:rPr>
        <w:t xml:space="preserve">Volumen total vendido.</w:t>
      </w:r>
    </w:p>
    <w:p>
      <w:pPr>
        <w:numPr>
          <w:ilvl w:val="0"/>
          <w:numId w:val="2"/>
        </w:numPr>
        <w:spacing w:line="360" w:after="210" w:lineRule="auto"/>
      </w:pPr>
      <w:r>
        <w:rPr>
          <w:rFonts w:eastAsia="source serif 4" w:cs="source serif 4" w:ascii="source serif 4" w:hAnsi="source serif 4"/>
          <w:b/>
          <w:color w:val="000000"/>
          <w:sz w:val="21"/>
        </w:rPr>
        <w:t xml:space="preserve">Cálculo del TCR:</w:t>
      </w:r>
    </w:p>
    <w:p>
      <w:pPr>
        <w:spacing w:line="360" w:after="210" w:lineRule="auto"/>
        <w:ind w:left="540"/>
      </w:pPr>
      <m:oMathPara>
        <m:oMath>
          <m:r>
            <m:rPr>
              <m:sty m:val="i"/>
            </m:rPr>
            <w:rPr>
              <w:color w:val="000000"/>
              <w:sz w:val="21"/>
            </w:rPr>
            <m:t>T</m:t>
          </m:r>
          <m:r>
            <m:rPr>
              <m:sty m:val="i"/>
            </m:rPr>
            <w:rPr>
              <w:color w:val="000000"/>
              <w:sz w:val="21"/>
            </w:rPr>
            <m:t>C</m:t>
          </m:r>
          <m:r>
            <m:rPr>
              <m:sty m:val="i"/>
            </m:rPr>
            <w:rPr>
              <w:color w:val="000000"/>
              <w:sz w:val="21"/>
            </w:rPr>
            <m:t>R</m:t>
          </m:r>
          <m:r>
            <m:rPr>
              <m:sty m:val="p"/>
            </m:rPr>
            <w:rPr>
              <w:color w:val="000000"/>
              <w:sz w:val="21"/>
            </w:rPr>
            <m:t>=</m:t>
          </m:r>
          <m:r>
            <m:rPr>
              <m:sty m:val="p"/>
            </m:rPr>
            <w:rPr>
              <w:color w:val="000000"/>
              <w:sz w:val="21"/>
            </w:rPr>
            <m:t xml:space="preserve"> </m:t>
          </m:r>
          <m:r>
            <m:rPr>
              <m:sty m:val="i"/>
            </m:rPr>
            <w:rPr>
              <w:color w:val="000000"/>
              <w:sz w:val="21"/>
            </w:rPr>
            <m:t>f</m:t>
          </m:r>
          <m:r>
            <m:rPr>
              <m:sty m:val="i"/>
            </m:rPr>
            <w:rPr>
              <w:color w:val="000000"/>
              <w:sz w:val="21"/>
            </w:rPr>
            <m:t>r</m:t>
          </m:r>
          <m:r>
            <m:rPr>
              <m:sty m:val="i"/>
            </m:rPr>
            <w:rPr>
              <w:color w:val="000000"/>
              <w:sz w:val="21"/>
            </w:rPr>
            <m:t>a</m:t>
          </m:r>
          <m:r>
            <m:rPr>
              <m:sty m:val="i"/>
            </m:rPr>
            <w:rPr>
              <w:color w:val="000000"/>
              <w:sz w:val="21"/>
            </w:rPr>
            <m:t>c</m:t>
          </m:r>
          <m:r>
            <m:rPr>
              <m:sty m:val="p"/>
            </m:rPr>
            <w:rPr>
              <w:color w:val="000000"/>
              <w:sz w:val="21"/>
            </w:rPr>
            <m:t xml:space="preserve"> </m:t>
          </m:r>
          <m:r>
            <m:rPr>
              <m:sty m:val="i"/>
            </m:rPr>
            <w:rPr>
              <w:color w:val="000000"/>
              <w:sz w:val="21"/>
            </w:rPr>
            <m:t>s</m:t>
          </m:r>
          <m:r>
            <m:rPr>
              <m:sty m:val="i"/>
            </m:rPr>
            <w:rPr>
              <w:color w:val="000000"/>
              <w:sz w:val="21"/>
            </w:rPr>
            <m:t>u</m:t>
          </m:r>
          <m:r>
            <m:rPr>
              <m:sty m:val="i"/>
            </m:rPr>
            <w:rPr>
              <w:color w:val="000000"/>
              <w:sz w:val="21"/>
            </w:rPr>
            <m:t>m</m:t>
          </m:r>
          <m:r>
            <m:rPr>
              <m:sty m:val="p"/>
            </m:rPr>
            <w:rPr>
              <w:color w:val="000000"/>
              <w:sz w:val="21"/>
            </w:rPr>
            <m:t>_</m:t>
          </m:r>
          <m:sSup>
            <m:sSupPr>
              <m:ctrlPr>
                <w:rPr>
                  <w:rFonts w:ascii="Cambria Math" w:hAnsi="Cambria Math"/>
                  <w:color w:val="000000"/>
                  <w:sz w:val="21"/>
                </w:rPr>
              </m:ctrlPr>
            </m:sSupPr>
            <m:e>
              <m:r>
                <m:rPr>
                  <m:sty m:val="i"/>
                </m:rPr>
                <w:rPr>
                  <w:color w:val="000000"/>
                  <w:sz w:val="21"/>
                </w:rPr>
                <m:t>j</m:t>
              </m:r>
              <m:r>
                <m:rPr>
                  <m:sty m:val="p"/>
                </m:rPr>
                <w:rPr>
                  <w:color w:val="000000"/>
                  <w:sz w:val="21"/>
                </w:rPr>
                <m:t>=</m:t>
              </m:r>
              <m:r>
                <m:rPr>
                  <m:sty m:val="p"/>
                </m:rPr>
                <w:rPr>
                  <w:color w:val="000000"/>
                  <w:sz w:val="21"/>
                </w:rPr>
                <m:t>1</m:t>
              </m:r>
            </m:e>
            <m:sup>
              <m:r>
                <m:rPr>
                  <m:sty m:val="p"/>
                </m:rPr>
                <w:rPr>
                  <w:color w:val="000000"/>
                  <w:sz w:val="21"/>
                </w:rPr>
                <m:t>10</m:t>
              </m:r>
            </m:sup>
          </m:sSup>
          <m:r>
            <m:rPr>
              <m:sty m:val="p"/>
            </m:rPr>
            <w:rPr>
              <w:color w:val="000000"/>
              <w:sz w:val="21"/>
            </w:rPr>
            <m:t>(</m:t>
          </m:r>
          <m:r>
            <m:rPr>
              <m:sty m:val="i"/>
            </m:rPr>
            <w:rPr>
              <w:color w:val="000000"/>
              <w:sz w:val="21"/>
            </w:rPr>
            <m:t>T</m:t>
          </m:r>
          <m:r>
            <m:rPr>
              <m:sty m:val="i"/>
            </m:rPr>
            <w:rPr>
              <w:color w:val="000000"/>
              <w:sz w:val="21"/>
            </w:rPr>
            <m:t>C</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r>
            <m:rPr>
              <m:sty m:val="p"/>
            </m:rPr>
            <w:rPr>
              <w:color w:val="000000"/>
              <w:sz w:val="21"/>
            </w:rPr>
            <m:t xml:space="preserve"> </m:t>
          </m:r>
          <m:r>
            <m:rPr>
              <m:sty m:val="i"/>
            </m:rPr>
            <w:rPr>
              <w:color w:val="000000"/>
              <w:sz w:val="21"/>
            </w:rPr>
            <m:t>t</m:t>
          </m:r>
          <m:r>
            <m:rPr>
              <m:sty m:val="i"/>
            </m:rPr>
            <w:rPr>
              <w:color w:val="000000"/>
              <w:sz w:val="21"/>
            </w:rPr>
            <m:t>i</m:t>
          </m:r>
          <m:r>
            <m:rPr>
              <m:sty m:val="i"/>
            </m:rPr>
            <w:rPr>
              <w:color w:val="000000"/>
              <w:sz w:val="21"/>
            </w:rPr>
            <m:t>m</m:t>
          </m:r>
          <m:r>
            <m:rPr>
              <m:sty m:val="i"/>
            </m:rPr>
            <w:rPr>
              <w:color w:val="000000"/>
              <w:sz w:val="21"/>
            </w:rPr>
            <m:t>e</m:t>
          </m:r>
          <m:r>
            <m:rPr>
              <m:sty m:val="i"/>
            </m:rPr>
            <w:rPr>
              <w:color w:val="000000"/>
              <w:sz w:val="21"/>
            </w:rPr>
            <m:t>s</m:t>
          </m:r>
          <m:r>
            <m:rPr>
              <m:sty m:val="i"/>
            </m:rPr>
            <w:rPr>
              <w:color w:val="000000"/>
              <w:sz w:val="21"/>
            </w:rPr>
            <m:t>M</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r>
            <m:rPr>
              <m:sty m:val="p"/>
            </m:rPr>
            <w:rPr>
              <w:color w:val="000000"/>
              <w:sz w:val="21"/>
            </w:rPr>
            <m:t>+</m:t>
          </m:r>
          <m:r>
            <m:rPr>
              <m:sty m:val="i"/>
            </m:rPr>
            <w:rPr>
              <w:color w:val="000000"/>
              <w:sz w:val="21"/>
            </w:rPr>
            <m:t>T</m:t>
          </m:r>
          <m:r>
            <m:rPr>
              <m:sty m:val="i"/>
            </m:rPr>
            <w:rPr>
              <w:color w:val="000000"/>
              <w:sz w:val="21"/>
            </w:rPr>
            <m:t>C</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r>
            <m:rPr>
              <m:sty m:val="p"/>
            </m:rPr>
            <w:rPr>
              <w:color w:val="000000"/>
              <w:sz w:val="21"/>
            </w:rPr>
            <m:t xml:space="preserve"> </m:t>
          </m:r>
          <m:r>
            <m:rPr>
              <m:sty m:val="i"/>
            </m:rPr>
            <w:rPr>
              <w:color w:val="000000"/>
              <w:sz w:val="21"/>
            </w:rPr>
            <m:t>t</m:t>
          </m:r>
          <m:r>
            <m:rPr>
              <m:sty m:val="i"/>
            </m:rPr>
            <w:rPr>
              <w:color w:val="000000"/>
              <w:sz w:val="21"/>
            </w:rPr>
            <m:t>i</m:t>
          </m:r>
          <m:r>
            <m:rPr>
              <m:sty m:val="i"/>
            </m:rPr>
            <w:rPr>
              <w:color w:val="000000"/>
              <w:sz w:val="21"/>
            </w:rPr>
            <m:t>m</m:t>
          </m:r>
          <m:r>
            <m:rPr>
              <m:sty m:val="i"/>
            </m:rPr>
            <w:rPr>
              <w:color w:val="000000"/>
              <w:sz w:val="21"/>
            </w:rPr>
            <m:t>e</m:t>
          </m:r>
          <m:r>
            <m:rPr>
              <m:sty m:val="i"/>
            </m:rPr>
            <w:rPr>
              <w:color w:val="000000"/>
              <w:sz w:val="21"/>
            </w:rPr>
            <m:t>s</m:t>
          </m:r>
          <m:r>
            <m:rPr>
              <m:sty m:val="i"/>
            </m:rPr>
            <w:rPr>
              <w:color w:val="000000"/>
              <w:sz w:val="21"/>
            </w:rPr>
            <m:t>M</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r>
            <m:rPr>
              <m:sty m:val="p"/>
            </m:rPr>
            <w:rPr>
              <w:color w:val="000000"/>
              <w:sz w:val="21"/>
            </w:rPr>
            <m:t>)</m:t>
          </m:r>
          <m:r>
            <m:rPr>
              <m:sty m:val="p"/>
            </m:rPr>
            <w:rPr>
              <w:color w:val="000000"/>
              <w:sz w:val="21"/>
            </w:rPr>
            <m:t xml:space="preserve"> </m:t>
          </m:r>
          <m:r>
            <m:rPr>
              <m:sty m:val="i"/>
            </m:rPr>
            <w:rPr>
              <w:color w:val="000000"/>
              <w:sz w:val="21"/>
            </w:rPr>
            <m:t>s</m:t>
          </m:r>
          <m:r>
            <m:rPr>
              <m:sty m:val="i"/>
            </m:rPr>
            <w:rPr>
              <w:color w:val="000000"/>
              <w:sz w:val="21"/>
            </w:rPr>
            <m:t>u</m:t>
          </m:r>
          <m:r>
            <m:rPr>
              <m:sty m:val="i"/>
            </m:rPr>
            <w:rPr>
              <w:color w:val="000000"/>
              <w:sz w:val="21"/>
            </w:rPr>
            <m:t>m</m:t>
          </m:r>
          <m:r>
            <m:rPr>
              <m:sty m:val="p"/>
            </m:rPr>
            <w:rPr>
              <w:color w:val="000000"/>
              <w:sz w:val="21"/>
            </w:rPr>
            <m:t>_</m:t>
          </m:r>
          <m:sSup>
            <m:sSupPr>
              <m:ctrlPr>
                <w:rPr>
                  <w:rFonts w:ascii="Cambria Math" w:hAnsi="Cambria Math"/>
                  <w:color w:val="000000"/>
                  <w:sz w:val="21"/>
                </w:rPr>
              </m:ctrlPr>
            </m:sSupPr>
            <m:e>
              <m:r>
                <m:rPr>
                  <m:sty m:val="i"/>
                </m:rPr>
                <w:rPr>
                  <w:color w:val="000000"/>
                  <w:sz w:val="21"/>
                </w:rPr>
                <m:t>j</m:t>
              </m:r>
              <m:r>
                <m:rPr>
                  <m:sty m:val="p"/>
                </m:rPr>
                <w:rPr>
                  <w:color w:val="000000"/>
                  <w:sz w:val="21"/>
                </w:rPr>
                <m:t>=</m:t>
              </m:r>
              <m:r>
                <m:rPr>
                  <m:sty m:val="p"/>
                </m:rPr>
                <w:rPr>
                  <w:color w:val="000000"/>
                  <w:sz w:val="21"/>
                </w:rPr>
                <m:t>1</m:t>
              </m:r>
            </m:e>
            <m:sup>
              <m:r>
                <m:rPr>
                  <m:sty m:val="p"/>
                </m:rPr>
                <w:rPr>
                  <w:color w:val="000000"/>
                  <w:sz w:val="21"/>
                </w:rPr>
                <m:t>10</m:t>
              </m:r>
            </m:sup>
          </m:sSup>
          <m:r>
            <m:rPr>
              <m:sty m:val="p"/>
            </m:rPr>
            <w:rPr>
              <w:color w:val="000000"/>
              <w:sz w:val="21"/>
            </w:rPr>
            <m:t>(</m:t>
          </m:r>
          <m:r>
            <m:rPr>
              <m:sty m:val="i"/>
            </m:rPr>
            <w:rPr>
              <w:color w:val="000000"/>
              <w:sz w:val="21"/>
            </w:rPr>
            <m:t>M</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r>
            <m:rPr>
              <m:sty m:val="p"/>
            </m:rPr>
            <w:rPr>
              <w:color w:val="000000"/>
              <w:sz w:val="21"/>
            </w:rPr>
            <m:t>+</m:t>
          </m:r>
          <m:r>
            <m:rPr>
              <m:sty m:val="i"/>
            </m:rPr>
            <w:rPr>
              <w:color w:val="000000"/>
              <w:sz w:val="21"/>
            </w:rPr>
            <m:t>M</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r>
            <m:rPr>
              <m:sty m:val="p"/>
            </m:rPr>
            <w:rPr>
              <w:color w:val="000000"/>
              <w:sz w:val="21"/>
            </w:rPr>
            <m:t>)</m:t>
          </m:r>
        </m:oMath>
      </m:oMathPara>
    </w:p>
    <w:p>
      <w:pPr>
        <w:spacing w:line="360" w:after="210" w:lineRule="auto"/>
        <w:ind w:left="540"/>
      </w:pPr>
      <w:r>
        <w:rPr>
          <w:rFonts w:eastAsia="source serif 4" w:cs="source serif 4" w:ascii="source serif 4" w:hAnsi="source serif 4"/>
          <w:color w:val="000000"/>
          <w:sz w:val="21"/>
        </w:rPr>
        <w:t xml:space="preserve">donde:</w:t>
      </w:r>
    </w:p>
    <w:p>
      <w:pPr>
        <w:numPr>
          <w:ilvl w:val="1"/>
          <w:numId w:val="2"/>
        </w:numPr>
        <w:spacing w:line="360" w:before="105" w:after="105" w:lineRule="auto"/>
      </w:pPr>
      <m:oMath>
        <m:r>
          <m:rPr>
            <m:sty m:val="i"/>
          </m:rPr>
          <w:rPr>
            <w:color w:val="000000"/>
            <w:sz w:val="21"/>
          </w:rPr>
          <m:t>T</m:t>
        </m:r>
        <m:r>
          <m:rPr>
            <m:sty m:val="i"/>
          </m:rPr>
          <w:rPr>
            <w:color w:val="000000"/>
            <w:sz w:val="21"/>
          </w:rPr>
          <m:t>C</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oMath>
      <w:r>
        <w:rPr>
          <w:rFonts w:eastAsia="source serif 4" w:cs="source serif 4" w:ascii="source serif 4" w:hAnsi="source serif 4"/>
          <w:color w:val="000000"/>
          <w:sz w:val="21"/>
        </w:rPr>
        <w:t xml:space="preserve"> = Tipo de cambio comprador de la entidad </w:t>
      </w:r>
      <m:oMath>
        <m:r>
          <m:rPr>
            <m:sty m:val="i"/>
          </m:rPr>
          <w:rPr>
            <w:color w:val="000000"/>
            <w:sz w:val="21"/>
          </w:rPr>
          <m:t>j</m:t>
        </m:r>
      </m:oMath>
    </w:p>
    <w:p>
      <w:pPr>
        <w:numPr>
          <w:ilvl w:val="1"/>
          <w:numId w:val="2"/>
        </w:numPr>
        <w:spacing w:line="360" w:before="105" w:after="105" w:lineRule="auto"/>
      </w:pPr>
      <m:oMath>
        <m:r>
          <m:rPr>
            <m:sty m:val="i"/>
          </m:rPr>
          <w:rPr>
            <w:color w:val="000000"/>
            <w:sz w:val="21"/>
          </w:rPr>
          <m:t>M</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oMath>
      <w:r>
        <w:rPr>
          <w:rFonts w:eastAsia="source serif 4" w:cs="source serif 4" w:ascii="source serif 4" w:hAnsi="source serif 4"/>
          <w:color w:val="000000"/>
          <w:sz w:val="21"/>
        </w:rPr>
        <w:t xml:space="preserve"> = Volumen comprado de la entidad </w:t>
      </w:r>
      <m:oMath>
        <m:r>
          <m:rPr>
            <m:sty m:val="i"/>
          </m:rPr>
          <w:rPr>
            <w:color w:val="000000"/>
            <w:sz w:val="21"/>
          </w:rPr>
          <m:t>j</m:t>
        </m:r>
      </m:oMath>
    </w:p>
    <w:p>
      <w:pPr>
        <w:numPr>
          <w:ilvl w:val="1"/>
          <w:numId w:val="2"/>
        </w:numPr>
        <w:spacing w:line="360" w:before="105" w:after="105" w:lineRule="auto"/>
      </w:pPr>
      <m:oMath>
        <m:r>
          <m:rPr>
            <m:sty m:val="i"/>
          </m:rPr>
          <w:rPr>
            <w:color w:val="000000"/>
            <w:sz w:val="21"/>
          </w:rPr>
          <m:t>T</m:t>
        </m:r>
        <m:r>
          <m:rPr>
            <m:sty m:val="i"/>
          </m:rPr>
          <w:rPr>
            <w:color w:val="000000"/>
            <w:sz w:val="21"/>
          </w:rPr>
          <m:t>C</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oMath>
      <w:r>
        <w:rPr>
          <w:rFonts w:eastAsia="source serif 4" w:cs="source serif 4" w:ascii="source serif 4" w:hAnsi="source serif 4"/>
          <w:color w:val="000000"/>
          <w:sz w:val="21"/>
        </w:rPr>
        <w:t xml:space="preserve"> = Tipo de cambio vendedor de la entidad </w:t>
      </w:r>
      <m:oMath>
        <m:r>
          <m:rPr>
            <m:sty m:val="i"/>
          </m:rPr>
          <w:rPr>
            <w:color w:val="000000"/>
            <w:sz w:val="21"/>
          </w:rPr>
          <m:t>j</m:t>
        </m:r>
      </m:oMath>
    </w:p>
    <w:p>
      <w:pPr>
        <w:numPr>
          <w:ilvl w:val="1"/>
          <w:numId w:val="2"/>
        </w:numPr>
        <w:spacing w:line="360" w:before="105" w:after="105" w:lineRule="auto"/>
      </w:pPr>
      <m:oMath>
        <m:r>
          <m:rPr>
            <m:sty m:val="i"/>
          </m:rPr>
          <w:rPr>
            <w:color w:val="000000"/>
            <w:sz w:val="21"/>
          </w:rPr>
          <m:t>M</m:t>
        </m:r>
        <m:sSub>
          <m:sSubPr>
            <m:ctrlPr>
              <w:rPr>
                <w:rFonts w:ascii="Cambria Math" w:hAnsi="Cambria Math"/>
                <w:color w:val="000000"/>
                <w:sz w:val="21"/>
              </w:rPr>
            </m:ctrlPr>
          </m:sSubPr>
          <m:e>
            <m:r>
              <m:rPr>
                <m:sty m:val="i"/>
              </m:rPr>
              <w:rPr>
                <w:color w:val="000000"/>
                <w:sz w:val="21"/>
              </w:rPr>
              <m:t>v</m:t>
            </m:r>
          </m:e>
          <m:sub>
            <m:r>
              <m:rPr>
                <m:sty m:val="i"/>
              </m:rPr>
              <w:rPr>
                <w:color w:val="000000"/>
                <w:sz w:val="21"/>
              </w:rPr>
              <m:t>j</m:t>
            </m:r>
          </m:sub>
        </m:sSub>
      </m:oMath>
      <w:r>
        <w:rPr>
          <w:rFonts w:eastAsia="source serif 4" w:cs="source serif 4" w:ascii="source serif 4" w:hAnsi="source serif 4"/>
          <w:color w:val="000000"/>
          <w:sz w:val="21"/>
        </w:rPr>
        <w:t xml:space="preserve"> = Volumen vendido de la entidad </w:t>
      </w:r>
      <m:oMath>
        <m:r>
          <m:rPr>
            <m:sty m:val="i"/>
          </m:rPr>
          <w:rPr>
            <w:color w:val="000000"/>
            <w:sz w:val="21"/>
          </w:rPr>
          <m:t>j</m:t>
        </m:r>
      </m:oMath>
    </w:p>
    <w:p>
      <w:pPr>
        <w:numPr>
          <w:ilvl w:val="0"/>
          <w:numId w:val="2"/>
        </w:numPr>
        <w:spacing w:line="360" w:after="210" w:lineRule="auto"/>
      </w:pPr>
      <w:r>
        <w:rPr>
          <w:rFonts w:eastAsia="source serif 4" w:cs="source serif 4" w:ascii="source serif 4" w:hAnsi="source serif 4"/>
          <w:b/>
          <w:color w:val="000000"/>
          <w:sz w:val="21"/>
        </w:rPr>
        <w:t xml:space="preserve">Publicación:</w:t>
      </w:r>
    </w:p>
    <w:p>
      <w:pPr>
        <w:numPr>
          <w:ilvl w:val="1"/>
          <w:numId w:val="2"/>
        </w:numPr>
        <w:spacing w:line="360" w:before="105" w:after="105" w:lineRule="auto"/>
      </w:pPr>
      <w:r>
        <w:rPr>
          <w:rFonts w:eastAsia="source serif 4" w:cs="source serif 4" w:ascii="source serif 4" w:hAnsi="source serif 4"/>
          <w:color w:val="000000"/>
          <w:sz w:val="21"/>
        </w:rPr>
        <w:t xml:space="preserve">El BCRA publica el TCR en su página institucional.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byma_dollar_index_mep"/>
      <w:r>
        <w:rPr>
          <w:rFonts w:eastAsia="source serif 4" w:cs="source serif 4" w:ascii="source serif 4" w:hAnsi="source serif 4"/>
          <w:b/>
          <w:color w:val="000000"/>
          <w:sz w:val="24"/>
        </w:rPr>
        <w:t xml:space="preserve">2. BYMA Dollar Index (MEP)</w:t>
      </w:r>
      <w:bookmarkEnd w:id="4"/>
    </w:p>
    <w:p>
      <w:pPr>
        <w:spacing w:line="360" w:before="315" w:after="105" w:lineRule="auto"/>
        <w:ind w:left="-30"/>
        <w:jc w:val="left"/>
      </w:pPr>
      <w:bookmarkStart w:id="5" w:name="bm_2_1_metodología"/>
      <w:r>
        <w:rPr>
          <w:rFonts w:eastAsia="source serif 4" w:cs="source serif 4" w:ascii="source serif 4" w:hAnsi="source serif 4"/>
          <w:b/>
          <w:color w:val="000000"/>
          <w:sz w:val="24"/>
        </w:rPr>
        <w:t xml:space="preserve">2.1 Metodología</w:t>
      </w:r>
      <w:bookmarkEnd w:id="5"/>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BYMA Productos de Datos [cite:6][cite:8][cite:10]</w:t>
      </w:r>
    </w:p>
    <w:p>
      <w:pPr>
        <w:spacing w:line="360" w:after="210" w:lineRule="auto"/>
      </w:pPr>
      <w:r>
        <w:rPr>
          <w:rFonts w:eastAsia="source serif 4" w:cs="source serif 4" w:ascii="source serif 4" w:hAnsi="source serif 4"/>
          <w:b/>
          <w:color w:val="000000"/>
        </w:rPr>
        <w:t xml:space="preserve">Definición:</w:t>
      </w:r>
    </w:p>
    <w:p>
      <w:pPr>
        <w:numPr>
          <w:ilvl w:val="0"/>
          <w:numId w:val="3"/>
        </w:numPr>
        <w:spacing w:line="360" w:before="105" w:after="105" w:lineRule="auto"/>
      </w:pPr>
      <w:r>
        <w:rPr>
          <w:rFonts w:eastAsia="source serif 4" w:cs="source serif 4" w:ascii="source serif 4" w:hAnsi="source serif 4"/>
          <w:color w:val="000000"/>
          <w:sz w:val="21"/>
        </w:rPr>
        <w:t xml:space="preserve">Representa la paridad implícita en operaciones de activos que se negocian para ser liquidados en pesos conjuntamente con las pactadas para ser liquidados en Dólar MEP en el sistema financiero argentino.</w:t>
      </w:r>
    </w:p>
    <w:p>
      <w:pPr>
        <w:spacing w:line="360" w:after="210" w:lineRule="auto"/>
      </w:pPr>
      <w:r>
        <w:rPr>
          <w:rFonts w:eastAsia="source serif 4" w:cs="source serif 4" w:ascii="source serif 4" w:hAnsi="source serif 4"/>
          <w:b/>
          <w:color w:val="000000"/>
        </w:rPr>
        <w:t xml:space="preserve">Construcción:</w:t>
      </w:r>
    </w:p>
    <w:p>
      <w:pPr>
        <w:numPr>
          <w:ilvl w:val="0"/>
          <w:numId w:val="4"/>
        </w:numPr>
        <w:spacing w:line="360" w:before="105" w:after="105" w:lineRule="auto"/>
      </w:pPr>
      <w:r>
        <w:rPr>
          <w:rFonts w:eastAsia="source serif 4" w:cs="source serif 4" w:ascii="source serif 4" w:hAnsi="source serif 4"/>
          <w:color w:val="000000"/>
          <w:sz w:val="21"/>
        </w:rPr>
        <w:t xml:space="preserve">Se basa en operaciones efectivas en BYMA.</w:t>
      </w:r>
    </w:p>
    <w:p>
      <w:pPr>
        <w:numPr>
          <w:ilvl w:val="0"/>
          <w:numId w:val="4"/>
        </w:numPr>
        <w:spacing w:line="360" w:before="105" w:after="105" w:lineRule="auto"/>
      </w:pPr>
      <w:r>
        <w:rPr>
          <w:rFonts w:eastAsia="source serif 4" w:cs="source serif 4" w:ascii="source serif 4" w:hAnsi="source serif 4"/>
          <w:color w:val="000000"/>
          <w:sz w:val="21"/>
        </w:rPr>
        <w:t xml:space="preserve">Utiliza monitoreo en tiempo real de todas las plazas de valores negociables habilitadas por BYMA.</w:t>
      </w:r>
    </w:p>
    <w:p>
      <w:pPr>
        <w:numPr>
          <w:ilvl w:val="0"/>
          <w:numId w:val="4"/>
        </w:numPr>
        <w:spacing w:line="360" w:before="105" w:after="105" w:lineRule="auto"/>
      </w:pPr>
      <w:r>
        <w:rPr>
          <w:rFonts w:eastAsia="source serif 4" w:cs="source serif 4" w:ascii="source serif 4" w:hAnsi="source serif 4"/>
          <w:color w:val="000000"/>
          <w:sz w:val="21"/>
        </w:rPr>
        <w:t xml:space="preserve">La metodología exacta (fórmula) no está documentada públicamente.</w:t>
      </w:r>
    </w:p>
    <w:p>
      <w:pPr>
        <w:spacing w:line="360" w:after="210" w:lineRule="auto"/>
      </w:pPr>
      <w:r>
        <w:rPr>
          <w:rFonts w:eastAsia="source serif 4" w:cs="source serif 4" w:ascii="source serif 4" w:hAnsi="source serif 4"/>
          <w:b/>
          <w:color w:val="000000"/>
        </w:rPr>
        <w:t xml:space="preserve">Frecuencia:</w:t>
      </w:r>
    </w:p>
    <w:p>
      <w:pPr>
        <w:numPr>
          <w:ilvl w:val="0"/>
          <w:numId w:val="5"/>
        </w:numPr>
        <w:spacing w:line="360" w:before="105" w:after="105" w:lineRule="auto"/>
      </w:pPr>
      <w:r>
        <w:rPr>
          <w:rFonts w:eastAsia="source serif 4" w:cs="source serif 4" w:ascii="source serif 4" w:hAnsi="source serif 4"/>
          <w:color w:val="000000"/>
          <w:sz w:val="21"/>
        </w:rPr>
        <w:t xml:space="preserve">Diaria, al cierre de la actividad del mercado local.</w:t>
      </w:r>
    </w:p>
    <w:p>
      <w:pPr>
        <w:spacing w:line="360" w:after="210" w:lineRule="auto"/>
      </w:pPr>
      <w:r>
        <w:rPr>
          <w:rFonts w:eastAsia="source serif 4" w:cs="source serif 4" w:ascii="source serif 4" w:hAnsi="source serif 4"/>
          <w:b/>
          <w:color w:val="000000"/>
        </w:rPr>
        <w:t xml:space="preserve">Desde:</w:t>
      </w:r>
    </w:p>
    <w:p>
      <w:pPr>
        <w:numPr>
          <w:ilvl w:val="0"/>
          <w:numId w:val="6"/>
        </w:numPr>
        <w:spacing w:line="360" w:before="105" w:after="105" w:lineRule="auto"/>
      </w:pPr>
      <w:r>
        <w:rPr>
          <w:rFonts w:eastAsia="source serif 4" w:cs="source serif 4" w:ascii="source serif 4" w:hAnsi="source serif 4"/>
          <w:color w:val="000000"/>
          <w:sz w:val="21"/>
        </w:rPr>
        <w:t xml:space="preserve">28/02/2024.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3_byma_ccl_index"/>
      <w:r>
        <w:rPr>
          <w:rFonts w:eastAsia="source serif 4" w:cs="source serif 4" w:ascii="source serif 4" w:hAnsi="source serif 4"/>
          <w:b/>
          <w:color w:val="000000"/>
          <w:sz w:val="24"/>
        </w:rPr>
        <w:t xml:space="preserve">3. BYMA CCL Index</w:t>
      </w:r>
      <w:bookmarkEnd w:id="6"/>
    </w:p>
    <w:p>
      <w:pPr>
        <w:spacing w:line="360" w:before="315" w:after="105" w:lineRule="auto"/>
        <w:ind w:left="-30"/>
        <w:jc w:val="left"/>
      </w:pPr>
      <w:bookmarkStart w:id="7" w:name="bm_3_1_metodología"/>
      <w:r>
        <w:rPr>
          <w:rFonts w:eastAsia="source serif 4" w:cs="source serif 4" w:ascii="source serif 4" w:hAnsi="source serif 4"/>
          <w:b/>
          <w:color w:val="000000"/>
          <w:sz w:val="24"/>
        </w:rPr>
        <w:t xml:space="preserve">3.1 Metodología</w:t>
      </w:r>
      <w:bookmarkEnd w:id="7"/>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BYMA Productos de Datos [cite:6][cite:8][cite:10]</w:t>
      </w:r>
    </w:p>
    <w:p>
      <w:pPr>
        <w:spacing w:line="360" w:after="210" w:lineRule="auto"/>
      </w:pPr>
      <w:r>
        <w:rPr>
          <w:rFonts w:eastAsia="source serif 4" w:cs="source serif 4" w:ascii="source serif 4" w:hAnsi="source serif 4"/>
          <w:b/>
          <w:color w:val="000000"/>
        </w:rPr>
        <w:t xml:space="preserve">Definición:</w:t>
      </w:r>
    </w:p>
    <w:p>
      <w:pPr>
        <w:numPr>
          <w:ilvl w:val="0"/>
          <w:numId w:val="7"/>
        </w:numPr>
        <w:spacing w:line="360" w:before="105" w:after="105" w:lineRule="auto"/>
      </w:pPr>
      <w:r>
        <w:rPr>
          <w:rFonts w:eastAsia="source serif 4" w:cs="source serif 4" w:ascii="source serif 4" w:hAnsi="source serif 4"/>
          <w:color w:val="000000"/>
          <w:sz w:val="21"/>
        </w:rPr>
        <w:t xml:space="preserve">Representa los negocios operados en activos con cotización en pesos junto a aquellos a liquidarse en dólares en cuentas del exterior (Dólar Contado con Liquidación, CCL).</w:t>
      </w:r>
    </w:p>
    <w:p>
      <w:pPr>
        <w:spacing w:line="360" w:after="210" w:lineRule="auto"/>
      </w:pPr>
      <w:r>
        <w:rPr>
          <w:rFonts w:eastAsia="source serif 4" w:cs="source serif 4" w:ascii="source serif 4" w:hAnsi="source serif 4"/>
          <w:b/>
          <w:color w:val="000000"/>
        </w:rPr>
        <w:t xml:space="preserve">Construcción:</w:t>
      </w:r>
    </w:p>
    <w:p>
      <w:pPr>
        <w:numPr>
          <w:ilvl w:val="0"/>
          <w:numId w:val="8"/>
        </w:numPr>
        <w:spacing w:line="360" w:before="105" w:after="105" w:lineRule="auto"/>
      </w:pPr>
      <w:r>
        <w:rPr>
          <w:rFonts w:eastAsia="source serif 4" w:cs="source serif 4" w:ascii="source serif 4" w:hAnsi="source serif 4"/>
          <w:color w:val="000000"/>
          <w:sz w:val="21"/>
        </w:rPr>
        <w:t xml:space="preserve">Se basa en operaciones efectivas en BYMA.</w:t>
      </w:r>
    </w:p>
    <w:p>
      <w:pPr>
        <w:numPr>
          <w:ilvl w:val="0"/>
          <w:numId w:val="8"/>
        </w:numPr>
        <w:spacing w:line="360" w:before="105" w:after="105" w:lineRule="auto"/>
      </w:pPr>
      <w:r>
        <w:rPr>
          <w:rFonts w:eastAsia="source serif 4" w:cs="source serif 4" w:ascii="source serif 4" w:hAnsi="source serif 4"/>
          <w:color w:val="000000"/>
          <w:sz w:val="21"/>
        </w:rPr>
        <w:t xml:space="preserve">Utiliza monitoreo en tiempo real de todas las plazas de valores negociables habilitadas por BYMA.</w:t>
      </w:r>
    </w:p>
    <w:p>
      <w:pPr>
        <w:numPr>
          <w:ilvl w:val="0"/>
          <w:numId w:val="8"/>
        </w:numPr>
        <w:spacing w:line="360" w:before="105" w:after="105" w:lineRule="auto"/>
      </w:pPr>
      <w:r>
        <w:rPr>
          <w:rFonts w:eastAsia="source serif 4" w:cs="source serif 4" w:ascii="source serif 4" w:hAnsi="source serif 4"/>
          <w:color w:val="000000"/>
          <w:sz w:val="21"/>
        </w:rPr>
        <w:t xml:space="preserve">La metodología exacta (fórmula) no está documentada públicamente.</w:t>
      </w:r>
    </w:p>
    <w:p>
      <w:pPr>
        <w:spacing w:line="360" w:after="210" w:lineRule="auto"/>
      </w:pPr>
      <w:r>
        <w:rPr>
          <w:rFonts w:eastAsia="source serif 4" w:cs="source serif 4" w:ascii="source serif 4" w:hAnsi="source serif 4"/>
          <w:b/>
          <w:color w:val="000000"/>
        </w:rPr>
        <w:t xml:space="preserve">Frecuencia:</w:t>
      </w:r>
    </w:p>
    <w:p>
      <w:pPr>
        <w:numPr>
          <w:ilvl w:val="0"/>
          <w:numId w:val="9"/>
        </w:numPr>
        <w:spacing w:line="360" w:before="105" w:after="105" w:lineRule="auto"/>
      </w:pPr>
      <w:r>
        <w:rPr>
          <w:rFonts w:eastAsia="source serif 4" w:cs="source serif 4" w:ascii="source serif 4" w:hAnsi="source serif 4"/>
          <w:color w:val="000000"/>
          <w:sz w:val="21"/>
        </w:rPr>
        <w:t xml:space="preserve">Diaria, al cierre de la actividad del mercado local.</w:t>
      </w:r>
    </w:p>
    <w:p>
      <w:pPr>
        <w:spacing w:line="360" w:after="210" w:lineRule="auto"/>
      </w:pPr>
      <w:r>
        <w:rPr>
          <w:rFonts w:eastAsia="source serif 4" w:cs="source serif 4" w:ascii="source serif 4" w:hAnsi="source serif 4"/>
          <w:b/>
          <w:color w:val="000000"/>
        </w:rPr>
        <w:t xml:space="preserve">Desde:</w:t>
      </w:r>
    </w:p>
    <w:p>
      <w:pPr>
        <w:numPr>
          <w:ilvl w:val="0"/>
          <w:numId w:val="10"/>
        </w:numPr>
        <w:spacing w:line="360" w:before="105" w:after="105" w:lineRule="auto"/>
      </w:pPr>
      <w:r>
        <w:rPr>
          <w:rFonts w:eastAsia="source serif 4" w:cs="source serif 4" w:ascii="source serif 4" w:hAnsi="source serif 4"/>
          <w:color w:val="000000"/>
          <w:sz w:val="21"/>
        </w:rPr>
        <w:t xml:space="preserve">28/02/2024.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4_mep_mercado_electrónico_de_p_ac3eb5"/>
      <w:r>
        <w:rPr>
          <w:rFonts w:eastAsia="source serif 4" w:cs="source serif 4" w:ascii="source serif 4" w:hAnsi="source serif 4"/>
          <w:b/>
          <w:color w:val="000000"/>
          <w:sz w:val="24"/>
        </w:rPr>
        <w:t xml:space="preserve">4. MEP (Mercado Electrónico de Pagos / Dólar Bolsa)</w:t>
      </w:r>
      <w:bookmarkEnd w:id="8"/>
    </w:p>
    <w:p>
      <w:pPr>
        <w:spacing w:line="360" w:before="315" w:after="105" w:lineRule="auto"/>
        <w:ind w:left="-30"/>
        <w:jc w:val="left"/>
      </w:pPr>
      <w:bookmarkStart w:id="9" w:name="bm_4_1_metodología_de_mercado"/>
      <w:r>
        <w:rPr>
          <w:rFonts w:eastAsia="source serif 4" w:cs="source serif 4" w:ascii="source serif 4" w:hAnsi="source serif 4"/>
          <w:b/>
          <w:color w:val="000000"/>
          <w:sz w:val="24"/>
        </w:rPr>
        <w:t xml:space="preserve">4.1 Metodología de Mercado</w:t>
      </w:r>
      <w:bookmarkEnd w:id="9"/>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Dolarito, TradingView (EcoValores) [cite:40][cite:58][cite:59]</w:t>
      </w:r>
    </w:p>
    <w:p>
      <w:pPr>
        <w:spacing w:line="360" w:after="210" w:lineRule="auto"/>
      </w:pPr>
      <w:r>
        <w:rPr>
          <w:rFonts w:eastAsia="source serif 4" w:cs="source serif 4" w:ascii="source serif 4" w:hAnsi="source serif 4"/>
          <w:b/>
          <w:color w:val="000000"/>
        </w:rPr>
        <w:t xml:space="preserve">Fórmula:</w:t>
      </w:r>
    </w:p>
    <w:p>
      <w:pPr>
        <w:spacing w:line="360" w:after="210" w:lineRule="auto"/>
      </w:pPr>
      <m:oMathPara>
        <m:oMath>
          <m:r>
            <m:rPr>
              <m:sty m:val="i"/>
            </m:rPr>
            <w:rPr>
              <w:color w:val="000000"/>
            </w:rPr>
            <m:t>M</m:t>
          </m:r>
          <m:r>
            <m:rPr>
              <m:sty m:val="i"/>
            </m:rPr>
            <w:rPr>
              <w:color w:val="000000"/>
            </w:rPr>
            <m:t>E</m:t>
          </m:r>
          <m:r>
            <m:rPr>
              <m:sty m:val="i"/>
            </m:rPr>
            <w:rPr>
              <w:color w:val="000000"/>
            </w:rPr>
            <m:t>P</m:t>
          </m:r>
          <m:r>
            <m:rPr>
              <m:sty m:val="p"/>
            </m:rPr>
            <w:rPr>
              <w:color w:val="000000"/>
            </w:rPr>
            <m:t>=</m:t>
          </m:r>
          <m:r>
            <m:rPr>
              <m:sty m:val="p"/>
            </m:rPr>
            <w:rPr>
              <w:color w:val="000000"/>
            </w:rPr>
            <m:t xml:space="preserve"> </m:t>
          </m:r>
          <m:r>
            <m:rPr>
              <m:sty m:val="i"/>
            </m:rPr>
            <w:rPr>
              <w:color w:val="000000"/>
            </w:rPr>
            <m:t>f</m:t>
          </m:r>
          <m:r>
            <m:rPr>
              <m:sty m:val="i"/>
            </m:rPr>
            <w:rPr>
              <w:color w:val="000000"/>
            </w:rPr>
            <m:t>r</m:t>
          </m:r>
          <m:r>
            <m:rPr>
              <m:sty m:val="i"/>
            </m:rPr>
            <w:rPr>
              <w:color w:val="000000"/>
            </w:rPr>
            <m:t>a</m:t>
          </m:r>
          <m:r>
            <m:rPr>
              <m:sty m:val="i"/>
            </m:rPr>
            <w:rPr>
              <w:color w:val="000000"/>
            </w:rPr>
            <m:t>c</m:t>
          </m:r>
          <m:r>
            <m:rPr>
              <m:sty m:val="i"/>
            </m:rPr>
            <w:rPr>
              <w:color w:val="000000"/>
            </w:rPr>
            <m:t>P</m:t>
          </m:r>
          <m:r>
            <m:rPr>
              <m:sty m:val="i"/>
            </m:rPr>
            <w:rPr>
              <w:color w:val="000000"/>
            </w:rPr>
            <m:t>r</m:t>
          </m:r>
          <m:r>
            <m:rPr>
              <m:sty m:val="i"/>
            </m:rPr>
            <w:rPr>
              <w:color w:val="000000"/>
            </w:rPr>
            <m:t>e</m:t>
          </m:r>
          <m:r>
            <m:rPr>
              <m:sty m:val="i"/>
            </m:rPr>
            <w:rPr>
              <w:color w:val="000000"/>
            </w:rPr>
            <m:t>c</m:t>
          </m:r>
          <m:r>
            <m:rPr>
              <m:sty m:val="i"/>
            </m:rPr>
            <w:rPr>
              <w:color w:val="000000"/>
            </w:rPr>
            <m:t>i</m:t>
          </m:r>
          <m:r>
            <m:rPr>
              <m:sty m:val="i"/>
            </m:rPr>
            <w:rPr>
              <w:color w:val="000000"/>
            </w:rPr>
            <m:t>o</m:t>
          </m:r>
          <m:r>
            <m:rPr>
              <m:sty m:val="p"/>
            </m:rPr>
            <w:rPr>
              <w:color w:val="000000"/>
            </w:rPr>
            <m:t>_</m:t>
          </m:r>
          <m:r>
            <m:rPr>
              <m:sty m:val="i"/>
            </m:rPr>
            <w:rPr>
              <w:color w:val="000000"/>
            </w:rPr>
            <m:t>A</m:t>
          </m:r>
          <m:r>
            <m:rPr>
              <m:sty m:val="i"/>
            </m:rPr>
            <w:rPr>
              <w:color w:val="000000"/>
            </w:rPr>
            <m:t>L</m:t>
          </m:r>
          <m:r>
            <m:rPr>
              <m:sty m:val="p"/>
            </m:rPr>
            <w:rPr>
              <w:color w:val="000000"/>
            </w:rPr>
            <m:t>30</m:t>
          </m:r>
          <m:r>
            <m:rPr>
              <m:sty m:val="p"/>
            </m:rPr>
            <w:rPr>
              <w:color w:val="000000"/>
            </w:rPr>
            <m:t>(</m:t>
          </m:r>
          <m:r>
            <m:rPr>
              <m:sty m:val="i"/>
            </m:rPr>
            <w:rPr>
              <w:color w:val="000000"/>
            </w:rPr>
            <m:t>A</m:t>
          </m:r>
          <m:r>
            <m:rPr>
              <m:sty m:val="i"/>
            </m:rPr>
            <w:rPr>
              <w:color w:val="000000"/>
            </w:rPr>
            <m:t>R</m:t>
          </m:r>
          <m:r>
            <m:rPr>
              <m:sty m:val="i"/>
            </m:rPr>
            <w:rPr>
              <w:color w:val="000000"/>
            </w:rPr>
            <m:t>S</m:t>
          </m:r>
          <m:r>
            <m:rPr>
              <m:sty m:val="p"/>
            </m:rPr>
            <w:rPr>
              <w:color w:val="000000"/>
            </w:rPr>
            <m:t>)</m:t>
          </m:r>
          <m:r>
            <m:rPr>
              <m:sty m:val="i"/>
            </m:rPr>
            <w:rPr>
              <w:color w:val="000000"/>
            </w:rPr>
            <m:t>P</m:t>
          </m:r>
          <m:r>
            <m:rPr>
              <m:sty m:val="i"/>
            </m:rPr>
            <w:rPr>
              <w:color w:val="000000"/>
            </w:rPr>
            <m:t>r</m:t>
          </m:r>
          <m:r>
            <m:rPr>
              <m:sty m:val="i"/>
            </m:rPr>
            <w:rPr>
              <w:color w:val="000000"/>
            </w:rPr>
            <m:t>e</m:t>
          </m:r>
          <m:r>
            <m:rPr>
              <m:sty m:val="i"/>
            </m:rPr>
            <w:rPr>
              <w:color w:val="000000"/>
            </w:rPr>
            <m:t>c</m:t>
          </m:r>
          <m:r>
            <m:rPr>
              <m:sty m:val="i"/>
            </m:rPr>
            <w:rPr>
              <w:color w:val="000000"/>
            </w:rPr>
            <m:t>i</m:t>
          </m:r>
          <m:r>
            <m:rPr>
              <m:sty m:val="i"/>
            </m:rPr>
            <w:rPr>
              <w:color w:val="000000"/>
            </w:rPr>
            <m:t>o</m:t>
          </m:r>
          <m:r>
            <m:rPr>
              <m:sty m:val="p"/>
            </m:rPr>
            <w:rPr>
              <w:color w:val="000000"/>
            </w:rPr>
            <m:t>_</m:t>
          </m:r>
          <m:r>
            <m:rPr>
              <m:sty m:val="i"/>
            </m:rPr>
            <w:rPr>
              <w:color w:val="000000"/>
            </w:rPr>
            <m:t>A</m:t>
          </m:r>
          <m:r>
            <m:rPr>
              <m:sty m:val="i"/>
            </m:rPr>
            <w:rPr>
              <w:color w:val="000000"/>
            </w:rPr>
            <m:t>L</m:t>
          </m:r>
          <m:r>
            <m:rPr>
              <m:sty m:val="p"/>
            </m:rPr>
            <w:rPr>
              <w:color w:val="000000"/>
            </w:rPr>
            <m:t>30</m:t>
          </m:r>
          <m:r>
            <m:rPr>
              <m:sty m:val="i"/>
            </m:rPr>
            <w:rPr>
              <w:color w:val="000000"/>
            </w:rPr>
            <m:t>D</m:t>
          </m:r>
          <m:r>
            <m:rPr>
              <m:sty m:val="p"/>
            </m:rPr>
            <w:rPr>
              <w:color w:val="000000"/>
            </w:rPr>
            <m:t>(</m:t>
          </m:r>
          <m:r>
            <m:rPr>
              <m:sty m:val="i"/>
            </m:rPr>
            <w:rPr>
              <w:color w:val="000000"/>
            </w:rPr>
            <m:t>U</m:t>
          </m:r>
          <m:r>
            <m:rPr>
              <m:sty m:val="i"/>
            </m:rPr>
            <w:rPr>
              <w:color w:val="000000"/>
            </w:rPr>
            <m:t>S</m:t>
          </m:r>
          <m:r>
            <m:rPr>
              <m:sty m:val="i"/>
            </m:rPr>
            <w:rPr>
              <w:color w:val="000000"/>
            </w:rPr>
            <m:t>D</m:t>
          </m:r>
          <m:r>
            <m:rPr>
              <m:sty m:val="p"/>
            </m:rPr>
            <w:rPr>
              <w:color w:val="000000"/>
            </w:rPr>
            <m:t>)</m:t>
          </m:r>
        </m:oMath>
      </m:oMathPara>
    </w:p>
    <w:p>
      <w:pPr>
        <w:spacing w:line="360" w:after="210" w:lineRule="auto"/>
      </w:pPr>
      <w:r>
        <w:rPr>
          <w:rFonts w:eastAsia="source serif 4" w:cs="source serif 4" w:ascii="source serif 4" w:hAnsi="source serif 4"/>
          <w:b/>
          <w:color w:val="000000"/>
        </w:rPr>
        <w:t xml:space="preserve">Instrumentos:</w:t>
      </w:r>
    </w:p>
    <w:p>
      <w:pPr>
        <w:numPr>
          <w:ilvl w:val="0"/>
          <w:numId w:val="11"/>
        </w:numPr>
        <w:spacing w:line="360" w:before="105" w:after="105" w:lineRule="auto"/>
      </w:pPr>
      <w:r>
        <w:rPr>
          <w:rFonts w:eastAsia="source serif 4" w:cs="source serif 4" w:ascii="source serif 4" w:hAnsi="source serif 4"/>
          <w:b/>
          <w:color w:val="000000"/>
          <w:sz w:val="21"/>
        </w:rPr>
        <w:t xml:space="preserve">AL30 (ARS):</w:t>
      </w:r>
      <w:r>
        <w:rPr>
          <w:rFonts w:eastAsia="source serif 4" w:cs="source serif 4" w:ascii="source serif 4" w:hAnsi="source serif 4"/>
          <w:color w:val="000000"/>
          <w:sz w:val="21"/>
        </w:rPr>
        <w:t xml:space="preserve"> Bono soberano argentino en pesos, ley argentina, vencimiento 2030 (ISIN: ARARGE3209S6).</w:t>
      </w:r>
    </w:p>
    <w:p>
      <w:pPr>
        <w:numPr>
          <w:ilvl w:val="0"/>
          <w:numId w:val="11"/>
        </w:numPr>
        <w:spacing w:line="360" w:before="105" w:after="105" w:lineRule="auto"/>
      </w:pPr>
      <w:r>
        <w:rPr>
          <w:rFonts w:eastAsia="source serif 4" w:cs="source serif 4" w:ascii="source serif 4" w:hAnsi="source serif 4"/>
          <w:b/>
          <w:color w:val="000000"/>
          <w:sz w:val="21"/>
        </w:rPr>
        <w:t xml:space="preserve">AL30D (USD):</w:t>
      </w:r>
      <w:r>
        <w:rPr>
          <w:rFonts w:eastAsia="source serif 4" w:cs="source serif 4" w:ascii="source serif 4" w:hAnsi="source serif 4"/>
          <w:color w:val="000000"/>
          <w:sz w:val="21"/>
        </w:rPr>
        <w:t xml:space="preserve"> Bono soberano argentino en dólares, ley argentina, vencimiento 2030.</w:t>
      </w:r>
    </w:p>
    <w:p>
      <w:pPr>
        <w:spacing w:line="360" w:after="210" w:lineRule="auto"/>
      </w:pPr>
      <w:r>
        <w:rPr>
          <w:rFonts w:eastAsia="source serif 4" w:cs="source serif 4" w:ascii="source serif 4" w:hAnsi="source serif 4"/>
          <w:b/>
          <w:color w:val="000000"/>
        </w:rPr>
        <w:t xml:space="preserve">Settlement:</w:t>
      </w:r>
    </w:p>
    <w:p>
      <w:pPr>
        <w:numPr>
          <w:ilvl w:val="0"/>
          <w:numId w:val="12"/>
        </w:numPr>
        <w:spacing w:line="360" w:before="105" w:after="105" w:lineRule="auto"/>
      </w:pPr>
      <w:r>
        <w:rPr>
          <w:rFonts w:eastAsia="source serif 4" w:cs="source serif 4" w:ascii="source serif 4" w:hAnsi="source serif 4"/>
          <w:color w:val="000000"/>
          <w:sz w:val="21"/>
        </w:rPr>
        <w:t xml:space="preserve">T+1 (desde mayo 2024) [cite:31][cite:60].</w:t>
      </w:r>
    </w:p>
    <w:p>
      <w:pPr>
        <w:spacing w:line="360" w:after="210" w:lineRule="auto"/>
      </w:pPr>
      <w:r>
        <w:rPr>
          <w:rFonts w:eastAsia="source serif 4" w:cs="source serif 4" w:ascii="source serif 4" w:hAnsi="source serif 4"/>
          <w:b/>
          <w:color w:val="000000"/>
        </w:rPr>
        <w:t xml:space="preserve">Limitaciones:</w:t>
      </w:r>
    </w:p>
    <w:p>
      <w:pPr>
        <w:numPr>
          <w:ilvl w:val="0"/>
          <w:numId w:val="13"/>
        </w:numPr>
        <w:spacing w:line="360" w:before="105" w:after="105" w:lineRule="auto"/>
      </w:pPr>
      <w:r>
        <w:rPr>
          <w:rFonts w:eastAsia="source serif 4" w:cs="source serif 4" w:ascii="source serif 4" w:hAnsi="source serif 4"/>
          <w:color w:val="000000"/>
          <w:sz w:val="21"/>
        </w:rPr>
        <w:t xml:space="preserve">La relación puede variar según el bono utilizado (AL30, AL35, GD30, etc.).</w:t>
      </w:r>
    </w:p>
    <w:p>
      <w:pPr>
        <w:numPr>
          <w:ilvl w:val="0"/>
          <w:numId w:val="13"/>
        </w:numPr>
        <w:spacing w:line="360" w:before="105" w:after="105" w:lineRule="auto"/>
      </w:pPr>
      <w:r>
        <w:rPr>
          <w:rFonts w:eastAsia="source serif 4" w:cs="source serif 4" w:ascii="source serif 4" w:hAnsi="source serif 4"/>
          <w:color w:val="000000"/>
          <w:sz w:val="21"/>
        </w:rPr>
        <w:t xml:space="preserve">No es una serie oficial BCRA/BYMA antes de febrero 2024.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5_ccl_contado_con_liquidación"/>
      <w:r>
        <w:rPr>
          <w:rFonts w:eastAsia="source serif 4" w:cs="source serif 4" w:ascii="source serif 4" w:hAnsi="source serif 4"/>
          <w:b/>
          <w:color w:val="000000"/>
          <w:sz w:val="24"/>
        </w:rPr>
        <w:t xml:space="preserve">5. CCL (Contado con Liquidación)</w:t>
      </w:r>
      <w:bookmarkEnd w:id="10"/>
    </w:p>
    <w:p>
      <w:pPr>
        <w:spacing w:line="360" w:before="315" w:after="105" w:lineRule="auto"/>
        <w:ind w:left="-30"/>
        <w:jc w:val="left"/>
      </w:pPr>
      <w:bookmarkStart w:id="11" w:name="bm_5_1_metodología_de_mercado"/>
      <w:r>
        <w:rPr>
          <w:rFonts w:eastAsia="source serif 4" w:cs="source serif 4" w:ascii="source serif 4" w:hAnsi="source serif 4"/>
          <w:b/>
          <w:color w:val="000000"/>
          <w:sz w:val="24"/>
        </w:rPr>
        <w:t xml:space="preserve">5.1 Metodología de Mercado</w:t>
      </w:r>
      <w:bookmarkEnd w:id="11"/>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Dolarito, TradingView (EcoValores) [cite:40][cite:58][cite:59]</w:t>
      </w:r>
    </w:p>
    <w:p>
      <w:pPr>
        <w:spacing w:line="360" w:after="210" w:lineRule="auto"/>
      </w:pPr>
      <w:r>
        <w:rPr>
          <w:rFonts w:eastAsia="source serif 4" w:cs="source serif 4" w:ascii="source serif 4" w:hAnsi="source serif 4"/>
          <w:b/>
          <w:color w:val="000000"/>
        </w:rPr>
        <w:t xml:space="preserve">Fórmula:</w:t>
      </w:r>
    </w:p>
    <w:p>
      <w:pPr>
        <w:spacing w:line="360" w:after="210" w:lineRule="auto"/>
      </w:pPr>
      <m:oMathPara>
        <m:oMath>
          <m:r>
            <m:rPr>
              <m:sty m:val="i"/>
            </m:rPr>
            <w:rPr>
              <w:color w:val="000000"/>
            </w:rPr>
            <m:t>C</m:t>
          </m:r>
          <m:r>
            <m:rPr>
              <m:sty m:val="i"/>
            </m:rPr>
            <w:rPr>
              <w:color w:val="000000"/>
            </w:rPr>
            <m:t>C</m:t>
          </m:r>
          <m:r>
            <m:rPr>
              <m:sty m:val="i"/>
            </m:rPr>
            <w:rPr>
              <w:color w:val="000000"/>
            </w:rPr>
            <m:t>L</m:t>
          </m:r>
          <m:r>
            <m:rPr>
              <m:sty m:val="p"/>
            </m:rPr>
            <w:rPr>
              <w:color w:val="000000"/>
            </w:rPr>
            <m:t>=</m:t>
          </m:r>
          <m:r>
            <m:rPr>
              <m:sty m:val="p"/>
            </m:rPr>
            <w:rPr>
              <w:color w:val="000000"/>
            </w:rPr>
            <m:t xml:space="preserve"> </m:t>
          </m:r>
          <m:r>
            <m:rPr>
              <m:sty m:val="i"/>
            </m:rPr>
            <w:rPr>
              <w:color w:val="000000"/>
            </w:rPr>
            <m:t>f</m:t>
          </m:r>
          <m:r>
            <m:rPr>
              <m:sty m:val="i"/>
            </m:rPr>
            <w:rPr>
              <w:color w:val="000000"/>
            </w:rPr>
            <m:t>r</m:t>
          </m:r>
          <m:r>
            <m:rPr>
              <m:sty m:val="i"/>
            </m:rPr>
            <w:rPr>
              <w:color w:val="000000"/>
            </w:rPr>
            <m:t>a</m:t>
          </m:r>
          <m:r>
            <m:rPr>
              <m:sty m:val="i"/>
            </m:rPr>
            <w:rPr>
              <w:color w:val="000000"/>
            </w:rPr>
            <m:t>c</m:t>
          </m:r>
          <m:r>
            <m:rPr>
              <m:sty m:val="i"/>
            </m:rPr>
            <w:rPr>
              <w:color w:val="000000"/>
            </w:rPr>
            <m:t>P</m:t>
          </m:r>
          <m:r>
            <m:rPr>
              <m:sty m:val="i"/>
            </m:rPr>
            <w:rPr>
              <w:color w:val="000000"/>
            </w:rPr>
            <m:t>r</m:t>
          </m:r>
          <m:r>
            <m:rPr>
              <m:sty m:val="i"/>
            </m:rPr>
            <w:rPr>
              <w:color w:val="000000"/>
            </w:rPr>
            <m:t>e</m:t>
          </m:r>
          <m:r>
            <m:rPr>
              <m:sty m:val="i"/>
            </m:rPr>
            <w:rPr>
              <w:color w:val="000000"/>
            </w:rPr>
            <m:t>c</m:t>
          </m:r>
          <m:r>
            <m:rPr>
              <m:sty m:val="i"/>
            </m:rPr>
            <w:rPr>
              <w:color w:val="000000"/>
            </w:rPr>
            <m:t>i</m:t>
          </m:r>
          <m:r>
            <m:rPr>
              <m:sty m:val="i"/>
            </m:rPr>
            <w:rPr>
              <w:color w:val="000000"/>
            </w:rPr>
            <m:t>o</m:t>
          </m:r>
          <m:r>
            <m:rPr>
              <m:sty m:val="p"/>
            </m:rPr>
            <w:rPr>
              <w:color w:val="000000"/>
            </w:rPr>
            <m:t>_</m:t>
          </m:r>
          <m:r>
            <m:rPr>
              <m:sty m:val="i"/>
            </m:rPr>
            <w:rPr>
              <w:color w:val="000000"/>
            </w:rPr>
            <m:t>A</m:t>
          </m:r>
          <m:r>
            <m:rPr>
              <m:sty m:val="i"/>
            </m:rPr>
            <w:rPr>
              <w:color w:val="000000"/>
            </w:rPr>
            <m:t>L</m:t>
          </m:r>
          <m:r>
            <m:rPr>
              <m:sty m:val="p"/>
            </m:rPr>
            <w:rPr>
              <w:color w:val="000000"/>
            </w:rPr>
            <m:t>30</m:t>
          </m:r>
          <m:r>
            <m:rPr>
              <m:sty m:val="p"/>
            </m:rPr>
            <w:rPr>
              <w:color w:val="000000"/>
            </w:rPr>
            <m:t>(</m:t>
          </m:r>
          <m:r>
            <m:rPr>
              <m:sty m:val="i"/>
            </m:rPr>
            <w:rPr>
              <w:color w:val="000000"/>
            </w:rPr>
            <m:t>A</m:t>
          </m:r>
          <m:r>
            <m:rPr>
              <m:sty m:val="i"/>
            </m:rPr>
            <w:rPr>
              <w:color w:val="000000"/>
            </w:rPr>
            <m:t>R</m:t>
          </m:r>
          <m:r>
            <m:rPr>
              <m:sty m:val="i"/>
            </m:rPr>
            <w:rPr>
              <w:color w:val="000000"/>
            </w:rPr>
            <m:t>S</m:t>
          </m:r>
          <m:r>
            <m:rPr>
              <m:sty m:val="p"/>
            </m:rPr>
            <w:rPr>
              <w:color w:val="000000"/>
            </w:rPr>
            <m:t>)</m:t>
          </m:r>
          <m:r>
            <m:rPr>
              <m:sty m:val="i"/>
            </m:rPr>
            <w:rPr>
              <w:color w:val="000000"/>
            </w:rPr>
            <m:t>P</m:t>
          </m:r>
          <m:r>
            <m:rPr>
              <m:sty m:val="i"/>
            </m:rPr>
            <w:rPr>
              <w:color w:val="000000"/>
            </w:rPr>
            <m:t>r</m:t>
          </m:r>
          <m:r>
            <m:rPr>
              <m:sty m:val="i"/>
            </m:rPr>
            <w:rPr>
              <w:color w:val="000000"/>
            </w:rPr>
            <m:t>e</m:t>
          </m:r>
          <m:r>
            <m:rPr>
              <m:sty m:val="i"/>
            </m:rPr>
            <w:rPr>
              <w:color w:val="000000"/>
            </w:rPr>
            <m:t>c</m:t>
          </m:r>
          <m:r>
            <m:rPr>
              <m:sty m:val="i"/>
            </m:rPr>
            <w:rPr>
              <w:color w:val="000000"/>
            </w:rPr>
            <m:t>i</m:t>
          </m:r>
          <m:r>
            <m:rPr>
              <m:sty m:val="i"/>
            </m:rPr>
            <w:rPr>
              <w:color w:val="000000"/>
            </w:rPr>
            <m:t>o</m:t>
          </m:r>
          <m:r>
            <m:rPr>
              <m:sty m:val="p"/>
            </m:rPr>
            <w:rPr>
              <w:color w:val="000000"/>
            </w:rPr>
            <m:t>_</m:t>
          </m:r>
          <m:r>
            <m:rPr>
              <m:sty m:val="i"/>
            </m:rPr>
            <w:rPr>
              <w:color w:val="000000"/>
            </w:rPr>
            <m:t>A</m:t>
          </m:r>
          <m:r>
            <m:rPr>
              <m:sty m:val="i"/>
            </m:rPr>
            <w:rPr>
              <w:color w:val="000000"/>
            </w:rPr>
            <m:t>L</m:t>
          </m:r>
          <m:r>
            <m:rPr>
              <m:sty m:val="p"/>
            </m:rPr>
            <w:rPr>
              <w:color w:val="000000"/>
            </w:rPr>
            <m:t>30</m:t>
          </m:r>
          <m:r>
            <m:rPr>
              <m:sty m:val="i"/>
            </m:rPr>
            <w:rPr>
              <w:color w:val="000000"/>
            </w:rPr>
            <m:t>C</m:t>
          </m:r>
          <m:r>
            <m:rPr>
              <m:sty m:val="p"/>
            </m:rPr>
            <w:rPr>
              <w:color w:val="000000"/>
            </w:rPr>
            <m:t>(</m:t>
          </m:r>
          <m:r>
            <m:rPr>
              <m:sty m:val="i"/>
            </m:rPr>
            <w:rPr>
              <w:color w:val="000000"/>
            </w:rPr>
            <m:t>U</m:t>
          </m:r>
          <m:r>
            <m:rPr>
              <m:sty m:val="i"/>
            </m:rPr>
            <w:rPr>
              <w:color w:val="000000"/>
            </w:rPr>
            <m:t>S</m:t>
          </m:r>
          <m:sSub>
            <m:sSubPr>
              <m:ctrlPr>
                <w:rPr>
                  <w:rFonts w:ascii="Cambria Math" w:hAnsi="Cambria Math"/>
                  <w:color w:val="000000"/>
                </w:rPr>
              </m:ctrlPr>
            </m:sSubPr>
            <m:e>
              <m:r>
                <m:rPr>
                  <m:sty m:val="i"/>
                </m:rPr>
                <w:rPr>
                  <w:color w:val="000000"/>
                </w:rPr>
                <m:t>D</m:t>
              </m:r>
            </m:e>
            <m:sub>
              <m:r>
                <m:rPr>
                  <m:sty m:val="i"/>
                </m:rPr>
                <w:rPr>
                  <w:color w:val="000000"/>
                </w:rPr>
                <m:t>c</m:t>
              </m:r>
            </m:sub>
          </m:sSub>
          <m:r>
            <m:rPr>
              <m:sty m:val="i"/>
            </m:rPr>
            <w:rPr>
              <w:color w:val="000000"/>
            </w:rPr>
            <m:t>a</m:t>
          </m:r>
          <m:r>
            <m:rPr>
              <m:sty m:val="i"/>
            </m:rPr>
            <w:rPr>
              <w:color w:val="000000"/>
            </w:rPr>
            <m:t>b</m:t>
          </m:r>
          <m:r>
            <m:rPr>
              <m:sty m:val="i"/>
            </m:rPr>
            <w:rPr>
              <w:color w:val="000000"/>
            </w:rPr>
            <m:t>l</m:t>
          </m:r>
          <m:r>
            <m:rPr>
              <m:sty m:val="i"/>
            </m:rPr>
            <w:rPr>
              <w:color w:val="000000"/>
            </w:rPr>
            <m:t>e</m:t>
          </m:r>
          <m:r>
            <m:rPr>
              <m:sty m:val="p"/>
            </m:rPr>
            <w:rPr>
              <w:color w:val="000000"/>
            </w:rPr>
            <m:t>)</m:t>
          </m:r>
        </m:oMath>
      </m:oMathPara>
    </w:p>
    <w:p>
      <w:pPr>
        <w:spacing w:line="360" w:after="210" w:lineRule="auto"/>
      </w:pPr>
      <w:r>
        <w:rPr>
          <w:rFonts w:eastAsia="source serif 4" w:cs="source serif 4" w:ascii="source serif 4" w:hAnsi="source serif 4"/>
          <w:b/>
          <w:color w:val="000000"/>
        </w:rPr>
        <w:t xml:space="preserve">Instrumentos:</w:t>
      </w:r>
    </w:p>
    <w:p>
      <w:pPr>
        <w:numPr>
          <w:ilvl w:val="0"/>
          <w:numId w:val="14"/>
        </w:numPr>
        <w:spacing w:line="360" w:before="105" w:after="105" w:lineRule="auto"/>
      </w:pPr>
      <w:r>
        <w:rPr>
          <w:rFonts w:eastAsia="source serif 4" w:cs="source serif 4" w:ascii="source serif 4" w:hAnsi="source serif 4"/>
          <w:b/>
          <w:color w:val="000000"/>
          <w:sz w:val="21"/>
        </w:rPr>
        <w:t xml:space="preserve">AL30 (ARS):</w:t>
      </w:r>
      <w:r>
        <w:rPr>
          <w:rFonts w:eastAsia="source serif 4" w:cs="source serif 4" w:ascii="source serif 4" w:hAnsi="source serif 4"/>
          <w:color w:val="000000"/>
          <w:sz w:val="21"/>
        </w:rPr>
        <w:t xml:space="preserve"> Bono soberano en pesos, ley argentina.</w:t>
      </w:r>
    </w:p>
    <w:p>
      <w:pPr>
        <w:numPr>
          <w:ilvl w:val="0"/>
          <w:numId w:val="14"/>
        </w:numPr>
        <w:spacing w:line="360" w:before="105" w:after="105" w:lineRule="auto"/>
      </w:pPr>
      <w:r>
        <w:rPr>
          <w:rFonts w:eastAsia="source serif 4" w:cs="source serif 4" w:ascii="source serif 4" w:hAnsi="source serif 4"/>
          <w:b/>
          <w:color w:val="000000"/>
          <w:sz w:val="21"/>
        </w:rPr>
        <w:t xml:space="preserve">AL30C (USD cable):</w:t>
      </w:r>
      <w:r>
        <w:rPr>
          <w:rFonts w:eastAsia="source serif 4" w:cs="source serif 4" w:ascii="source serif 4" w:hAnsi="source serif 4"/>
          <w:color w:val="000000"/>
          <w:sz w:val="21"/>
        </w:rPr>
        <w:t xml:space="preserve"> Bono soberano en dólares, ley argentina, liquidación en el exterior.</w:t>
      </w:r>
    </w:p>
    <w:p>
      <w:pPr>
        <w:numPr>
          <w:ilvl w:val="0"/>
          <w:numId w:val="14"/>
        </w:numPr>
        <w:spacing w:line="360" w:before="105" w:after="105" w:lineRule="auto"/>
      </w:pPr>
      <w:r>
        <w:rPr>
          <w:rFonts w:eastAsia="source serif 4" w:cs="source serif 4" w:ascii="source serif 4" w:hAnsi="source serif 4"/>
          <w:color w:val="000000"/>
          <w:sz w:val="21"/>
        </w:rPr>
        <w:t xml:space="preserve">Alternativamente: GD30 (USD, ley Nueva York).</w:t>
      </w:r>
    </w:p>
    <w:p>
      <w:pPr>
        <w:spacing w:line="360" w:after="210" w:lineRule="auto"/>
      </w:pPr>
      <w:r>
        <w:rPr>
          <w:rFonts w:eastAsia="source serif 4" w:cs="source serif 4" w:ascii="source serif 4" w:hAnsi="source serif 4"/>
          <w:b/>
          <w:color w:val="000000"/>
        </w:rPr>
        <w:t xml:space="preserve">Settlement:</w:t>
      </w:r>
    </w:p>
    <w:p>
      <w:pPr>
        <w:numPr>
          <w:ilvl w:val="0"/>
          <w:numId w:val="15"/>
        </w:numPr>
        <w:spacing w:line="360" w:before="105" w:after="105" w:lineRule="auto"/>
      </w:pPr>
      <w:r>
        <w:rPr>
          <w:rFonts w:eastAsia="source serif 4" w:cs="source serif 4" w:ascii="source serif 4" w:hAnsi="source serif 4"/>
          <w:color w:val="000000"/>
          <w:sz w:val="21"/>
        </w:rPr>
        <w:t xml:space="preserve">T+1 para la pata en pesos.</w:t>
      </w:r>
    </w:p>
    <w:p>
      <w:pPr>
        <w:numPr>
          <w:ilvl w:val="0"/>
          <w:numId w:val="15"/>
        </w:numPr>
        <w:spacing w:line="360" w:before="105" w:after="105" w:lineRule="auto"/>
      </w:pPr>
      <w:r>
        <w:rPr>
          <w:rFonts w:eastAsia="source serif 4" w:cs="source serif 4" w:ascii="source serif 4" w:hAnsi="source serif 4"/>
          <w:color w:val="000000"/>
          <w:sz w:val="21"/>
        </w:rPr>
        <w:t xml:space="preserve">Liquidación en el exterior para la pata en dólares (cable).</w:t>
      </w:r>
    </w:p>
    <w:p>
      <w:pPr>
        <w:spacing w:line="360" w:after="210" w:lineRule="auto"/>
      </w:pPr>
      <w:r>
        <w:rPr>
          <w:rFonts w:eastAsia="source serif 4" w:cs="source serif 4" w:ascii="source serif 4" w:hAnsi="source serif 4"/>
          <w:b/>
          <w:color w:val="000000"/>
        </w:rPr>
        <w:t xml:space="preserve">Limitaciones:</w:t>
      </w:r>
    </w:p>
    <w:p>
      <w:pPr>
        <w:numPr>
          <w:ilvl w:val="0"/>
          <w:numId w:val="16"/>
        </w:numPr>
        <w:spacing w:line="360" w:before="105" w:after="105" w:lineRule="auto"/>
      </w:pPr>
      <w:r>
        <w:rPr>
          <w:rFonts w:eastAsia="source serif 4" w:cs="source serif 4" w:ascii="source serif 4" w:hAnsi="source serif 4"/>
          <w:color w:val="000000"/>
          <w:sz w:val="21"/>
        </w:rPr>
        <w:t xml:space="preserve">La relación puede variar según el bono utilizado.</w:t>
      </w:r>
    </w:p>
    <w:p>
      <w:pPr>
        <w:numPr>
          <w:ilvl w:val="0"/>
          <w:numId w:val="16"/>
        </w:numPr>
        <w:spacing w:line="360" w:before="105" w:after="105" w:lineRule="auto"/>
      </w:pPr>
      <w:r>
        <w:rPr>
          <w:rFonts w:eastAsia="source serif 4" w:cs="source serif 4" w:ascii="source serif 4" w:hAnsi="source serif 4"/>
          <w:color w:val="000000"/>
          <w:sz w:val="21"/>
        </w:rPr>
        <w:t xml:space="preserve">No es una serie oficial BCRA/BYMA antes de febrero 2024.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6_ias_21_conversión_de_moneda_bc04b7"/>
      <w:r>
        <w:rPr>
          <w:rFonts w:eastAsia="source serif 4" w:cs="source serif 4" w:ascii="source serif 4" w:hAnsi="source serif 4"/>
          <w:b/>
          <w:color w:val="000000"/>
          <w:sz w:val="24"/>
        </w:rPr>
        <w:t xml:space="preserve">6. IAS 21 — Conversión de Moneda Extranjera</w:t>
      </w:r>
      <w:bookmarkEnd w:id="12"/>
    </w:p>
    <w:p>
      <w:pPr>
        <w:spacing w:line="360" w:before="315" w:after="105" w:lineRule="auto"/>
        <w:ind w:left="-30"/>
        <w:jc w:val="left"/>
      </w:pPr>
      <w:bookmarkStart w:id="13" w:name="bm_6_1_metodología_ifrs"/>
      <w:r>
        <w:rPr>
          <w:rFonts w:eastAsia="source serif 4" w:cs="source serif 4" w:ascii="source serif 4" w:hAnsi="source serif 4"/>
          <w:b/>
          <w:color w:val="000000"/>
          <w:sz w:val="24"/>
        </w:rPr>
        <w:t xml:space="preserve">6.1 Metodología IFRS</w:t>
      </w:r>
      <w:bookmarkEnd w:id="13"/>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IFRS Foundation IAS 21 [cite:17][cite:19][cite:20][cite:24]</w:t>
      </w:r>
    </w:p>
    <w:p>
      <w:pPr>
        <w:spacing w:line="360" w:after="210" w:lineRule="auto"/>
      </w:pPr>
      <w:r>
        <w:rPr>
          <w:rFonts w:eastAsia="source serif 4" w:cs="source serif 4" w:ascii="source serif 4" w:hAnsi="source serif 4"/>
          <w:b/>
          <w:color w:val="000000"/>
        </w:rPr>
        <w:t xml:space="preserve">Principios:</w:t>
      </w:r>
    </w:p>
    <w:p>
      <w:pPr>
        <w:numPr>
          <w:ilvl w:val="0"/>
          <w:numId w:val="17"/>
        </w:numPr>
        <w:spacing w:line="360" w:after="210" w:lineRule="auto"/>
      </w:pPr>
      <w:r>
        <w:rPr>
          <w:rFonts w:eastAsia="source serif 4" w:cs="source serif 4" w:ascii="source serif 4" w:hAnsi="source serif 4"/>
          <w:b/>
          <w:color w:val="000000"/>
          <w:sz w:val="21"/>
        </w:rPr>
        <w:t xml:space="preserve">Reconocimiento inicial:</w:t>
      </w:r>
    </w:p>
    <w:p>
      <w:pPr>
        <w:numPr>
          <w:ilvl w:val="1"/>
          <w:numId w:val="17"/>
        </w:numPr>
        <w:spacing w:line="360" w:before="105" w:after="105" w:lineRule="auto"/>
      </w:pPr>
      <w:r>
        <w:rPr>
          <w:rFonts w:eastAsia="source serif 4" w:cs="source serif 4" w:ascii="source serif 4" w:hAnsi="source serif 4"/>
          <w:color w:val="000000"/>
          <w:sz w:val="21"/>
        </w:rPr>
        <w:t xml:space="preserve">Las transacciones en moneda extranjera se registran aplicando el tipo de cambio spot entre la moneda funcional y la moneda extranjera en la fecha de la transacción.</w:t>
      </w:r>
    </w:p>
    <w:p>
      <w:pPr>
        <w:numPr>
          <w:ilvl w:val="0"/>
          <w:numId w:val="17"/>
        </w:numPr>
        <w:spacing w:line="360" w:after="210" w:lineRule="auto"/>
      </w:pPr>
      <w:r>
        <w:rPr>
          <w:rFonts w:eastAsia="source serif 4" w:cs="source serif 4" w:ascii="source serif 4" w:hAnsi="source serif 4"/>
          <w:b/>
          <w:color w:val="000000"/>
          <w:sz w:val="21"/>
        </w:rPr>
        <w:t xml:space="preserve">Al final de cada período de reporte: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Partidas monetarias:</w:t>
      </w:r>
      <w:r>
        <w:rPr>
          <w:rFonts w:eastAsia="source serif 4" w:cs="source serif 4" w:ascii="source serif 4" w:hAnsi="source serif 4"/>
          <w:color w:val="000000"/>
          <w:sz w:val="21"/>
        </w:rPr>
        <w:t xml:space="preserve"> Se traducen usando el tipo de cambio de cierre (closing rate).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 </w:t>
      </w:r>
      <w:r>
        <w:rPr>
          <w:rFonts w:eastAsia="source serif 4" w:cs="source serif 4" w:ascii="source serif 4" w:hAnsi="source serif 4"/>
          <w:b/>
          <w:color w:val="000000"/>
          <w:sz w:val="21"/>
        </w:rPr>
        <w:t xml:space="preserve">Partidas no monetarias medidas a costo histórico:</w:t>
      </w:r>
      <w:r>
        <w:rPr>
          <w:rFonts w:eastAsia="source serif 4" w:cs="source serif 4" w:ascii="source serif 4" w:hAnsi="source serif 4"/>
          <w:color w:val="000000"/>
          <w:sz w:val="21"/>
        </w:rPr>
        <w:t xml:space="preserve"> Se traducen usando el tipo de cambio en la fecha de la transacción.</w:t>
      </w:r>
    </w:p>
    <w:p>
      <w:pPr>
        <w:numPr>
          <w:ilvl w:val="0"/>
          <w:numId w:val="17"/>
        </w:numPr>
        <w:spacing w:line="360" w:after="210" w:lineRule="auto"/>
      </w:pPr>
      <w:r>
        <w:rPr>
          <w:rFonts w:eastAsia="source serif 4" w:cs="source serif 4" w:ascii="source serif 4" w:hAnsi="source serif 4"/>
          <w:b/>
          <w:color w:val="000000"/>
          <w:sz w:val="21"/>
        </w:rPr>
        <w:t xml:space="preserve">Traducción a moneda de presentación diferente: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Activos y pasivos:</w:t>
      </w:r>
      <w:r>
        <w:rPr>
          <w:rFonts w:eastAsia="source serif 4" w:cs="source serif 4" w:ascii="source serif 4" w:hAnsi="source serif 4"/>
          <w:color w:val="000000"/>
          <w:sz w:val="21"/>
        </w:rPr>
        <w:t xml:space="preserve"> Se traducen al tipo de cambio de cierre en la fecha del estado de situación financiera.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 </w:t>
      </w:r>
      <w:r>
        <w:rPr>
          <w:rFonts w:eastAsia="source serif 4" w:cs="source serif 4" w:ascii="source serif 4" w:hAnsi="source serif 4"/>
          <w:b/>
          <w:color w:val="000000"/>
          <w:sz w:val="21"/>
        </w:rPr>
        <w:t xml:space="preserve">Ingresos y gastos:</w:t>
      </w:r>
      <w:r>
        <w:rPr>
          <w:rFonts w:eastAsia="source serif 4" w:cs="source serif 4" w:ascii="source serif 4" w:hAnsi="source serif 4"/>
          <w:color w:val="000000"/>
          <w:sz w:val="21"/>
        </w:rPr>
        <w:t xml:space="preserve"> Se traducen a los tipos de cambio en las fechas de las transacciones (o promedio ponderado si es práctico).</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 </w:t>
      </w:r>
      <w:r>
        <w:rPr>
          <w:rFonts w:eastAsia="source serif 4" w:cs="source serif 4" w:ascii="source serif 4" w:hAnsi="source serif 4"/>
          <w:b/>
          <w:color w:val="000000"/>
          <w:sz w:val="21"/>
        </w:rPr>
        <w:t xml:space="preserve">Diferencias de cambio:</w:t>
      </w:r>
      <w:r>
        <w:rPr>
          <w:rFonts w:eastAsia="source serif 4" w:cs="source serif 4" w:ascii="source serif 4" w:hAnsi="source serif 4"/>
          <w:color w:val="000000"/>
          <w:sz w:val="21"/>
        </w:rPr>
        <w:t xml:space="preserve"> Se reconocen en otro resultado integral.</w:t>
      </w:r>
    </w:p>
    <w:p>
      <w:pPr>
        <w:numPr>
          <w:ilvl w:val="0"/>
          <w:numId w:val="17"/>
        </w:numPr>
        <w:spacing w:line="360" w:after="210" w:lineRule="auto"/>
      </w:pPr>
      <w:r>
        <w:rPr>
          <w:rFonts w:eastAsia="source serif 4" w:cs="source serif 4" w:ascii="source serif 4" w:hAnsi="source serif 4"/>
          <w:b/>
          <w:color w:val="000000"/>
          <w:sz w:val="21"/>
        </w:rPr>
        <w:t xml:space="preserve">Estimación del tipo de cambio spot:</w:t>
      </w:r>
    </w:p>
    <w:p>
      <w:pPr>
        <w:numPr>
          <w:ilvl w:val="1"/>
          <w:numId w:val="17"/>
        </w:numPr>
        <w:spacing w:line="360" w:before="105" w:after="105" w:lineRule="auto"/>
      </w:pPr>
      <w:r>
        <w:rPr>
          <w:rFonts w:eastAsia="source serif 4" w:cs="source serif 4" w:ascii="source serif 4" w:hAnsi="source serif 4"/>
          <w:color w:val="000000"/>
          <w:sz w:val="21"/>
        </w:rPr>
        <w:t xml:space="preserve">Cuando una moneda no es canjeable en otra en la fecha de medición, la entidad debe estimar el tipo de cambio spot.</w:t>
      </w:r>
    </w:p>
    <w:p>
      <w:pPr>
        <w:numPr>
          <w:ilvl w:val="1"/>
          <w:numId w:val="17"/>
        </w:numPr>
        <w:spacing w:line="360" w:before="105" w:after="105" w:lineRule="auto"/>
      </w:pPr>
      <w:r>
        <w:rPr>
          <w:rFonts w:eastAsia="source serif 4" w:cs="source serif 4" w:ascii="source serif 4" w:hAnsi="source serif 4"/>
          <w:color w:val="000000"/>
          <w:sz w:val="21"/>
        </w:rPr>
        <w:t xml:space="preserve">El objetivo es reflejar la tasa a la cual una transacción de cambio ordenada tendría lugar entre participantes del mercado bajo las condiciones económicas prevalecientes.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7_settlement_ars_usd_cable"/>
      <w:r>
        <w:rPr>
          <w:rFonts w:eastAsia="source serif 4" w:cs="source serif 4" w:ascii="source serif 4" w:hAnsi="source serif 4"/>
          <w:b/>
          <w:color w:val="000000"/>
          <w:sz w:val="24"/>
        </w:rPr>
        <w:t xml:space="preserve">7. Settlement ARS / USD / Cable</w:t>
      </w:r>
      <w:bookmarkEnd w:id="14"/>
    </w:p>
    <w:p>
      <w:pPr>
        <w:spacing w:line="360" w:before="315" w:after="105" w:lineRule="auto"/>
        <w:ind w:left="-30"/>
        <w:jc w:val="left"/>
      </w:pPr>
      <w:bookmarkStart w:id="15" w:name="bm_7_1_plazos_de_liquidación_cnv_f747dc"/>
      <w:r>
        <w:rPr>
          <w:rFonts w:eastAsia="source serif 4" w:cs="source serif 4" w:ascii="source serif 4" w:hAnsi="source serif 4"/>
          <w:b/>
          <w:color w:val="000000"/>
          <w:sz w:val="24"/>
        </w:rPr>
        <w:t xml:space="preserve">7.1 Plazos de Liquidación (CNV RG 1000/2024)</w:t>
      </w:r>
      <w:bookmarkEnd w:id="15"/>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CNV Resolución General 1000/2024 [cite:31][cite:34][cite:35]</w:t>
      </w:r>
    </w:p>
    <w:p>
      <w:pPr>
        <w:spacing w:line="360" w:after="210" w:lineRule="auto"/>
      </w:pPr>
      <w:r>
        <w:rPr>
          <w:rFonts w:eastAsia="source serif 4" w:cs="source serif 4" w:ascii="source serif 4" w:hAnsi="source serif 4"/>
          <w:b/>
          <w:color w:val="000000"/>
        </w:rPr>
        <w:t xml:space="preserve">Plazos:</w:t>
      </w:r>
    </w:p>
    <w:p>
      <w:pPr>
        <w:numPr>
          <w:ilvl w:val="0"/>
          <w:numId w:val="18"/>
        </w:numPr>
        <w:spacing w:line="360" w:before="105" w:after="105" w:lineRule="auto"/>
      </w:pPr>
      <w:r>
        <w:rPr>
          <w:rFonts w:eastAsia="source serif 4" w:cs="source serif 4" w:ascii="source serif 4" w:hAnsi="source serif 4"/>
          <w:b/>
          <w:color w:val="000000"/>
          <w:sz w:val="21"/>
        </w:rPr>
        <w:t xml:space="preserve">T+0 (Contado Inmediato):</w:t>
      </w:r>
      <w:r>
        <w:rPr>
          <w:rFonts w:eastAsia="source serif 4" w:cs="source serif 4" w:ascii="source serif 4" w:hAnsi="source serif 4"/>
          <w:color w:val="000000"/>
          <w:sz w:val="21"/>
        </w:rPr>
        <w:t xml:space="preserve"> Liquidación en la misma fecha de concertación.</w:t>
      </w:r>
    </w:p>
    <w:p>
      <w:pPr>
        <w:numPr>
          <w:ilvl w:val="0"/>
          <w:numId w:val="18"/>
        </w:numPr>
        <w:spacing w:line="360" w:before="105" w:after="105" w:lineRule="auto"/>
      </w:pPr>
      <w:r>
        <w:rPr>
          <w:rFonts w:eastAsia="source serif 4" w:cs="source serif 4" w:ascii="source serif 4" w:hAnsi="source serif 4"/>
          <w:b/>
          <w:color w:val="000000"/>
          <w:sz w:val="21"/>
        </w:rPr>
        <w:t xml:space="preserve">T+1 (Contado 24 horas):</w:t>
      </w:r>
      <w:r>
        <w:rPr>
          <w:rFonts w:eastAsia="source serif 4" w:cs="source serif 4" w:ascii="source serif 4" w:hAnsi="source serif 4"/>
          <w:color w:val="000000"/>
          <w:sz w:val="21"/>
        </w:rPr>
        <w:t xml:space="preserve"> Liquidación a las 24 horas hábiles desde la concertación (CONTADO NORMAL desde mayo 2024).</w:t>
      </w:r>
    </w:p>
    <w:p>
      <w:pPr>
        <w:numPr>
          <w:ilvl w:val="0"/>
          <w:numId w:val="18"/>
        </w:numPr>
        <w:spacing w:line="360" w:before="105" w:after="105" w:lineRule="auto"/>
      </w:pPr>
      <w:r>
        <w:rPr>
          <w:rFonts w:eastAsia="source serif 4" w:cs="source serif 4" w:ascii="source serif 4" w:hAnsi="source serif 4"/>
          <w:b/>
          <w:color w:val="000000"/>
          <w:sz w:val="21"/>
        </w:rPr>
        <w:t xml:space="preserve">T+2 (Contado 48 horas):</w:t>
      </w:r>
      <w:r>
        <w:rPr>
          <w:rFonts w:eastAsia="source serif 4" w:cs="source serif 4" w:ascii="source serif 4" w:hAnsi="source serif 4"/>
          <w:color w:val="000000"/>
          <w:sz w:val="21"/>
        </w:rPr>
        <w:t xml:space="preserve"> Solo para renta fija, si los Mercados y Cámaras Compensadoras no optaron por discontinuar esta modalidad.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7_2_cuentas_ccyl_argentina_clearing"/>
      <w:r>
        <w:rPr>
          <w:rFonts w:eastAsia="source serif 4" w:cs="source serif 4" w:ascii="source serif 4" w:hAnsi="source serif 4"/>
          <w:b/>
          <w:color w:val="000000"/>
          <w:sz w:val="24"/>
        </w:rPr>
        <w:t xml:space="preserve">7.2 Cuentas CCyL (Argentina Clearing)</w:t>
      </w:r>
      <w:bookmarkEnd w:id="16"/>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Settlement Instructions Argentina Clearing [cite:43][cite:65][cite:66]</w:t>
      </w:r>
    </w:p>
    <w:p>
      <w:pPr>
        <w:spacing w:line="360" w:after="210" w:lineRule="auto"/>
      </w:pPr>
      <w:r>
        <w:rPr>
          <w:rFonts w:eastAsia="source serif 4" w:cs="source serif 4" w:ascii="source serif 4" w:hAnsi="source serif 4"/>
          <w:b/>
          <w:color w:val="000000"/>
        </w:rPr>
        <w:t xml:space="preserve">Tipos de cuentas:</w:t>
      </w:r>
    </w:p>
    <w:p>
      <w:pPr>
        <w:numPr>
          <w:ilvl w:val="0"/>
          <w:numId w:val="19"/>
        </w:numPr>
        <w:spacing w:line="360" w:before="105" w:after="105" w:lineRule="auto"/>
      </w:pPr>
      <w:r>
        <w:rPr>
          <w:rFonts w:eastAsia="source serif 4" w:cs="source serif 4" w:ascii="source serif 4" w:hAnsi="source serif 4"/>
          <w:b/>
          <w:color w:val="000000"/>
          <w:sz w:val="21"/>
        </w:rPr>
        <w:t xml:space="preserve">CCyL Pesos:</w:t>
      </w:r>
      <w:r>
        <w:rPr>
          <w:rFonts w:eastAsia="source serif 4" w:cs="source serif 4" w:ascii="source serif 4" w:hAnsi="source serif 4"/>
          <w:color w:val="000000"/>
          <w:sz w:val="21"/>
        </w:rPr>
        <w:t xml:space="preserve"> Para operaciones de valores negociables y FCI que se liquidan en pesos.</w:t>
      </w:r>
    </w:p>
    <w:p>
      <w:pPr>
        <w:numPr>
          <w:ilvl w:val="0"/>
          <w:numId w:val="19"/>
        </w:numPr>
        <w:spacing w:line="360" w:before="105" w:after="105" w:lineRule="auto"/>
      </w:pPr>
      <w:r>
        <w:rPr>
          <w:rFonts w:eastAsia="source serif 4" w:cs="source serif 4" w:ascii="source serif 4" w:hAnsi="source serif 4"/>
          <w:b/>
          <w:color w:val="000000"/>
          <w:sz w:val="21"/>
        </w:rPr>
        <w:t xml:space="preserve">CCyL Dollar MEP:</w:t>
      </w:r>
      <w:r>
        <w:rPr>
          <w:rFonts w:eastAsia="source serif 4" w:cs="source serif 4" w:ascii="source serif 4" w:hAnsi="source serif 4"/>
          <w:color w:val="000000"/>
          <w:sz w:val="21"/>
        </w:rPr>
        <w:t xml:space="preserve"> Para operaciones de valores negociables y FCI que se liquidan en dólares MEP (dentro de Argentina).</w:t>
      </w:r>
    </w:p>
    <w:p>
      <w:pPr>
        <w:numPr>
          <w:ilvl w:val="0"/>
          <w:numId w:val="19"/>
        </w:numPr>
        <w:spacing w:line="360" w:before="105" w:after="105" w:lineRule="auto"/>
      </w:pPr>
      <w:r>
        <w:rPr>
          <w:rFonts w:eastAsia="source serif 4" w:cs="source serif 4" w:ascii="source serif 4" w:hAnsi="source serif 4"/>
          <w:b/>
          <w:color w:val="000000"/>
          <w:sz w:val="21"/>
        </w:rPr>
        <w:t xml:space="preserve">CCyL Dollar Cable:</w:t>
      </w:r>
      <w:r>
        <w:rPr>
          <w:rFonts w:eastAsia="source serif 4" w:cs="source serif 4" w:ascii="source serif 4" w:hAnsi="source serif 4"/>
          <w:color w:val="000000"/>
          <w:sz w:val="21"/>
        </w:rPr>
        <w:t xml:space="preserve"> Para operaciones de valores negociables y FCI que se liquidan en dólares cable (al exterior).</w:t>
      </w:r>
    </w:p>
    <w:p>
      <w:pPr>
        <w:numPr>
          <w:ilvl w:val="0"/>
          <w:numId w:val="19"/>
        </w:numPr>
        <w:spacing w:line="360" w:before="105" w:after="105" w:lineRule="auto"/>
      </w:pPr>
      <w:r>
        <w:rPr>
          <w:rFonts w:eastAsia="source serif 4" w:cs="source serif 4" w:ascii="source serif 4" w:hAnsi="source serif 4"/>
          <w:b/>
          <w:color w:val="000000"/>
          <w:sz w:val="21"/>
        </w:rPr>
        <w:t xml:space="preserve">CCyL Dollar MtR:</w:t>
      </w:r>
      <w:r>
        <w:rPr>
          <w:rFonts w:eastAsia="source serif 4" w:cs="source serif 4" w:ascii="source serif 4" w:hAnsi="source serif 4"/>
          <w:color w:val="000000"/>
          <w:sz w:val="21"/>
        </w:rPr>
        <w:t xml:space="preserve"> Para operaciones de futuros y opciones que se liquidan en dólares linked (mecanismo dólar-linked del BCRA).</w:t>
      </w:r>
    </w:p>
    <w:p>
      <w:pPr>
        <w:spacing w:line="360" w:after="210" w:lineRule="auto"/>
      </w:pPr>
      <w:r>
        <w:rPr>
          <w:rFonts w:eastAsia="source serif 4" w:cs="source serif 4" w:ascii="source serif 4" w:hAnsi="source serif 4"/>
          <w:b/>
          <w:color w:val="000000"/>
        </w:rPr>
        <w:t xml:space="preserve">Ventanas de liquidación:</w:t>
      </w:r>
    </w:p>
    <w:p>
      <w:pPr>
        <w:numPr>
          <w:ilvl w:val="0"/>
          <w:numId w:val="20"/>
        </w:numPr>
        <w:spacing w:line="360" w:before="105" w:after="105" w:lineRule="auto"/>
      </w:pPr>
      <w:r>
        <w:rPr>
          <w:rFonts w:eastAsia="source serif 4" w:cs="source serif 4" w:ascii="source serif 4" w:hAnsi="source serif 4"/>
          <w:color w:val="000000"/>
          <w:sz w:val="21"/>
        </w:rPr>
        <w:t xml:space="preserve">1ª Ventana: hasta 1:00 PM (excepto MAE Auctions hasta 11:00 AM).</w:t>
      </w:r>
    </w:p>
    <w:p>
      <w:pPr>
        <w:numPr>
          <w:ilvl w:val="0"/>
          <w:numId w:val="20"/>
        </w:numPr>
        <w:spacing w:line="360" w:before="105" w:after="105" w:lineRule="auto"/>
      </w:pPr>
      <w:r>
        <w:rPr>
          <w:rFonts w:eastAsia="source serif 4" w:cs="source serif 4" w:ascii="source serif 4" w:hAnsi="source serif 4"/>
          <w:color w:val="000000"/>
          <w:sz w:val="21"/>
        </w:rPr>
        <w:t xml:space="preserve">2ª Ventana: 1:00 PM – 5:00 PM.</w:t>
      </w:r>
    </w:p>
    <w:p>
      <w:pPr>
        <w:numPr>
          <w:ilvl w:val="0"/>
          <w:numId w:val="20"/>
        </w:numPr>
        <w:spacing w:line="360" w:before="105" w:after="105" w:lineRule="auto"/>
      </w:pPr>
      <w:r>
        <w:rPr>
          <w:rFonts w:eastAsia="source serif 4" w:cs="source serif 4" w:ascii="source serif 4" w:hAnsi="source serif 4"/>
          <w:color w:val="000000"/>
          <w:sz w:val="21"/>
        </w:rPr>
        <w:t xml:space="preserve">3ª Ventana: 5:00 PM – 6:00 PM.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8_conversión_ars_usd_en_estado_be6d4c"/>
      <w:r>
        <w:rPr>
          <w:rFonts w:eastAsia="source serif 4" w:cs="source serif 4" w:ascii="source serif 4" w:hAnsi="source serif 4"/>
          <w:b/>
          <w:color w:val="000000"/>
          <w:sz w:val="24"/>
        </w:rPr>
        <w:t xml:space="preserve">8. Conversión ARS/USD en Estados Financieros</w:t>
      </w:r>
      <w:bookmarkEnd w:id="17"/>
    </w:p>
    <w:p>
      <w:pPr>
        <w:spacing w:line="360" w:before="315" w:after="105" w:lineRule="auto"/>
        <w:ind w:left="-30"/>
        <w:jc w:val="left"/>
      </w:pPr>
      <w:bookmarkStart w:id="18" w:name="bm_8_1_bcra"/>
      <w:r>
        <w:rPr>
          <w:rFonts w:eastAsia="source serif 4" w:cs="source serif 4" w:ascii="source serif 4" w:hAnsi="source serif 4"/>
          <w:b/>
          <w:color w:val="000000"/>
          <w:sz w:val="24"/>
        </w:rPr>
        <w:t xml:space="preserve">8.1 BCRA</w:t>
      </w:r>
      <w:bookmarkEnd w:id="18"/>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Financial Statements BCRA 2023 [cite:45]</w:t>
      </w:r>
    </w:p>
    <w:p>
      <w:pPr>
        <w:spacing w:line="360" w:after="210" w:lineRule="auto"/>
      </w:pPr>
      <w:r>
        <w:rPr>
          <w:rFonts w:eastAsia="source serif 4" w:cs="source serif 4" w:ascii="source serif 4" w:hAnsi="source serif 4"/>
          <w:b/>
          <w:color w:val="000000"/>
        </w:rPr>
        <w:t xml:space="preserve">Metodología:</w:t>
      </w:r>
    </w:p>
    <w:p>
      <w:pPr>
        <w:numPr>
          <w:ilvl w:val="0"/>
          <w:numId w:val="21"/>
        </w:numPr>
        <w:spacing w:line="360" w:before="105" w:after="105" w:lineRule="auto"/>
      </w:pPr>
      <w:r>
        <w:rPr>
          <w:rFonts w:eastAsia="source serif 4" w:cs="source serif 4" w:ascii="source serif 4" w:hAnsi="source serif 4"/>
          <w:color w:val="000000"/>
          <w:sz w:val="21"/>
        </w:rPr>
        <w:t xml:space="preserve">Las transacciones en moneda extranjera se convierten a pesos al tipo de cambio vigente en la fecha de la transacción.</w:t>
      </w:r>
    </w:p>
    <w:p>
      <w:pPr>
        <w:numPr>
          <w:ilvl w:val="0"/>
          <w:numId w:val="21"/>
        </w:numPr>
        <w:spacing w:line="360" w:before="105" w:after="105" w:lineRule="auto"/>
      </w:pPr>
      <w:r>
        <w:rPr>
          <w:rFonts w:eastAsia="source serif 4" w:cs="source serif 4" w:ascii="source serif 4" w:hAnsi="source serif 4"/>
          <w:color w:val="000000"/>
          <w:sz w:val="21"/>
        </w:rPr>
        <w:t xml:space="preserve">Los inventarios en dólares se sujetan al tipo de cambio de referencia vigente al 31 de diciembre, calculado por el BCRA según la metodología de la Comunicación A 3500.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8_2_empresas_argentinas_ej_tel_98654a"/>
      <w:r>
        <w:rPr>
          <w:rFonts w:eastAsia="source serif 4" w:cs="source serif 4" w:ascii="source serif 4" w:hAnsi="source serif 4"/>
          <w:b/>
          <w:color w:val="000000"/>
          <w:sz w:val="24"/>
        </w:rPr>
        <w:t xml:space="preserve">8.2 Empresas Argentinas (ej. Telecom Argentina)</w:t>
      </w:r>
      <w:bookmarkEnd w:id="19"/>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Telecom Argentina 20-F 2024 [cite:47]</w:t>
      </w:r>
    </w:p>
    <w:p>
      <w:pPr>
        <w:spacing w:line="360" w:after="210" w:lineRule="auto"/>
      </w:pPr>
      <w:r>
        <w:rPr>
          <w:rFonts w:eastAsia="source serif 4" w:cs="source serif 4" w:ascii="source serif 4" w:hAnsi="source serif 4"/>
          <w:b/>
          <w:color w:val="000000"/>
        </w:rPr>
        <w:t xml:space="preserve">Metodología:</w:t>
      </w:r>
    </w:p>
    <w:p>
      <w:pPr>
        <w:numPr>
          <w:ilvl w:val="0"/>
          <w:numId w:val="22"/>
        </w:numPr>
        <w:spacing w:line="360" w:before="105" w:after="105" w:lineRule="auto"/>
      </w:pPr>
      <w:r>
        <w:rPr>
          <w:rFonts w:eastAsia="source serif 4" w:cs="source serif 4" w:ascii="source serif 4" w:hAnsi="source serif 4"/>
          <w:b/>
          <w:color w:val="000000"/>
          <w:sz w:val="21"/>
        </w:rPr>
        <w:t xml:space="preserve">Moneda funcional:</w:t>
      </w:r>
      <w:r>
        <w:rPr>
          <w:rFonts w:eastAsia="source serif 4" w:cs="source serif 4" w:ascii="source serif 4" w:hAnsi="source serif 4"/>
          <w:color w:val="000000"/>
          <w:sz w:val="21"/>
        </w:rPr>
        <w:t xml:space="preserve"> Peso argentino.</w:t>
      </w:r>
    </w:p>
    <w:p>
      <w:pPr>
        <w:numPr>
          <w:ilvl w:val="0"/>
          <w:numId w:val="22"/>
        </w:numPr>
        <w:spacing w:line="360" w:before="105" w:after="105" w:lineRule="auto"/>
      </w:pPr>
      <w:r>
        <w:rPr>
          <w:rFonts w:eastAsia="source serif 4" w:cs="source serif 4" w:ascii="source serif 4" w:hAnsi="source serif 4"/>
          <w:b/>
          <w:color w:val="000000"/>
          <w:sz w:val="21"/>
        </w:rPr>
        <w:t xml:space="preserve">Hiperinflación (IAS 29):</w:t>
      </w:r>
      <w:r>
        <w:rPr>
          <w:rFonts w:eastAsia="source serif 4" w:cs="source serif 4" w:ascii="source serif 4" w:hAnsi="source serif 4"/>
          <w:color w:val="000000"/>
          <w:sz w:val="21"/>
        </w:rPr>
        <w:t xml:space="preserve"> Desde julio 2018, los estados financieros se reexpresan en moneda corriente antes de convertir a otra moneda.</w:t>
      </w:r>
    </w:p>
    <w:p>
      <w:pPr>
        <w:numPr>
          <w:ilvl w:val="0"/>
          <w:numId w:val="22"/>
        </w:numPr>
        <w:spacing w:line="360" w:before="105" w:after="105" w:lineRule="auto"/>
      </w:pPr>
      <w:r>
        <w:rPr>
          <w:rFonts w:eastAsia="source serif 4" w:cs="source serif 4" w:ascii="source serif 4" w:hAnsi="source serif 4"/>
          <w:b/>
          <w:color w:val="000000"/>
          <w:sz w:val="21"/>
        </w:rPr>
        <w:t xml:space="preserve">Traducción a moneda de presentación (ej. USD):</w:t>
      </w:r>
    </w:p>
    <w:p>
      <w:pPr>
        <w:numPr>
          <w:ilvl w:val="1"/>
          <w:numId w:val="22"/>
        </w:numPr>
        <w:spacing w:line="360" w:before="105" w:after="105" w:lineRule="auto"/>
      </w:pPr>
      <w:r>
        <w:rPr>
          <w:rFonts w:eastAsia="source serif 4" w:cs="source serif 4" w:ascii="source serif 4" w:hAnsi="source serif 4"/>
          <w:color w:val="000000"/>
          <w:sz w:val="21"/>
        </w:rPr>
        <w:t xml:space="preserve">Activos y pasivos: tipo de cambio de cierre.</w:t>
      </w:r>
    </w:p>
    <w:p>
      <w:pPr>
        <w:numPr>
          <w:ilvl w:val="1"/>
          <w:numId w:val="22"/>
        </w:numPr>
        <w:spacing w:line="360" w:before="105" w:after="105" w:lineRule="auto"/>
      </w:pPr>
      <w:r>
        <w:rPr>
          <w:rFonts w:eastAsia="source serif 4" w:cs="source serif 4" w:ascii="source serif 4" w:hAnsi="source serif 4"/>
          <w:color w:val="000000"/>
          <w:sz w:val="21"/>
        </w:rPr>
        <w:t xml:space="preserve">Ingresos y gastos: tipo de cambio promedio del período (o de la transacción).</w:t>
      </w:r>
    </w:p>
    <w:p>
      <w:pPr>
        <w:numPr>
          <w:ilvl w:val="1"/>
          <w:numId w:val="22"/>
        </w:numPr>
        <w:spacing w:line="360" w:before="105" w:after="105" w:lineRule="auto"/>
      </w:pPr>
      <w:r>
        <w:rPr>
          <w:rFonts w:eastAsia="source serif 4" w:cs="source serif 4" w:ascii="source serif 4" w:hAnsi="source serif 4"/>
          <w:color w:val="000000"/>
          <w:sz w:val="21"/>
        </w:rPr>
        <w:t xml:space="preserve">Diferencias de cambio: otro resultado integral.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9_fuentes_de_proveedores_finan_bb0009"/>
      <w:r>
        <w:rPr>
          <w:rFonts w:eastAsia="source serif 4" w:cs="source serif 4" w:ascii="source serif 4" w:hAnsi="source serif 4"/>
          <w:b/>
          <w:color w:val="000000"/>
          <w:sz w:val="24"/>
        </w:rPr>
        <w:t xml:space="preserve">9. Fuentes de Proveedores Financieros Globales</w:t>
      </w:r>
      <w:bookmarkEnd w:id="20"/>
    </w:p>
    <w:p>
      <w:pPr>
        <w:spacing w:line="360" w:before="315" w:after="105" w:lineRule="auto"/>
        <w:ind w:left="-30"/>
        <w:jc w:val="left"/>
      </w:pPr>
      <w:bookmarkStart w:id="21" w:name="bm_9_1_bloomberg_reuters"/>
      <w:r>
        <w:rPr>
          <w:rFonts w:eastAsia="source serif 4" w:cs="source serif 4" w:ascii="source serif 4" w:hAnsi="source serif 4"/>
          <w:b/>
          <w:color w:val="000000"/>
          <w:sz w:val="24"/>
        </w:rPr>
        <w:t xml:space="preserve">9.1 Bloomberg / Reuters</w:t>
      </w:r>
      <w:bookmarkEnd w:id="21"/>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IMF SDDS DQAF [cite:18]</w:t>
      </w:r>
    </w:p>
    <w:p>
      <w:pPr>
        <w:spacing w:line="360" w:after="210" w:lineRule="auto"/>
      </w:pPr>
      <w:r>
        <w:rPr>
          <w:rFonts w:eastAsia="source serif 4" w:cs="source serif 4" w:ascii="source serif 4" w:hAnsi="source serif 4"/>
          <w:b/>
          <w:color w:val="000000"/>
        </w:rPr>
        <w:t xml:space="preserve">Metodología:</w:t>
      </w:r>
    </w:p>
    <w:p>
      <w:pPr>
        <w:numPr>
          <w:ilvl w:val="0"/>
          <w:numId w:val="23"/>
        </w:numPr>
        <w:spacing w:line="360" w:before="105" w:after="105" w:lineRule="auto"/>
      </w:pPr>
      <w:r>
        <w:rPr>
          <w:rFonts w:eastAsia="source serif 4" w:cs="source serif 4" w:ascii="source serif 4" w:hAnsi="source serif 4"/>
          <w:color w:val="000000"/>
          <w:sz w:val="21"/>
        </w:rPr>
        <w:t xml:space="preserve">Los datos se publican basados en tasas suministradas por Bloomberg o Reuters (15:00, hora Argentina).</w:t>
      </w:r>
    </w:p>
    <w:p>
      <w:pPr>
        <w:numPr>
          <w:ilvl w:val="0"/>
          <w:numId w:val="23"/>
        </w:numPr>
        <w:spacing w:line="360" w:before="105" w:after="105" w:lineRule="auto"/>
      </w:pPr>
      <w:r>
        <w:rPr>
          <w:rFonts w:eastAsia="source serif 4" w:cs="source serif 4" w:ascii="source serif 4" w:hAnsi="source serif 4"/>
          <w:color w:val="000000"/>
          <w:sz w:val="21"/>
        </w:rPr>
        <w:t xml:space="preserve">No hay documentación pública detallada sobre la metodología exacta de cálculo para ARS/USD.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9_2_s_p_global_capitaliq_tikr"/>
      <w:r>
        <w:rPr>
          <w:rFonts w:eastAsia="source serif 4" w:cs="source serif 4" w:ascii="source serif 4" w:hAnsi="source serif 4"/>
          <w:b/>
          <w:color w:val="000000"/>
          <w:sz w:val="24"/>
        </w:rPr>
        <w:t xml:space="preserve">9.2 S&amp;P Global CapitalIQ (TIKR)</w:t>
      </w:r>
      <w:bookmarkEnd w:id="22"/>
    </w:p>
    <w:p>
      <w:pPr>
        <w:spacing w:line="360" w:after="210" w:lineRule="auto"/>
      </w:pPr>
      <w:r>
        <w:rPr>
          <w:rFonts w:eastAsia="source serif 4" w:cs="source serif 4" w:ascii="source serif 4" w:hAnsi="source serif 4"/>
          <w:b/>
          <w:color w:val="000000"/>
        </w:rPr>
        <w:t xml:space="preserve">Fuente:</w:t>
      </w:r>
      <w:r>
        <w:rPr>
          <w:rFonts w:eastAsia="source serif 4" w:cs="source serif 4" w:ascii="source serif 4" w:hAnsi="source serif 4"/>
          <w:color w:val="000000"/>
        </w:rPr>
        <w:t xml:space="preserve"> TIKR Terminal [cite:54]</w:t>
      </w:r>
    </w:p>
    <w:p>
      <w:pPr>
        <w:spacing w:line="360" w:after="210" w:lineRule="auto"/>
      </w:pPr>
      <w:r>
        <w:rPr>
          <w:rFonts w:eastAsia="source serif 4" w:cs="source serif 4" w:ascii="source serif 4" w:hAnsi="source serif 4"/>
          <w:b/>
          <w:color w:val="000000"/>
        </w:rPr>
        <w:t xml:space="preserve">Metodología:</w:t>
      </w:r>
    </w:p>
    <w:p>
      <w:pPr>
        <w:numPr>
          <w:ilvl w:val="0"/>
          <w:numId w:val="24"/>
        </w:numPr>
        <w:spacing w:line="360" w:before="105" w:after="105" w:lineRule="auto"/>
      </w:pPr>
      <w:r>
        <w:rPr>
          <w:rFonts w:eastAsia="source serif 4" w:cs="source serif 4" w:ascii="source serif 4" w:hAnsi="source serif 4"/>
          <w:color w:val="000000"/>
          <w:sz w:val="21"/>
        </w:rPr>
        <w:t xml:space="preserve">No hay documentación pública sobre la metodología de conversión de moneda para Argentina.</w:t>
      </w:r>
    </w:p>
    <w:p>
      <w:pPr>
        <w:numPr>
          <w:ilvl w:val="0"/>
          <w:numId w:val="24"/>
        </w:numPr>
        <w:spacing w:line="360" w:before="105" w:after="105" w:lineRule="auto"/>
      </w:pPr>
      <w:r>
        <w:rPr>
          <w:rFonts w:eastAsia="source serif 4" w:cs="source serif 4" w:ascii="source serif 4" w:hAnsi="source serif 4"/>
          <w:color w:val="000000"/>
          <w:sz w:val="21"/>
        </w:rPr>
        <w:t xml:space="preserve">TIKR utiliza datos de S&amp;P Global CapitalIQ, pero no se especifica el tipo de cambio utilizado (oficial, MEP, CCL, etc.).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FIN DEL DOCUMENTO</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2026-09-15T21:27:41.328Z</dcterms:created>
  <dcterms:modified xsi:type="dcterms:W3CDTF">2026-09-15T21:27:41.328Z</dcterms:modified>
</cp:coreProperties>
</file>