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PLAN DETALLADO — CATALAXIA FINANCE</w:t>
      </w:r>
    </w:p>
    <w:p>
      <w:pPr>
        <w:jc w:val="center"/>
      </w:pPr>
      <w:r>
        <w:rPr>
          <w:i/>
          <w:sz w:val="20"/>
        </w:rPr>
        <w:t>Construcción de dataset financiero histórico, reproducible, trazable y certificable</w:t>
      </w:r>
    </w:p>
    <w:p>
      <w:r>
        <w:t>Versión: 1.0 | Fecha: 2026-08-23</w:t>
      </w:r>
    </w:p>
    <w:p>
      <w:r>
        <w:t>Objetivo rector: generar una fotografía financiera reproducible a una fecha de corte (as_of_date), con al menos 5–6 años de historia y preferentemente 7 años de fundamentals, más histórico diario de mercado, provenance completo y certificación métrica por métrica.</w:t>
      </w:r>
    </w:p>
    <w:p>
      <w:pPr>
        <w:pStyle w:val="Heading1"/>
      </w:pPr>
      <w:r>
        <w:t>1. Resultado final esperado</w:t>
      </w:r>
    </w:p>
    <w:p>
      <w:pPr>
        <w:pStyle w:val="ListBullet"/>
      </w:pPr>
      <w:r>
        <w:t>Un único entry point oficial para reconstruir/actualizar el dataset y generar snapshots.</w:t>
      </w:r>
    </w:p>
    <w:p>
      <w:pPr>
        <w:pStyle w:val="ListBullet"/>
      </w:pPr>
      <w:r>
        <w:t>Histórico mínimo de 5–6 años; objetivo operativo de 7 años de fundamentals para disponer de margen de cálculo y validación.</w:t>
      </w:r>
    </w:p>
    <w:p>
      <w:pPr>
        <w:pStyle w:val="ListBullet"/>
      </w:pPr>
      <w:r>
        <w:t>Precios diarios desde el máximo histórico disponible que la fuente permita conservar.</w:t>
      </w:r>
    </w:p>
    <w:p>
      <w:pPr>
        <w:pStyle w:val="ListBullet"/>
      </w:pPr>
      <w:r>
        <w:t>13 métricas del screener calculadas desde datos subyacentes, no tratadas como fuente primaria.</w:t>
      </w:r>
    </w:p>
    <w:p>
      <w:pPr>
        <w:pStyle w:val="ListBullet"/>
      </w:pPr>
      <w:r>
        <w:t>Cada dato y cada métrica con provenance: fuente, documento/hecho, transformación, fórmula, versión de código y corrida.</w:t>
      </w:r>
    </w:p>
    <w:p>
      <w:pPr>
        <w:pStyle w:val="ListBullet"/>
      </w:pPr>
      <w:r>
        <w:t>Snapshot inmutable por fecha de corte, con estado de calidad por métrica.</w:t>
      </w:r>
    </w:p>
    <w:p>
      <w:pPr>
        <w:pStyle w:val="ListBullet"/>
      </w:pPr>
      <w:r>
        <w:t>TIKR utilizado como benchmark externo de contraste, no como fuente primaria.</w:t>
      </w:r>
    </w:p>
    <w:p>
      <w:pPr>
        <w:pStyle w:val="ListBullet"/>
      </w:pPr>
      <w:r>
        <w:t>Publicación a PostgreSQL/API separada del laboratorio de extracción y cálculo.</w:t>
      </w:r>
    </w:p>
    <w:p>
      <w:pPr>
        <w:pStyle w:val="Heading1"/>
      </w:pPr>
      <w:r>
        <w:t>2. Arquitectura objetivo</w:t>
      </w:r>
    </w:p>
    <w:p>
      <w:r>
        <w:t>Flujo canónico:</w:t>
      </w:r>
    </w:p>
    <w:p>
      <w:r>
        <w:t>Universo/Identidad → RAW inmutable → Normalización → Modelo financiero histórico → Market Data → Motor de métricas → Quality/Certification → Snapshot → Publicación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Responsabilidad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Qué conservar</w:t>
            </w:r>
          </w:p>
        </w:tc>
        <w:tc>
          <w:tcPr>
            <w:tcW w:type="dxa" w:w="2556"/>
            <w:vAlign w:val="center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556"/>
            <w:vAlign w:val="top"/>
          </w:tcPr>
          <w:p>
            <w:r>
              <w:t>0. Universo</w:t>
            </w:r>
          </w:p>
        </w:tc>
        <w:tc>
          <w:tcPr>
            <w:tcW w:type="dxa" w:w="2556"/>
            <w:vAlign w:val="top"/>
          </w:tcPr>
          <w:p>
            <w:r>
              <w:t>Identidad de entidades e instrumentos</w:t>
            </w:r>
          </w:p>
        </w:tc>
        <w:tc>
          <w:tcPr>
            <w:tcW w:type="dxa" w:w="2556"/>
            <w:vAlign w:val="top"/>
          </w:tcPr>
          <w:p>
            <w:r>
              <w:t>CUIT, CIK, ticker, listing, mercado, moneda</w:t>
            </w:r>
          </w:p>
        </w:tc>
        <w:tc>
          <w:tcPr>
            <w:tcW w:type="dxa" w:w="2556"/>
            <w:vAlign w:val="top"/>
          </w:tcPr>
          <w:p>
            <w:r>
              <w:t>Universo congelado</w:t>
            </w:r>
          </w:p>
        </w:tc>
      </w:tr>
      <w:tr>
        <w:tc>
          <w:tcPr>
            <w:tcW w:type="dxa" w:w="2556"/>
            <w:vAlign w:val="top"/>
          </w:tcPr>
          <w:p>
            <w:r>
              <w:t>1. RAW</w:t>
            </w:r>
          </w:p>
        </w:tc>
        <w:tc>
          <w:tcPr>
            <w:tcW w:type="dxa" w:w="2556"/>
            <w:vAlign w:val="top"/>
          </w:tcPr>
          <w:p>
            <w:r>
              <w:t>Captura exacta de fuentes</w:t>
            </w:r>
          </w:p>
        </w:tc>
        <w:tc>
          <w:tcPr>
            <w:tcW w:type="dxa" w:w="2556"/>
            <w:vAlign w:val="top"/>
          </w:tcPr>
          <w:p>
            <w:r>
              <w:t>Documento, payload, hash, URL, timestamps, download_log</w:t>
            </w:r>
          </w:p>
        </w:tc>
        <w:tc>
          <w:tcPr>
            <w:tcW w:type="dxa" w:w="2556"/>
            <w:vAlign w:val="top"/>
          </w:tcPr>
          <w:p>
            <w:r>
              <w:t>Materia prima inmutable</w:t>
            </w:r>
          </w:p>
        </w:tc>
      </w:tr>
      <w:tr>
        <w:tc>
          <w:tcPr>
            <w:tcW w:type="dxa" w:w="2556"/>
            <w:vAlign w:val="top"/>
          </w:tcPr>
          <w:p>
            <w:r>
              <w:t>2. Normalización</w:t>
            </w:r>
          </w:p>
        </w:tc>
        <w:tc>
          <w:tcPr>
            <w:tcW w:type="dxa" w:w="2556"/>
            <w:vAlign w:val="top"/>
          </w:tcPr>
          <w:p>
            <w:r>
              <w:t>Unidad, moneda, calendario, identidad</w:t>
            </w:r>
          </w:p>
        </w:tc>
        <w:tc>
          <w:tcPr>
            <w:tcW w:type="dxa" w:w="2556"/>
            <w:vAlign w:val="top"/>
          </w:tcPr>
          <w:p>
            <w:r>
              <w:t>raw_value + normalized_value + regla</w:t>
            </w:r>
          </w:p>
        </w:tc>
        <w:tc>
          <w:tcPr>
            <w:tcW w:type="dxa" w:w="2556"/>
            <w:vAlign w:val="top"/>
          </w:tcPr>
          <w:p>
            <w:r>
              <w:t>Facts normalizados</w:t>
            </w:r>
          </w:p>
        </w:tc>
      </w:tr>
      <w:tr>
        <w:tc>
          <w:tcPr>
            <w:tcW w:type="dxa" w:w="2556"/>
            <w:vAlign w:val="top"/>
          </w:tcPr>
          <w:p>
            <w:r>
              <w:t>3. Financial Model</w:t>
            </w:r>
          </w:p>
        </w:tc>
        <w:tc>
          <w:tcPr>
            <w:tcW w:type="dxa" w:w="2556"/>
            <w:vAlign w:val="top"/>
          </w:tcPr>
          <w:p>
            <w:r>
              <w:t>Income/Balance/Cash Flow por período</w:t>
            </w:r>
          </w:p>
        </w:tc>
        <w:tc>
          <w:tcPr>
            <w:tcW w:type="dxa" w:w="2556"/>
            <w:vAlign w:val="top"/>
          </w:tcPr>
          <w:p>
            <w:r>
              <w:t>FY/Q/TTM y períodos fiscales reales</w:t>
            </w:r>
          </w:p>
        </w:tc>
        <w:tc>
          <w:tcPr>
            <w:tcW w:type="dxa" w:w="2556"/>
            <w:vAlign w:val="top"/>
          </w:tcPr>
          <w:p>
            <w:r>
              <w:t>Modelo histórico</w:t>
            </w:r>
          </w:p>
        </w:tc>
      </w:tr>
      <w:tr>
        <w:tc>
          <w:tcPr>
            <w:tcW w:type="dxa" w:w="2556"/>
            <w:vAlign w:val="top"/>
          </w:tcPr>
          <w:p>
            <w:r>
              <w:t>4. Market Data</w:t>
            </w:r>
          </w:p>
        </w:tc>
        <w:tc>
          <w:tcPr>
            <w:tcW w:type="dxa" w:w="2556"/>
            <w:vAlign w:val="top"/>
          </w:tcPr>
          <w:p>
            <w:r>
              <w:t>Precio y serie diaria</w:t>
            </w:r>
          </w:p>
        </w:tc>
        <w:tc>
          <w:tcPr>
            <w:tcW w:type="dxa" w:w="2556"/>
            <w:vAlign w:val="top"/>
          </w:tcPr>
          <w:p>
            <w:r>
              <w:t>OHLCV, adjusted close, fuente</w:t>
            </w:r>
          </w:p>
        </w:tc>
        <w:tc>
          <w:tcPr>
            <w:tcW w:type="dxa" w:w="2556"/>
            <w:vAlign w:val="top"/>
          </w:tcPr>
          <w:p>
            <w:r>
              <w:t>Mercado histórico</w:t>
            </w:r>
          </w:p>
        </w:tc>
      </w:tr>
      <w:tr>
        <w:tc>
          <w:tcPr>
            <w:tcW w:type="dxa" w:w="2556"/>
            <w:vAlign w:val="top"/>
          </w:tcPr>
          <w:p>
            <w:r>
              <w:t>5. Metrics</w:t>
            </w:r>
          </w:p>
        </w:tc>
        <w:tc>
          <w:tcPr>
            <w:tcW w:type="dxa" w:w="2556"/>
            <w:vAlign w:val="top"/>
          </w:tcPr>
          <w:p>
            <w:r>
              <w:t>Cálculo de las 13 métricas</w:t>
            </w:r>
          </w:p>
        </w:tc>
        <w:tc>
          <w:tcPr>
            <w:tcW w:type="dxa" w:w="2556"/>
            <w:vAlign w:val="top"/>
          </w:tcPr>
          <w:p>
            <w:r>
              <w:t>inputs, fórmula, versión</w:t>
            </w:r>
          </w:p>
        </w:tc>
        <w:tc>
          <w:tcPr>
            <w:tcW w:type="dxa" w:w="2556"/>
            <w:vAlign w:val="top"/>
          </w:tcPr>
          <w:p>
            <w:r>
              <w:t>Metric snapshot</w:t>
            </w:r>
          </w:p>
        </w:tc>
      </w:tr>
      <w:tr>
        <w:tc>
          <w:tcPr>
            <w:tcW w:type="dxa" w:w="2556"/>
            <w:vAlign w:val="top"/>
          </w:tcPr>
          <w:p>
            <w:r>
              <w:t>6. Quality</w:t>
            </w:r>
          </w:p>
        </w:tc>
        <w:tc>
          <w:tcPr>
            <w:tcW w:type="dxa" w:w="2556"/>
            <w:vAlign w:val="top"/>
          </w:tcPr>
          <w:p>
            <w:r>
              <w:t>Gates, anomalías y certificación</w:t>
            </w:r>
          </w:p>
        </w:tc>
        <w:tc>
          <w:tcPr>
            <w:tcW w:type="dxa" w:w="2556"/>
            <w:vAlign w:val="top"/>
          </w:tcPr>
          <w:p>
            <w:r>
              <w:t>checks, warnings, evidencia</w:t>
            </w:r>
          </w:p>
        </w:tc>
        <w:tc>
          <w:tcPr>
            <w:tcW w:type="dxa" w:w="2556"/>
            <w:vAlign w:val="top"/>
          </w:tcPr>
          <w:p>
            <w:r>
              <w:t>Estado por métrica</w:t>
            </w:r>
          </w:p>
        </w:tc>
      </w:tr>
      <w:tr>
        <w:tc>
          <w:tcPr>
            <w:tcW w:type="dxa" w:w="2556"/>
            <w:vAlign w:val="top"/>
          </w:tcPr>
          <w:p>
            <w:r>
              <w:t>7. Snapshot</w:t>
            </w:r>
          </w:p>
        </w:tc>
        <w:tc>
          <w:tcPr>
            <w:tcW w:type="dxa" w:w="2556"/>
            <w:vAlign w:val="top"/>
          </w:tcPr>
          <w:p>
            <w:r>
              <w:t>Foto reproducible</w:t>
            </w:r>
          </w:p>
        </w:tc>
        <w:tc>
          <w:tcPr>
            <w:tcW w:type="dxa" w:w="2556"/>
            <w:vAlign w:val="top"/>
          </w:tcPr>
          <w:p>
            <w:r>
              <w:t>as_of, market_as_of, run, commit, fuentes</w:t>
            </w:r>
          </w:p>
        </w:tc>
        <w:tc>
          <w:tcPr>
            <w:tcW w:type="dxa" w:w="2556"/>
            <w:vAlign w:val="top"/>
          </w:tcPr>
          <w:p>
            <w:r>
              <w:t>Snapshot inmutable</w:t>
            </w:r>
          </w:p>
        </w:tc>
      </w:tr>
      <w:tr>
        <w:tc>
          <w:tcPr>
            <w:tcW w:type="dxa" w:w="2556"/>
            <w:vAlign w:val="top"/>
          </w:tcPr>
          <w:p>
            <w:r>
              <w:t>8. Publicación</w:t>
            </w:r>
          </w:p>
        </w:tc>
        <w:tc>
          <w:tcPr>
            <w:tcW w:type="dxa" w:w="2556"/>
            <w:vAlign w:val="top"/>
          </w:tcPr>
          <w:p>
            <w:r>
              <w:t>Postgres/API/Dashboard</w:t>
            </w:r>
          </w:p>
        </w:tc>
        <w:tc>
          <w:tcPr>
            <w:tcW w:type="dxa" w:w="2556"/>
            <w:vAlign w:val="top"/>
          </w:tcPr>
          <w:p>
            <w:r>
              <w:t>solo datos certificados/estado explícito</w:t>
            </w:r>
          </w:p>
        </w:tc>
        <w:tc>
          <w:tcPr>
            <w:tcW w:type="dxa" w:w="2556"/>
            <w:vAlign w:val="top"/>
          </w:tcPr>
          <w:p>
            <w:r>
              <w:t>Producto consumible</w:t>
            </w:r>
          </w:p>
        </w:tc>
      </w:tr>
    </w:tbl>
    <w:p>
      <w:pPr>
        <w:pStyle w:val="Heading1"/>
      </w:pPr>
      <w:r>
        <w:t>3. Fase 0 — Congelación metodológica</w:t>
      </w:r>
    </w:p>
    <w:p>
      <w:r>
        <w:t>Objetivo: impedir que el pipeline se estabilice sobre definiciones ambiguas.</w:t>
      </w:r>
    </w:p>
    <w:p>
      <w:pPr>
        <w:pStyle w:val="ListBullet"/>
      </w:pPr>
      <w:r>
        <w:t>Definir formalmente las 13 métricas y sus fórmulas.</w:t>
      </w:r>
    </w:p>
    <w:p>
      <w:pPr>
        <w:pStyle w:val="ListBullet"/>
      </w:pPr>
      <w:r>
        <w:t>Definir período de cálculo: FY, TTM, promedio 5 años, CAGR, etc.</w:t>
      </w:r>
    </w:p>
    <w:p>
      <w:pPr>
        <w:pStyle w:val="ListBullet"/>
      </w:pPr>
      <w:r>
        <w:t>Definir tratamiento de bancos/financieras y métricas no significativas.</w:t>
      </w:r>
    </w:p>
    <w:p>
      <w:pPr>
        <w:pStyle w:val="ListBullet"/>
      </w:pPr>
      <w:r>
        <w:t>Definir convención de distancia contra máximo/mínimo de 52 semanas.</w:t>
      </w:r>
    </w:p>
    <w:p>
      <w:pPr>
        <w:pStyle w:val="ListBullet"/>
      </w:pPr>
      <w:r>
        <w:t>Definir moneda y FX para cada cálculo.</w:t>
      </w:r>
    </w:p>
    <w:p>
      <w:pPr>
        <w:pStyle w:val="ListBullet"/>
      </w:pPr>
      <w:r>
        <w:t>Definir reglas para datos faltantes: NULL, N/A, no_significativo o no_certificado; nunca inventar.</w:t>
      </w:r>
    </w:p>
    <w:p>
      <w:pPr>
        <w:pStyle w:val="ListBullet"/>
      </w:pPr>
      <w:r>
        <w:t>Definir política de restatements: no sobrescribir RAW; conservar versiones.</w:t>
      </w:r>
    </w:p>
    <w:p>
      <w:pPr>
        <w:pStyle w:val="ListBullet"/>
      </w:pPr>
      <w:r>
        <w:t>Definir qué significa CERTIFIED, WARNING, NOT_CERTIFIED y MISSING.</w:t>
      </w:r>
    </w:p>
    <w:p>
      <w:pPr>
        <w:pStyle w:val="ListBullet"/>
      </w:pPr>
      <w:r>
        <w:t>Definir benchmark TIKR: métrica equivalente, fecha de captura y tolerancia; si la definición no es equivalente, marcar INCOMPARABLE.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Mitigación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3408"/>
            <w:vAlign w:val="top"/>
          </w:tcPr>
          <w:p>
            <w:r>
              <w:t>Dos fórmulas para la misma métrica</w:t>
            </w:r>
          </w:p>
        </w:tc>
        <w:tc>
          <w:tcPr>
            <w:tcW w:type="dxa" w:w="3408"/>
            <w:vAlign w:val="top"/>
          </w:tcPr>
          <w:p>
            <w:r>
              <w:t>Catálogo único metric_definition + formula_version</w:t>
            </w:r>
          </w:p>
        </w:tc>
        <w:tc>
          <w:tcPr>
            <w:tcW w:type="dxa" w:w="3408"/>
            <w:vAlign w:val="top"/>
          </w:tcPr>
          <w:p>
            <w:r>
              <w:t>0 métricas con definición ambigua</w:t>
            </w:r>
          </w:p>
        </w:tc>
      </w:tr>
      <w:tr>
        <w:tc>
          <w:tcPr>
            <w:tcW w:type="dxa" w:w="3408"/>
            <w:vAlign w:val="top"/>
          </w:tcPr>
          <w:p>
            <w:r>
              <w:t>Comparar métricas no equivalentes</w:t>
            </w:r>
          </w:p>
        </w:tc>
        <w:tc>
          <w:tcPr>
            <w:tcW w:type="dxa" w:w="3408"/>
            <w:vAlign w:val="top"/>
          </w:tcPr>
          <w:p>
            <w:r>
              <w:t>Mapa de equivalencia y estado INCOMPARABLE</w:t>
            </w:r>
          </w:p>
        </w:tc>
        <w:tc>
          <w:tcPr>
            <w:tcW w:type="dxa" w:w="3408"/>
            <w:vAlign w:val="top"/>
          </w:tcPr>
          <w:p>
            <w:r>
              <w:t>100% de benchmarks etiquetados</w:t>
            </w:r>
          </w:p>
        </w:tc>
      </w:tr>
      <w:tr>
        <w:tc>
          <w:tcPr>
            <w:tcW w:type="dxa" w:w="3408"/>
            <w:vAlign w:val="top"/>
          </w:tcPr>
          <w:p>
            <w:r>
              <w:t>Parchar faltantes manualmente</w:t>
            </w:r>
          </w:p>
        </w:tc>
        <w:tc>
          <w:tcPr>
            <w:tcW w:type="dxa" w:w="3408"/>
            <w:vAlign w:val="top"/>
          </w:tcPr>
          <w:p>
            <w:r>
              <w:t>NULL + reason_code + provenance obligatorio</w:t>
            </w:r>
          </w:p>
        </w:tc>
        <w:tc>
          <w:tcPr>
            <w:tcW w:type="dxa" w:w="3408"/>
            <w:vAlign w:val="top"/>
          </w:tcPr>
          <w:p>
            <w:r>
              <w:t>0 valores inventados</w:t>
            </w:r>
          </w:p>
        </w:tc>
      </w:tr>
    </w:tbl>
    <w:p>
      <w:pPr>
        <w:pStyle w:val="Heading1"/>
      </w:pPr>
      <w:r>
        <w:t>4. Fase 1 — Inventario y freeze del universo</w:t>
      </w:r>
    </w:p>
    <w:p>
      <w:r>
        <w:t>Objetivo: saber exactamente qué empresas/instrumentos forman parte del producto.</w:t>
      </w:r>
    </w:p>
    <w:p>
      <w:pPr>
        <w:pStyle w:val="ListBullet"/>
      </w:pPr>
      <w:r>
        <w:t>Separar entity de instrument/listing.</w:t>
      </w:r>
    </w:p>
    <w:p>
      <w:pPr>
        <w:pStyle w:val="ListBullet"/>
      </w:pPr>
      <w:r>
        <w:t>Usar CUIT como identidad argentina y CIK como identidad SEC cuando corresponda.</w:t>
      </w:r>
    </w:p>
    <w:p>
      <w:pPr>
        <w:pStyle w:val="ListBullet"/>
      </w:pPr>
      <w:r>
        <w:t>Mantener relaciones ADR ↔ acción subyacente ↔ listing BYMA/B3/NYSE/NASDAQ.</w:t>
      </w:r>
    </w:p>
    <w:p>
      <w:pPr>
        <w:pStyle w:val="ListBullet"/>
      </w:pPr>
      <w:r>
        <w:t>Detectar ticker collisions y cambios históricos de ticker.</w:t>
      </w:r>
    </w:p>
    <w:p>
      <w:pPr>
        <w:pStyle w:val="ListBullet"/>
      </w:pPr>
      <w:r>
        <w:t>Generar universe_snapshot antes de extraer.</w:t>
      </w:r>
    </w:p>
    <w:p>
      <w:pPr>
        <w:pStyle w:val="ListBullet"/>
      </w:pPr>
      <w:r>
        <w:t>Registrar expected_count por fuente y universo.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5112"/>
            <w:vAlign w:val="top"/>
          </w:tcPr>
          <w:p>
            <w:r>
              <w:t>Ticker reciclado por SEC</w:t>
            </w:r>
          </w:p>
        </w:tc>
        <w:tc>
          <w:tcPr>
            <w:tcW w:type="dxa" w:w="5112"/>
            <w:vAlign w:val="top"/>
          </w:tcPr>
          <w:p>
            <w:r>
              <w:t>CIK como identidad primaria SEC + revisión manual ante cambios</w:t>
            </w:r>
          </w:p>
        </w:tc>
      </w:tr>
      <w:tr>
        <w:tc>
          <w:tcPr>
            <w:tcW w:type="dxa" w:w="5112"/>
            <w:vAlign w:val="top"/>
          </w:tcPr>
          <w:p>
            <w:r>
              <w:t>Empresa duplicada</w:t>
            </w:r>
          </w:p>
        </w:tc>
        <w:tc>
          <w:tcPr>
            <w:tcW w:type="dxa" w:w="5112"/>
            <w:vAlign w:val="top"/>
          </w:tcPr>
          <w:p>
            <w:r>
              <w:t>Clave canónica entity_id; constraint de unicidad</w:t>
            </w:r>
          </w:p>
        </w:tc>
      </w:tr>
      <w:tr>
        <w:tc>
          <w:tcPr>
            <w:tcW w:type="dxa" w:w="5112"/>
            <w:vAlign w:val="top"/>
          </w:tcPr>
          <w:p>
            <w:r>
              <w:t>Empresa omitida</w:t>
            </w:r>
          </w:p>
        </w:tc>
        <w:tc>
          <w:tcPr>
            <w:tcW w:type="dxa" w:w="5112"/>
            <w:vAlign w:val="top"/>
          </w:tcPr>
          <w:p>
            <w:r>
              <w:t>Expected → downloaded → parsed → normalized → derived → published</w:t>
            </w:r>
          </w:p>
        </w:tc>
      </w:tr>
      <w:tr>
        <w:tc>
          <w:tcPr>
            <w:tcW w:type="dxa" w:w="5112"/>
            <w:vAlign w:val="top"/>
          </w:tcPr>
          <w:p>
            <w:r>
              <w:t>Cambio de universo durante la corrida</w:t>
            </w:r>
          </w:p>
        </w:tc>
        <w:tc>
          <w:tcPr>
            <w:tcW w:type="dxa" w:w="5112"/>
            <w:vAlign w:val="top"/>
          </w:tcPr>
          <w:p>
            <w:r>
              <w:t>Universe snapshot congelado por run_id</w:t>
            </w:r>
          </w:p>
        </w:tc>
      </w:tr>
    </w:tbl>
    <w:p>
      <w:pPr>
        <w:pStyle w:val="Heading1"/>
      </w:pPr>
      <w:r>
        <w:t>5. Fase 2 — Extracción RAW</w:t>
      </w:r>
    </w:p>
    <w:p>
      <w:r>
        <w:t>Objetivo: obtener la materia prima sin destruir información.</w:t>
      </w:r>
    </w:p>
    <w:p>
      <w:pPr>
        <w:pStyle w:val="ListBullet"/>
      </w:pPr>
      <w:r>
        <w:t>CNV: conservar HTML/documentos originales y resultados de extracción.</w:t>
      </w:r>
    </w:p>
    <w:p>
      <w:pPr>
        <w:pStyle w:val="ListBullet"/>
      </w:pPr>
      <w:r>
        <w:t>SEC EDGAR: conservar facts XBRL, submissions y metadatos necesarios.</w:t>
      </w:r>
    </w:p>
    <w:p>
      <w:pPr>
        <w:pStyle w:val="ListBullet"/>
      </w:pPr>
      <w:r>
        <w:t>yfinance: conservar respuestas/serie diaria y metadatos de ticker.</w:t>
      </w:r>
    </w:p>
    <w:p>
      <w:pPr>
        <w:pStyle w:val="ListBullet"/>
      </w:pPr>
      <w:r>
        <w:t>Registrar download_log append-only.</w:t>
      </w:r>
    </w:p>
    <w:p>
      <w:pPr>
        <w:pStyle w:val="ListBullet"/>
      </w:pPr>
      <w:r>
        <w:t>Hash SHA-256 del contenido descargado.</w:t>
      </w:r>
    </w:p>
    <w:p>
      <w:pPr>
        <w:pStyle w:val="ListBullet"/>
      </w:pPr>
      <w:r>
        <w:t>Registrar source_url, retrieved_at, published_at si existe, status HTTP, content_type, tamaño, parser/version.</w:t>
      </w:r>
    </w:p>
    <w:p>
      <w:pPr>
        <w:pStyle w:val="ListBullet"/>
      </w:pPr>
      <w:r>
        <w:t>Respetar rate limits y backoff.</w:t>
      </w:r>
    </w:p>
    <w:p>
      <w:pPr>
        <w:pStyle w:val="ListBullet"/>
      </w:pPr>
      <w:r>
        <w:t>Cachear por identidad de recurso y hash; no por ticker solamente.</w:t>
      </w:r>
    </w:p>
    <w:p>
      <w:pPr>
        <w:pStyle w:val="ListBullet"/>
      </w:pPr>
      <w:r>
        <w:t>No sobrescribir RAW.</w:t>
      </w:r>
    </w:p>
    <w:p>
      <w:r>
        <w:t>Protocolo ante falta de datos:</w:t>
      </w:r>
    </w:p>
    <w:p>
      <w:pPr>
        <w:pStyle w:val="ListNumber"/>
      </w:pPr>
      <w:r>
        <w:t>Detectar que falta el recurso esperado.</w:t>
      </w:r>
    </w:p>
    <w:p>
      <w:pPr>
        <w:pStyle w:val="ListNumber"/>
      </w:pPr>
      <w:r>
        <w:t>Registrar MISSING_RAW con reason_code.</w:t>
      </w:r>
    </w:p>
    <w:p>
      <w:pPr>
        <w:pStyle w:val="ListNumber"/>
      </w:pPr>
      <w:r>
        <w:t>Reintentar según política de fuente.</w:t>
      </w:r>
    </w:p>
    <w:p>
      <w:pPr>
        <w:pStyle w:val="ListNumber"/>
      </w:pPr>
      <w:r>
        <w:t>Si continúa faltando, no derivar una métrica falsa.</w:t>
      </w:r>
    </w:p>
    <w:p>
      <w:pPr>
        <w:pStyle w:val="ListNumber"/>
      </w:pPr>
      <w:r>
        <w:t>Propagar el faltante hacia la métrica como MISSING/NOT_CERTIFIED.</w:t>
      </w:r>
    </w:p>
    <w:p>
      <w:pPr>
        <w:pStyle w:val="ListNumber"/>
      </w:pPr>
      <w:r>
        <w:t>Permitir completar posteriormente sin recalcular innecesariamente todo el universo.</w:t>
      </w:r>
    </w:p>
    <w:p>
      <w:pPr>
        <w:pStyle w:val="Heading1"/>
      </w:pPr>
      <w:r>
        <w:t>6. Fase 3 — Normalización</w:t>
      </w:r>
    </w:p>
    <w:p>
      <w:r>
        <w:t>Objetivo: convertir RAW heterogéneo en hechos comparables sin perder la representación original.</w:t>
      </w:r>
    </w:p>
    <w:p>
      <w:pPr>
        <w:pStyle w:val="ListBullet"/>
      </w:pPr>
      <w:r>
        <w:t>Normalizar identidad.</w:t>
      </w:r>
    </w:p>
    <w:p>
      <w:pPr>
        <w:pStyle w:val="ListBullet"/>
      </w:pPr>
      <w:r>
        <w:t>Normalizar unidades: unidad, miles, millones, etc.</w:t>
      </w:r>
    </w:p>
    <w:p>
      <w:pPr>
        <w:pStyle w:val="ListBullet"/>
      </w:pPr>
      <w:r>
        <w:t>Normalizar moneda y conservar valor original.</w:t>
      </w:r>
    </w:p>
    <w:p>
      <w:pPr>
        <w:pStyle w:val="ListBullet"/>
      </w:pPr>
      <w:r>
        <w:t>Normalizar calendario fiscal leyendo el período real del documento.</w:t>
      </w:r>
    </w:p>
    <w:p>
      <w:pPr>
        <w:pStyle w:val="ListBullet"/>
      </w:pPr>
      <w:r>
        <w:t>Separar duración de período de fecha de cierre.</w:t>
      </w:r>
    </w:p>
    <w:p>
      <w:pPr>
        <w:pStyle w:val="ListBullet"/>
      </w:pPr>
      <w:r>
        <w:t>Guardar raw_value/raw_unit/raw_currency junto a normalized_value/normalized_unit/normalized_currency.</w:t>
      </w:r>
    </w:p>
    <w:p>
      <w:pPr>
        <w:pStyle w:val="ListBullet"/>
      </w:pPr>
      <w:r>
        <w:t>Registrar normalization_rule y normalization_version.</w:t>
      </w:r>
    </w:p>
    <w:p>
      <w:pPr>
        <w:pStyle w:val="ListBullet"/>
      </w:pPr>
      <w:r>
        <w:t>Conservar flags de sospecha y corrección.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3408"/>
            <w:vAlign w:val="top"/>
          </w:tcPr>
          <w:p>
            <w:r>
              <w:t>Escala incorrecta</w:t>
            </w:r>
          </w:p>
        </w:tc>
        <w:tc>
          <w:tcPr>
            <w:tcW w:type="dxa" w:w="3408"/>
            <w:vAlign w:val="top"/>
          </w:tcPr>
          <w:p>
            <w:r>
              <w:t>1 vs 1.000 vs 1.000.000</w:t>
            </w:r>
          </w:p>
        </w:tc>
        <w:tc>
          <w:tcPr>
            <w:tcW w:type="dxa" w:w="3408"/>
            <w:vAlign w:val="top"/>
          </w:tcPr>
          <w:p>
            <w:r>
              <w:t>Regla explícita + reconciliación + bloqueo si inconsistente</w:t>
            </w:r>
          </w:p>
        </w:tc>
      </w:tr>
      <w:tr>
        <w:tc>
          <w:tcPr>
            <w:tcW w:type="dxa" w:w="3408"/>
            <w:vAlign w:val="top"/>
          </w:tcPr>
          <w:p>
            <w:r>
              <w:t>Unidad ausente</w:t>
            </w:r>
          </w:p>
        </w:tc>
        <w:tc>
          <w:tcPr>
            <w:tcW w:type="dxa" w:w="3408"/>
            <w:vAlign w:val="top"/>
          </w:tcPr>
          <w:p>
            <w:r>
              <w:t>no_unidad</w:t>
            </w:r>
          </w:p>
        </w:tc>
        <w:tc>
          <w:tcPr>
            <w:tcW w:type="dxa" w:w="3408"/>
            <w:vAlign w:val="top"/>
          </w:tcPr>
          <w:p>
            <w:r>
              <w:t>Inferencia solo si está respaldada; si no, NULL/REVIEW</w:t>
            </w:r>
          </w:p>
        </w:tc>
      </w:tr>
      <w:tr>
        <w:tc>
          <w:tcPr>
            <w:tcW w:type="dxa" w:w="3408"/>
            <w:vAlign w:val="top"/>
          </w:tcPr>
          <w:p>
            <w:r>
              <w:t>Moneda incorrecta</w:t>
            </w:r>
          </w:p>
        </w:tc>
        <w:tc>
          <w:tcPr>
            <w:tcW w:type="dxa" w:w="3408"/>
            <w:vAlign w:val="top"/>
          </w:tcPr>
          <w:p>
            <w:r>
              <w:t>ARS vs USD</w:t>
            </w:r>
          </w:p>
        </w:tc>
        <w:tc>
          <w:tcPr>
            <w:tcW w:type="dxa" w:w="3408"/>
            <w:vAlign w:val="top"/>
          </w:tcPr>
          <w:p>
            <w:r>
              <w:t>Currency provenance + FX explícito</w:t>
            </w:r>
          </w:p>
        </w:tc>
      </w:tr>
      <w:tr>
        <w:tc>
          <w:tcPr>
            <w:tcW w:type="dxa" w:w="3408"/>
            <w:vAlign w:val="top"/>
          </w:tcPr>
          <w:p>
            <w:r>
              <w:t>Período fiscal mal interpretado</w:t>
            </w:r>
          </w:p>
        </w:tc>
        <w:tc>
          <w:tcPr>
            <w:tcW w:type="dxa" w:w="3408"/>
            <w:vAlign w:val="top"/>
          </w:tcPr>
          <w:p>
            <w:r>
              <w:t>FY vs trimestre</w:t>
            </w:r>
          </w:p>
        </w:tc>
        <w:tc>
          <w:tcPr>
            <w:tcW w:type="dxa" w:w="3408"/>
            <w:vAlign w:val="top"/>
          </w:tcPr>
          <w:p>
            <w:r>
              <w:t>PeriodoBalance real + period_type derivado</w:t>
            </w:r>
          </w:p>
        </w:tc>
      </w:tr>
      <w:tr>
        <w:tc>
          <w:tcPr>
            <w:tcW w:type="dxa" w:w="3408"/>
            <w:vAlign w:val="top"/>
          </w:tcPr>
          <w:p>
            <w:r>
              <w:t>Restatement</w:t>
            </w:r>
          </w:p>
        </w:tc>
        <w:tc>
          <w:tcPr>
            <w:tcW w:type="dxa" w:w="3408"/>
            <w:vAlign w:val="top"/>
          </w:tcPr>
          <w:p>
            <w:r>
              <w:t>mismo período con valor revisado</w:t>
            </w:r>
          </w:p>
        </w:tc>
        <w:tc>
          <w:tcPr>
            <w:tcW w:type="dxa" w:w="3408"/>
            <w:vAlign w:val="top"/>
          </w:tcPr>
          <w:p>
            <w:r>
              <w:t>Versionar hechos; nunca sobrescribir RAW</w:t>
            </w:r>
          </w:p>
        </w:tc>
      </w:tr>
    </w:tbl>
    <w:p>
      <w:pPr>
        <w:pStyle w:val="Heading1"/>
      </w:pPr>
      <w:r>
        <w:t>7. Fase 4 — Construcción del histórico financiero</w:t>
      </w:r>
    </w:p>
    <w:p>
      <w:r>
        <w:t>Objetivo: disponer de 5–7 años de fundamentals reconstruibles.</w:t>
      </w:r>
    </w:p>
    <w:p>
      <w:pPr>
        <w:pStyle w:val="ListBullet"/>
      </w:pPr>
      <w:r>
        <w:t>Construir series por entidad y período: Income Statement, Balance Sheet y Cash Flow.</w:t>
      </w:r>
    </w:p>
    <w:p>
      <w:pPr>
        <w:pStyle w:val="ListBullet"/>
      </w:pPr>
      <w:r>
        <w:t>Priorizar FY para CAGR y métricas de 5 años; conservar trimestrales para TTM y validaciones.</w:t>
      </w:r>
    </w:p>
    <w:p>
      <w:pPr>
        <w:pStyle w:val="ListBullet"/>
      </w:pPr>
      <w:r>
        <w:t>Mantener período fiscal real y no asumir año calendario.</w:t>
      </w:r>
    </w:p>
    <w:p>
      <w:pPr>
        <w:pStyle w:val="ListBullet"/>
      </w:pPr>
      <w:r>
        <w:t>Construir TTM desde períodos subyacentes cuando sea posible.</w:t>
      </w:r>
    </w:p>
    <w:p>
      <w:pPr>
        <w:pStyle w:val="ListBullet"/>
      </w:pPr>
      <w:r>
        <w:t>No calcular una métrica si no están presentes los inputs requeridos.</w:t>
      </w:r>
    </w:p>
    <w:p>
      <w:pPr>
        <w:pStyle w:val="ListBullet"/>
      </w:pPr>
      <w:r>
        <w:t>Conservar la lista exacta de inputs usados para cada derivación.</w:t>
      </w:r>
    </w:p>
    <w:p>
      <w:r>
        <w:t>Estrategia de cobertura: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Cobertura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Acción</w:t>
            </w:r>
          </w:p>
        </w:tc>
      </w:tr>
      <w:tr>
        <w:tc>
          <w:tcPr>
            <w:tcW w:type="dxa" w:w="3408"/>
            <w:vAlign w:val="top"/>
          </w:tcPr>
          <w:p>
            <w:r>
              <w:t>≥ 7 años completos</w:t>
            </w:r>
          </w:p>
        </w:tc>
        <w:tc>
          <w:tcPr>
            <w:tcW w:type="dxa" w:w="3408"/>
            <w:vAlign w:val="top"/>
          </w:tcPr>
          <w:p>
            <w:r>
              <w:t>GREEN</w:t>
            </w:r>
          </w:p>
        </w:tc>
        <w:tc>
          <w:tcPr>
            <w:tcW w:type="dxa" w:w="3408"/>
            <w:vAlign w:val="top"/>
          </w:tcPr>
          <w:p>
            <w:r>
              <w:t>Usar para producto y validación</w:t>
            </w:r>
          </w:p>
        </w:tc>
      </w:tr>
      <w:tr>
        <w:tc>
          <w:tcPr>
            <w:tcW w:type="dxa" w:w="3408"/>
            <w:vAlign w:val="top"/>
          </w:tcPr>
          <w:p>
            <w:r>
              <w:t>5–6 años completos</w:t>
            </w:r>
          </w:p>
        </w:tc>
        <w:tc>
          <w:tcPr>
            <w:tcW w:type="dxa" w:w="3408"/>
            <w:vAlign w:val="top"/>
          </w:tcPr>
          <w:p>
            <w:r>
              <w:t>GREEN/AMBER</w:t>
            </w:r>
          </w:p>
        </w:tc>
        <w:tc>
          <w:tcPr>
            <w:tcW w:type="dxa" w:w="3408"/>
            <w:vAlign w:val="top"/>
          </w:tcPr>
          <w:p>
            <w:r>
              <w:t>Usar; registrar cobertura</w:t>
            </w:r>
          </w:p>
        </w:tc>
      </w:tr>
      <w:tr>
        <w:tc>
          <w:tcPr>
            <w:tcW w:type="dxa" w:w="3408"/>
            <w:vAlign w:val="top"/>
          </w:tcPr>
          <w:p>
            <w:r>
              <w:t>&lt; 5 años</w:t>
            </w:r>
          </w:p>
        </w:tc>
        <w:tc>
          <w:tcPr>
            <w:tcW w:type="dxa" w:w="3408"/>
            <w:vAlign w:val="top"/>
          </w:tcPr>
          <w:p>
            <w:r>
              <w:t>AMBER/RED</w:t>
            </w:r>
          </w:p>
        </w:tc>
        <w:tc>
          <w:tcPr>
            <w:tcW w:type="dxa" w:w="3408"/>
            <w:vAlign w:val="top"/>
          </w:tcPr>
          <w:p>
            <w:r>
              <w:t>Permitir dato actual, pero no certificar métricas que requieren 5 años</w:t>
            </w:r>
          </w:p>
        </w:tc>
      </w:tr>
      <w:tr>
        <w:tc>
          <w:tcPr>
            <w:tcW w:type="dxa" w:w="3408"/>
            <w:vAlign w:val="top"/>
          </w:tcPr>
          <w:p>
            <w:r>
              <w:t>Períodos fragmentados</w:t>
            </w:r>
          </w:p>
        </w:tc>
        <w:tc>
          <w:tcPr>
            <w:tcW w:type="dxa" w:w="3408"/>
            <w:vAlign w:val="top"/>
          </w:tcPr>
          <w:p>
            <w:r>
              <w:t>RED</w:t>
            </w:r>
          </w:p>
        </w:tc>
        <w:tc>
          <w:tcPr>
            <w:tcW w:type="dxa" w:w="3408"/>
            <w:vAlign w:val="top"/>
          </w:tcPr>
          <w:p>
            <w:r>
              <w:t>No fabricar serie; marcar gap</w:t>
            </w:r>
          </w:p>
        </w:tc>
      </w:tr>
      <w:tr>
        <w:tc>
          <w:tcPr>
            <w:tcW w:type="dxa" w:w="3408"/>
            <w:vAlign w:val="top"/>
          </w:tcPr>
          <w:p>
            <w:r>
              <w:t>Empresa nueva / IPO reciente</w:t>
            </w:r>
          </w:p>
        </w:tc>
        <w:tc>
          <w:tcPr>
            <w:tcW w:type="dxa" w:w="3408"/>
            <w:vAlign w:val="top"/>
          </w:tcPr>
          <w:p>
            <w:r>
              <w:t>N/A</w:t>
            </w:r>
          </w:p>
        </w:tc>
        <w:tc>
          <w:tcPr>
            <w:tcW w:type="dxa" w:w="3408"/>
            <w:vAlign w:val="top"/>
          </w:tcPr>
          <w:p>
            <w:r>
              <w:t>Métrica histórica no disponible por definición</w:t>
            </w:r>
          </w:p>
        </w:tc>
      </w:tr>
    </w:tbl>
    <w:p>
      <w:pPr>
        <w:pStyle w:val="Heading1"/>
      </w:pPr>
      <w:r>
        <w:t>8. Fase 5 — Market Data</w:t>
      </w:r>
    </w:p>
    <w:p>
      <w:pPr>
        <w:pStyle w:val="ListBullet"/>
      </w:pPr>
      <w:r>
        <w:t>yfinance queda como fuente primaria de precios según la política actual.</w:t>
      </w:r>
    </w:p>
    <w:p>
      <w:pPr>
        <w:pStyle w:val="ListBullet"/>
      </w:pPr>
      <w:r>
        <w:t>Conservar OHLCV diario y adjusted close cuando esté disponible.</w:t>
      </w:r>
    </w:p>
    <w:p>
      <w:pPr>
        <w:pStyle w:val="ListBullet"/>
      </w:pPr>
      <w:r>
        <w:t>Separar ticker de instrument_id para evitar colisiones BYMA/EEUU.</w:t>
      </w:r>
    </w:p>
    <w:p>
      <w:pPr>
        <w:pStyle w:val="ListBullet"/>
      </w:pPr>
      <w:r>
        <w:t>Calcular 52W desde la serie histórica, no desde una cifra manual.</w:t>
      </w:r>
    </w:p>
    <w:p>
      <w:pPr>
        <w:pStyle w:val="ListBullet"/>
      </w:pPr>
      <w:r>
        <w:t>Registrar market_as_of y fecha del último precio.</w:t>
      </w:r>
    </w:p>
    <w:p>
      <w:pPr>
        <w:pStyle w:val="ListBullet"/>
      </w:pPr>
      <w:r>
        <w:t>Si yfinance falla o devuelve dato no confiable: NULL + quality flag; no parchear silenciosamente con otra fuente.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5112"/>
            <w:vAlign w:val="top"/>
          </w:tcPr>
          <w:p>
            <w:r>
              <w:t>Cambio de API yfinance</w:t>
            </w:r>
          </w:p>
        </w:tc>
        <w:tc>
          <w:tcPr>
            <w:tcW w:type="dxa" w:w="5112"/>
            <w:vAlign w:val="top"/>
          </w:tcPr>
          <w:p>
            <w:r>
              <w:t>Versión fijada + smoke test + guard de volumen de respuestas</w:t>
            </w:r>
          </w:p>
        </w:tc>
      </w:tr>
      <w:tr>
        <w:tc>
          <w:tcPr>
            <w:tcW w:type="dxa" w:w="5112"/>
            <w:vAlign w:val="top"/>
          </w:tcPr>
          <w:p>
            <w:r>
              <w:t>Ticker inválido/reciclado</w:t>
            </w:r>
          </w:p>
        </w:tc>
        <w:tc>
          <w:tcPr>
            <w:tcW w:type="dxa" w:w="5112"/>
            <w:vAlign w:val="top"/>
          </w:tcPr>
          <w:p>
            <w:r>
              <w:t>Mapping instrument_id + revisión de identidad</w:t>
            </w:r>
          </w:p>
        </w:tc>
      </w:tr>
      <w:tr>
        <w:tc>
          <w:tcPr>
            <w:tcW w:type="dxa" w:w="5112"/>
            <w:vAlign w:val="top"/>
          </w:tcPr>
          <w:p>
            <w:r>
              <w:t>Precio stale</w:t>
            </w:r>
          </w:p>
        </w:tc>
        <w:tc>
          <w:tcPr>
            <w:tcW w:type="dxa" w:w="5112"/>
            <w:vAlign w:val="top"/>
          </w:tcPr>
          <w:p>
            <w:r>
              <w:t>freshness check + market_as_of + estado STALE</w:t>
            </w:r>
          </w:p>
        </w:tc>
      </w:tr>
      <w:tr>
        <w:tc>
          <w:tcPr>
            <w:tcW w:type="dxa" w:w="5112"/>
            <w:vAlign w:val="top"/>
          </w:tcPr>
          <w:p>
            <w:r>
              <w:t>Serie incompleta</w:t>
            </w:r>
          </w:p>
        </w:tc>
        <w:tc>
          <w:tcPr>
            <w:tcW w:type="dxa" w:w="5112"/>
            <w:vAlign w:val="top"/>
          </w:tcPr>
          <w:p>
            <w:r>
              <w:t>coverage check por días esperados</w:t>
            </w:r>
          </w:p>
        </w:tc>
      </w:tr>
    </w:tbl>
    <w:p>
      <w:pPr>
        <w:pStyle w:val="Heading1"/>
      </w:pPr>
      <w:r>
        <w:t>9. Fase 6 — Motor de métricas</w:t>
      </w:r>
    </w:p>
    <w:p>
      <w:r>
        <w:t>Cada métrica debe ser una función determinista con contrato de inputs y outputs.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Inputs mínimos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Si falta input</w:t>
            </w:r>
          </w:p>
        </w:tc>
      </w:tr>
      <w:tr>
        <w:tc>
          <w:tcPr>
            <w:tcW w:type="dxa" w:w="3408"/>
            <w:vAlign w:val="top"/>
          </w:tcPr>
          <w:p>
            <w:r>
              <w:t>Precio USD</w:t>
            </w:r>
          </w:p>
        </w:tc>
        <w:tc>
          <w:tcPr>
            <w:tcW w:type="dxa" w:w="3408"/>
            <w:vAlign w:val="top"/>
          </w:tcPr>
          <w:p>
            <w:r>
              <w:t>precio + FX si corresponde</w:t>
            </w:r>
          </w:p>
        </w:tc>
        <w:tc>
          <w:tcPr>
            <w:tcW w:type="dxa" w:w="3408"/>
            <w:vAlign w:val="top"/>
          </w:tcPr>
          <w:p>
            <w:r>
              <w:t>NULL / NOT_CERTIFIED</w:t>
            </w:r>
          </w:p>
        </w:tc>
      </w:tr>
      <w:tr>
        <w:tc>
          <w:tcPr>
            <w:tcW w:type="dxa" w:w="3408"/>
            <w:vAlign w:val="top"/>
          </w:tcPr>
          <w:p>
            <w:r>
              <w:t>PER</w:t>
            </w:r>
          </w:p>
        </w:tc>
        <w:tc>
          <w:tcPr>
            <w:tcW w:type="dxa" w:w="3408"/>
            <w:vAlign w:val="top"/>
          </w:tcPr>
          <w:p>
            <w:r>
              <w:t>precio + EPS compatible</w:t>
            </w:r>
          </w:p>
        </w:tc>
        <w:tc>
          <w:tcPr>
            <w:tcW w:type="dxa" w:w="3408"/>
            <w:vAlign w:val="top"/>
          </w:tcPr>
          <w:p>
            <w:r>
              <w:t>NULL / NOT_CERTIFIED</w:t>
            </w:r>
          </w:p>
        </w:tc>
      </w:tr>
      <w:tr>
        <w:tc>
          <w:tcPr>
            <w:tcW w:type="dxa" w:w="3408"/>
            <w:vAlign w:val="top"/>
          </w:tcPr>
          <w:p>
            <w:r>
              <w:t>Máx 52W</w:t>
            </w:r>
          </w:p>
        </w:tc>
        <w:tc>
          <w:tcPr>
            <w:tcW w:type="dxa" w:w="3408"/>
            <w:vAlign w:val="top"/>
          </w:tcPr>
          <w:p>
            <w:r>
              <w:t>serie diaria 52W</w:t>
            </w:r>
          </w:p>
        </w:tc>
        <w:tc>
          <w:tcPr>
            <w:tcW w:type="dxa" w:w="3408"/>
            <w:vAlign w:val="top"/>
          </w:tcPr>
          <w:p>
            <w:r>
              <w:t>NULL si no hay cobertura</w:t>
            </w:r>
          </w:p>
        </w:tc>
      </w:tr>
      <w:tr>
        <w:tc>
          <w:tcPr>
            <w:tcW w:type="dxa" w:w="3408"/>
            <w:vAlign w:val="top"/>
          </w:tcPr>
          <w:p>
            <w:r>
              <w:t>Dif. máx</w:t>
            </w:r>
          </w:p>
        </w:tc>
        <w:tc>
          <w:tcPr>
            <w:tcW w:type="dxa" w:w="3408"/>
            <w:vAlign w:val="top"/>
          </w:tcPr>
          <w:p>
            <w:r>
              <w:t>precio + máx 52W</w:t>
            </w:r>
          </w:p>
        </w:tc>
        <w:tc>
          <w:tcPr>
            <w:tcW w:type="dxa" w:w="3408"/>
            <w:vAlign w:val="top"/>
          </w:tcPr>
          <w:p>
            <w:r>
              <w:t>NULL</w:t>
            </w:r>
          </w:p>
        </w:tc>
      </w:tr>
      <w:tr>
        <w:tc>
          <w:tcPr>
            <w:tcW w:type="dxa" w:w="3408"/>
            <w:vAlign w:val="top"/>
          </w:tcPr>
          <w:p>
            <w:r>
              <w:t>Mín 52W</w:t>
            </w:r>
          </w:p>
        </w:tc>
        <w:tc>
          <w:tcPr>
            <w:tcW w:type="dxa" w:w="3408"/>
            <w:vAlign w:val="top"/>
          </w:tcPr>
          <w:p>
            <w:r>
              <w:t>serie diaria 52W</w:t>
            </w:r>
          </w:p>
        </w:tc>
        <w:tc>
          <w:tcPr>
            <w:tcW w:type="dxa" w:w="3408"/>
            <w:vAlign w:val="top"/>
          </w:tcPr>
          <w:p>
            <w:r>
              <w:t>NULL si no hay cobertura</w:t>
            </w:r>
          </w:p>
        </w:tc>
      </w:tr>
      <w:tr>
        <w:tc>
          <w:tcPr>
            <w:tcW w:type="dxa" w:w="3408"/>
            <w:vAlign w:val="top"/>
          </w:tcPr>
          <w:p>
            <w:r>
              <w:t>Dif. mín</w:t>
            </w:r>
          </w:p>
        </w:tc>
        <w:tc>
          <w:tcPr>
            <w:tcW w:type="dxa" w:w="3408"/>
            <w:vAlign w:val="top"/>
          </w:tcPr>
          <w:p>
            <w:r>
              <w:t>precio + mín 52W</w:t>
            </w:r>
          </w:p>
        </w:tc>
        <w:tc>
          <w:tcPr>
            <w:tcW w:type="dxa" w:w="3408"/>
            <w:vAlign w:val="top"/>
          </w:tcPr>
          <w:p>
            <w:r>
              <w:t>NULL</w:t>
            </w:r>
          </w:p>
        </w:tc>
      </w:tr>
      <w:tr>
        <w:tc>
          <w:tcPr>
            <w:tcW w:type="dxa" w:w="3408"/>
            <w:vAlign w:val="top"/>
          </w:tcPr>
          <w:p>
            <w:r>
              <w:t>Deuda/EBITDA</w:t>
            </w:r>
          </w:p>
        </w:tc>
        <w:tc>
          <w:tcPr>
            <w:tcW w:type="dxa" w:w="3408"/>
            <w:vAlign w:val="top"/>
          </w:tcPr>
          <w:p>
            <w:r>
              <w:t>deuda + EBITDA compatible</w:t>
            </w:r>
          </w:p>
        </w:tc>
        <w:tc>
          <w:tcPr>
            <w:tcW w:type="dxa" w:w="3408"/>
            <w:vAlign w:val="top"/>
          </w:tcPr>
          <w:p>
            <w:r>
              <w:t>NULL / N/A para financieras según política</w:t>
            </w:r>
          </w:p>
        </w:tc>
      </w:tr>
      <w:tr>
        <w:tc>
          <w:tcPr>
            <w:tcW w:type="dxa" w:w="3408"/>
            <w:vAlign w:val="top"/>
          </w:tcPr>
          <w:p>
            <w:r>
              <w:t>EPS anual</w:t>
            </w:r>
          </w:p>
        </w:tc>
        <w:tc>
          <w:tcPr>
            <w:tcW w:type="dxa" w:w="3408"/>
            <w:vAlign w:val="top"/>
          </w:tcPr>
          <w:p>
            <w:r>
              <w:t>EPS o NI + shares según receta</w:t>
            </w:r>
          </w:p>
        </w:tc>
        <w:tc>
          <w:tcPr>
            <w:tcW w:type="dxa" w:w="3408"/>
            <w:vAlign w:val="top"/>
          </w:tcPr>
          <w:p>
            <w:r>
              <w:t>NULL</w:t>
            </w:r>
          </w:p>
        </w:tc>
      </w:tr>
      <w:tr>
        <w:tc>
          <w:tcPr>
            <w:tcW w:type="dxa" w:w="3408"/>
            <w:vAlign w:val="top"/>
          </w:tcPr>
          <w:p>
            <w:r>
              <w:t>CAGR EPS 5Y</w:t>
            </w:r>
          </w:p>
        </w:tc>
        <w:tc>
          <w:tcPr>
            <w:tcW w:type="dxa" w:w="3408"/>
            <w:vAlign w:val="top"/>
          </w:tcPr>
          <w:p>
            <w:r>
              <w:t>EPS base + EPS final + 5 años</w:t>
            </w:r>
          </w:p>
        </w:tc>
        <w:tc>
          <w:tcPr>
            <w:tcW w:type="dxa" w:w="3408"/>
            <w:vAlign w:val="top"/>
          </w:tcPr>
          <w:p>
            <w:r>
              <w:t>NOT_CERTIFIED si falta ventana</w:t>
            </w:r>
          </w:p>
        </w:tc>
      </w:tr>
      <w:tr>
        <w:tc>
          <w:tcPr>
            <w:tcW w:type="dxa" w:w="3408"/>
            <w:vAlign w:val="top"/>
          </w:tcPr>
          <w:p>
            <w:r>
              <w:t>Margen neto</w:t>
            </w:r>
          </w:p>
        </w:tc>
        <w:tc>
          <w:tcPr>
            <w:tcW w:type="dxa" w:w="3408"/>
            <w:vAlign w:val="top"/>
          </w:tcPr>
          <w:p>
            <w:r>
              <w:t>NI + revenue compatibles</w:t>
            </w:r>
          </w:p>
        </w:tc>
        <w:tc>
          <w:tcPr>
            <w:tcW w:type="dxa" w:w="3408"/>
            <w:vAlign w:val="top"/>
          </w:tcPr>
          <w:p>
            <w:r>
              <w:t>NULL</w:t>
            </w:r>
          </w:p>
        </w:tc>
      </w:tr>
      <w:tr>
        <w:tc>
          <w:tcPr>
            <w:tcW w:type="dxa" w:w="3408"/>
            <w:vAlign w:val="top"/>
          </w:tcPr>
          <w:p>
            <w:r>
              <w:t>ROE 5Y</w:t>
            </w:r>
          </w:p>
        </w:tc>
        <w:tc>
          <w:tcPr>
            <w:tcW w:type="dxa" w:w="3408"/>
            <w:vAlign w:val="top"/>
          </w:tcPr>
          <w:p>
            <w:r>
              <w:t>NI + equity según receta</w:t>
            </w:r>
          </w:p>
        </w:tc>
        <w:tc>
          <w:tcPr>
            <w:tcW w:type="dxa" w:w="3408"/>
            <w:vAlign w:val="top"/>
          </w:tcPr>
          <w:p>
            <w:r>
              <w:t>NOT_CERTIFIED si falta historia</w:t>
            </w:r>
          </w:p>
        </w:tc>
      </w:tr>
      <w:tr>
        <w:tc>
          <w:tcPr>
            <w:tcW w:type="dxa" w:w="3408"/>
            <w:vAlign w:val="top"/>
          </w:tcPr>
          <w:p>
            <w:r>
              <w:t>FCF/Cap</w:t>
            </w:r>
          </w:p>
        </w:tc>
        <w:tc>
          <w:tcPr>
            <w:tcW w:type="dxa" w:w="3408"/>
            <w:vAlign w:val="top"/>
          </w:tcPr>
          <w:p>
            <w:r>
              <w:t>FCF + Cap según definición</w:t>
            </w:r>
          </w:p>
        </w:tc>
        <w:tc>
          <w:tcPr>
            <w:tcW w:type="dxa" w:w="3408"/>
            <w:vAlign w:val="top"/>
          </w:tcPr>
          <w:p>
            <w:r>
              <w:t>NULL</w:t>
            </w:r>
          </w:p>
        </w:tc>
      </w:tr>
      <w:tr>
        <w:tc>
          <w:tcPr>
            <w:tcW w:type="dxa" w:w="3408"/>
            <w:vAlign w:val="top"/>
          </w:tcPr>
          <w:p>
            <w:r>
              <w:t>Payout</w:t>
            </w:r>
          </w:p>
        </w:tc>
        <w:tc>
          <w:tcPr>
            <w:tcW w:type="dxa" w:w="3408"/>
            <w:vAlign w:val="top"/>
          </w:tcPr>
          <w:p>
            <w:r>
              <w:t>dividendos + earnings compatibles</w:t>
            </w:r>
          </w:p>
        </w:tc>
        <w:tc>
          <w:tcPr>
            <w:tcW w:type="dxa" w:w="3408"/>
            <w:vAlign w:val="top"/>
          </w:tcPr>
          <w:p>
            <w:r>
              <w:t>MISSING/NO_PAGA/CALCULATED</w:t>
            </w:r>
          </w:p>
        </w:tc>
      </w:tr>
    </w:tbl>
    <w:p>
      <w:pPr>
        <w:pStyle w:val="Heading1"/>
      </w:pPr>
      <w:r>
        <w:t>10. Fase 7 — Quality Engine</w:t>
      </w:r>
    </w:p>
    <w:p>
      <w:pPr>
        <w:pStyle w:val="ListBullet"/>
      </w:pPr>
      <w:r>
        <w:t>Migrar los controles existentes de s5/s6/s8/s9 y b0–b9 a checks modulares.</w:t>
      </w:r>
    </w:p>
    <w:p>
      <w:pPr>
        <w:pStyle w:val="ListBullet"/>
      </w:pPr>
      <w:r>
        <w:t>Separar anomaly detection de correction.</w:t>
      </w:r>
    </w:p>
    <w:p>
      <w:pPr>
        <w:pStyle w:val="ListBullet"/>
      </w:pPr>
      <w:r>
        <w:t>Un dato anómalo no se corrige automáticamente salvo regla determinista previamente aprobada.</w:t>
      </w:r>
    </w:p>
    <w:p>
      <w:pPr>
        <w:pStyle w:val="ListBullet"/>
      </w:pPr>
      <w:r>
        <w:t>Cada check debe tener check_id, severity, input_refs, observed_value, expected_range/regla y resultado.</w:t>
      </w:r>
    </w:p>
    <w:p>
      <w:pPr>
        <w:pStyle w:val="ListBullet"/>
      </w:pPr>
      <w:r>
        <w:t>Certificación por métrica, no solo por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112"/>
            <w:vAlign w:val="top"/>
          </w:tcPr>
          <w:p>
            <w:r>
              <w:t>CERTIFIED</w:t>
            </w:r>
          </w:p>
        </w:tc>
        <w:tc>
          <w:tcPr>
            <w:tcW w:type="dxa" w:w="5112"/>
            <w:vAlign w:val="top"/>
          </w:tcPr>
          <w:p>
            <w:r>
              <w:t>Inputs presentes, fórmula conocida, provenance completo y checks OK</w:t>
            </w:r>
          </w:p>
        </w:tc>
      </w:tr>
      <w:tr>
        <w:tc>
          <w:tcPr>
            <w:tcW w:type="dxa" w:w="5112"/>
            <w:vAlign w:val="top"/>
          </w:tcPr>
          <w:p>
            <w:r>
              <w:t>WARNING</w:t>
            </w:r>
          </w:p>
        </w:tc>
        <w:tc>
          <w:tcPr>
            <w:tcW w:type="dxa" w:w="5112"/>
            <w:vAlign w:val="top"/>
          </w:tcPr>
          <w:p>
            <w:r>
              <w:t>Calculable, pero existe anomalía no bloqueante</w:t>
            </w:r>
          </w:p>
        </w:tc>
      </w:tr>
      <w:tr>
        <w:tc>
          <w:tcPr>
            <w:tcW w:type="dxa" w:w="5112"/>
            <w:vAlign w:val="top"/>
          </w:tcPr>
          <w:p>
            <w:r>
              <w:t>NOT_CERTIFIED</w:t>
            </w:r>
          </w:p>
        </w:tc>
        <w:tc>
          <w:tcPr>
            <w:tcW w:type="dxa" w:w="5112"/>
            <w:vAlign w:val="top"/>
          </w:tcPr>
          <w:p>
            <w:r>
              <w:t>Existe cálculo, pero no cumple requisitos de certificación</w:t>
            </w:r>
          </w:p>
        </w:tc>
      </w:tr>
      <w:tr>
        <w:tc>
          <w:tcPr>
            <w:tcW w:type="dxa" w:w="5112"/>
            <w:vAlign w:val="top"/>
          </w:tcPr>
          <w:p>
            <w:r>
              <w:t>MISSING</w:t>
            </w:r>
          </w:p>
        </w:tc>
        <w:tc>
          <w:tcPr>
            <w:tcW w:type="dxa" w:w="5112"/>
            <w:vAlign w:val="top"/>
          </w:tcPr>
          <w:p>
            <w:r>
              <w:t>No existe input suficiente</w:t>
            </w:r>
          </w:p>
        </w:tc>
      </w:tr>
      <w:tr>
        <w:tc>
          <w:tcPr>
            <w:tcW w:type="dxa" w:w="5112"/>
            <w:vAlign w:val="top"/>
          </w:tcPr>
          <w:p>
            <w:r>
              <w:t>N/A</w:t>
            </w:r>
          </w:p>
        </w:tc>
        <w:tc>
          <w:tcPr>
            <w:tcW w:type="dxa" w:w="5112"/>
            <w:vAlign w:val="top"/>
          </w:tcPr>
          <w:p>
            <w:r>
              <w:t>La métrica no aplica por definición de instrumento/sector</w:t>
            </w:r>
          </w:p>
        </w:tc>
      </w:tr>
      <w:tr>
        <w:tc>
          <w:tcPr>
            <w:tcW w:type="dxa" w:w="5112"/>
            <w:vAlign w:val="top"/>
          </w:tcPr>
          <w:p>
            <w:r>
              <w:t>INCOMPARABLE</w:t>
            </w:r>
          </w:p>
        </w:tc>
        <w:tc>
          <w:tcPr>
            <w:tcW w:type="dxa" w:w="5112"/>
            <w:vAlign w:val="top"/>
          </w:tcPr>
          <w:p>
            <w:r>
              <w:t>Existe benchmark, pero la definición no es equivalente</w:t>
            </w:r>
          </w:p>
        </w:tc>
      </w:tr>
    </w:tbl>
    <w:p>
      <w:pPr>
        <w:pStyle w:val="Heading1"/>
      </w:pPr>
      <w:r>
        <w:t>11. Fase 8 — Provenance y huella</w:t>
      </w:r>
    </w:p>
    <w:p>
      <w:r>
        <w:t>Esta capa es obligatoria para el producto.</w:t>
      </w:r>
    </w:p>
    <w:p>
      <w:pPr>
        <w:pStyle w:val="ListBullet"/>
      </w:pPr>
      <w:r>
        <w:t>Document fingerprint: hash y metadata del documento.</w:t>
      </w:r>
    </w:p>
    <w:p>
      <w:pPr>
        <w:pStyle w:val="ListBullet"/>
      </w:pPr>
      <w:r>
        <w:t>Fact fingerprint: referencia exacta al hecho RAW/XBRL/CNV.</w:t>
      </w:r>
    </w:p>
    <w:p>
      <w:pPr>
        <w:pStyle w:val="ListBullet"/>
      </w:pPr>
      <w:r>
        <w:t>Transformation fingerprint: regla y versión de transformación.</w:t>
      </w:r>
    </w:p>
    <w:p>
      <w:pPr>
        <w:pStyle w:val="ListBullet"/>
      </w:pPr>
      <w:r>
        <w:t>Calculation fingerprint: fórmula, inputs y versión.</w:t>
      </w:r>
    </w:p>
    <w:p>
      <w:pPr>
        <w:pStyle w:val="ListBullet"/>
      </w:pPr>
      <w:r>
        <w:t>Publication fingerprint: snapshot/API/export.</w:t>
      </w:r>
    </w:p>
    <w:p>
      <w:pPr>
        <w:pStyle w:val="ListBullet"/>
      </w:pPr>
      <w:r>
        <w:t>Snapshot fingerprint: contenido y metadatos de la foto.</w:t>
      </w:r>
    </w:p>
    <w:p>
      <w:pPr>
        <w:pStyle w:val="ListBullet"/>
      </w:pPr>
      <w:r>
        <w:t>Code fingerprint: commit/tag de código usado.</w:t>
      </w:r>
    </w:p>
    <w:p>
      <w:r>
        <w:t>Regla de oro: cualquier número publicado debe poder responder: ¿de dónde salió, qué transformación sufrió, qué fórmula lo produjo y con qué versión de código se calculó?</w:t>
      </w:r>
    </w:p>
    <w:p>
      <w:pPr>
        <w:pStyle w:val="Heading1"/>
      </w:pPr>
      <w:r>
        <w:t>12. Fase 9 — Benchmark externo TIKR</w:t>
      </w:r>
    </w:p>
    <w:p>
      <w:pPr>
        <w:pStyle w:val="ListBullet"/>
      </w:pPr>
      <w:r>
        <w:t>Crear tabla benchmark_snapshot.</w:t>
      </w:r>
    </w:p>
    <w:p>
      <w:pPr>
        <w:pStyle w:val="ListBullet"/>
      </w:pPr>
      <w:r>
        <w:t>Importar manualmente o mediante método permitido los datos de TIKR.</w:t>
      </w:r>
    </w:p>
    <w:p>
      <w:pPr>
        <w:pStyle w:val="ListBullet"/>
      </w:pPr>
      <w:r>
        <w:t>Guardar ticker, fecha de captura, métrica, valor, unidad y evidencia de origen.</w:t>
      </w:r>
    </w:p>
    <w:p>
      <w:pPr>
        <w:pStyle w:val="ListBullet"/>
      </w:pPr>
      <w:r>
        <w:t>Mapear TIKR metric → Catalaxia metric.</w:t>
      </w:r>
    </w:p>
    <w:p>
      <w:pPr>
        <w:pStyle w:val="ListBullet"/>
      </w:pPr>
      <w:r>
        <w:t>Comparar solo métricas conceptualmente equivalentes.</w:t>
      </w:r>
    </w:p>
    <w:p>
      <w:pPr>
        <w:pStyle w:val="ListBullet"/>
      </w:pPr>
      <w:r>
        <w:t>Clasificar diferencias: dentro de tolerancia, diferencia metodológica, diferencia temporal, diferencia de fuente, anomalía.</w:t>
      </w:r>
    </w:p>
    <w:p>
      <w:pPr>
        <w:pStyle w:val="ListBullet"/>
      </w:pPr>
      <w:r>
        <w:t>No modificar Catalaxia para coincidir con TIKR.</w:t>
      </w:r>
    </w:p>
    <w:p>
      <w:pPr>
        <w:pStyle w:val="Heading1"/>
      </w:pPr>
      <w:r>
        <w:t>13. Fase 10 — Snapshot</w:t>
      </w:r>
    </w:p>
    <w:p>
      <w:r>
        <w:t>Un snapshot representa una foto completa e inmutable.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5112"/>
            <w:vAlign w:val="top"/>
          </w:tcPr>
          <w:p>
            <w:r>
              <w:t>snapshot_id</w:t>
            </w:r>
          </w:p>
        </w:tc>
        <w:tc>
          <w:tcPr>
            <w:tcW w:type="dxa" w:w="5112"/>
            <w:vAlign w:val="top"/>
          </w:tcPr>
          <w:p>
            <w:r>
              <w:t>SNAP-2026-08-23-001</w:t>
            </w:r>
          </w:p>
        </w:tc>
      </w:tr>
      <w:tr>
        <w:tc>
          <w:tcPr>
            <w:tcW w:type="dxa" w:w="5112"/>
            <w:vAlign w:val="top"/>
          </w:tcPr>
          <w:p>
            <w:r>
              <w:t>snapshot_at</w:t>
            </w:r>
          </w:p>
        </w:tc>
        <w:tc>
          <w:tcPr>
            <w:tcW w:type="dxa" w:w="5112"/>
            <w:vAlign w:val="top"/>
          </w:tcPr>
          <w:p>
            <w:r>
              <w:t>2026-08-23 03:15 UTC</w:t>
            </w:r>
          </w:p>
        </w:tc>
      </w:tr>
      <w:tr>
        <w:tc>
          <w:tcPr>
            <w:tcW w:type="dxa" w:w="5112"/>
            <w:vAlign w:val="top"/>
          </w:tcPr>
          <w:p>
            <w:r>
              <w:t>data_as_of</w:t>
            </w:r>
          </w:p>
        </w:tc>
        <w:tc>
          <w:tcPr>
            <w:tcW w:type="dxa" w:w="5112"/>
            <w:vAlign w:val="top"/>
          </w:tcPr>
          <w:p>
            <w:r>
              <w:t>último período financiero admitido</w:t>
            </w:r>
          </w:p>
        </w:tc>
      </w:tr>
      <w:tr>
        <w:tc>
          <w:tcPr>
            <w:tcW w:type="dxa" w:w="5112"/>
            <w:vAlign w:val="top"/>
          </w:tcPr>
          <w:p>
            <w:r>
              <w:t>market_as_of</w:t>
            </w:r>
          </w:p>
        </w:tc>
        <w:tc>
          <w:tcPr>
            <w:tcW w:type="dxa" w:w="5112"/>
            <w:vAlign w:val="top"/>
          </w:tcPr>
          <w:p>
            <w:r>
              <w:t>2026-08-22</w:t>
            </w:r>
          </w:p>
        </w:tc>
      </w:tr>
      <w:tr>
        <w:tc>
          <w:tcPr>
            <w:tcW w:type="dxa" w:w="5112"/>
            <w:vAlign w:val="top"/>
          </w:tcPr>
          <w:p>
            <w:r>
              <w:t>universe_version</w:t>
            </w:r>
          </w:p>
        </w:tc>
        <w:tc>
          <w:tcPr>
            <w:tcW w:type="dxa" w:w="5112"/>
            <w:vAlign w:val="top"/>
          </w:tcPr>
          <w:p>
            <w:r>
              <w:t>UNIV-2026-08-23</w:t>
            </w:r>
          </w:p>
        </w:tc>
      </w:tr>
      <w:tr>
        <w:tc>
          <w:tcPr>
            <w:tcW w:type="dxa" w:w="5112"/>
            <w:vAlign w:val="top"/>
          </w:tcPr>
          <w:p>
            <w:r>
              <w:t>pipeline_version</w:t>
            </w:r>
          </w:p>
        </w:tc>
        <w:tc>
          <w:tcPr>
            <w:tcW w:type="dxa" w:w="5112"/>
            <w:vAlign w:val="top"/>
          </w:tcPr>
          <w:p>
            <w:r>
              <w:t>v1.0</w:t>
            </w:r>
          </w:p>
        </w:tc>
      </w:tr>
      <w:tr>
        <w:tc>
          <w:tcPr>
            <w:tcW w:type="dxa" w:w="5112"/>
            <w:vAlign w:val="top"/>
          </w:tcPr>
          <w:p>
            <w:r>
              <w:t>git_commit</w:t>
            </w:r>
          </w:p>
        </w:tc>
        <w:tc>
          <w:tcPr>
            <w:tcW w:type="dxa" w:w="5112"/>
            <w:vAlign w:val="top"/>
          </w:tcPr>
          <w:p>
            <w:r>
              <w:t>abc1234</w:t>
            </w:r>
          </w:p>
        </w:tc>
      </w:tr>
      <w:tr>
        <w:tc>
          <w:tcPr>
            <w:tcW w:type="dxa" w:w="5112"/>
            <w:vAlign w:val="top"/>
          </w:tcPr>
          <w:p>
            <w:r>
              <w:t>source_versions</w:t>
            </w:r>
          </w:p>
        </w:tc>
        <w:tc>
          <w:tcPr>
            <w:tcW w:type="dxa" w:w="5112"/>
            <w:vAlign w:val="top"/>
          </w:tcPr>
          <w:p>
            <w:r>
              <w:t>CNV/SEC/yfinance versions</w:t>
            </w:r>
          </w:p>
        </w:tc>
      </w:tr>
      <w:tr>
        <w:tc>
          <w:tcPr>
            <w:tcW w:type="dxa" w:w="5112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CERTIFIED / PARTIAL</w:t>
            </w:r>
          </w:p>
        </w:tc>
      </w:tr>
    </w:tbl>
    <w:p>
      <w:r>
        <w:t>La foto no se modifica. Una corrección produce un nuevo snapshot.</w:t>
      </w:r>
    </w:p>
    <w:p>
      <w:pPr>
        <w:pStyle w:val="Heading1"/>
      </w:pPr>
      <w:r>
        <w:t>14. Fase 11 — Publicación</w:t>
      </w:r>
    </w:p>
    <w:p>
      <w:pPr>
        <w:pStyle w:val="ListBullet"/>
      </w:pPr>
      <w:r>
        <w:t>SQLite/raw/analytical DB permanece como entorno de procesamiento.</w:t>
      </w:r>
    </w:p>
    <w:p>
      <w:pPr>
        <w:pStyle w:val="ListBullet"/>
      </w:pPr>
      <w:r>
        <w:t>PostgreSQL es la capa de publicación.</w:t>
      </w:r>
    </w:p>
    <w:p>
      <w:pPr>
        <w:pStyle w:val="ListBullet"/>
      </w:pPr>
      <w:r>
        <w:t>API FastAPI expone snapshot actual y snapshots históricos.</w:t>
      </w:r>
    </w:p>
    <w:p>
      <w:pPr>
        <w:pStyle w:val="ListBullet"/>
      </w:pPr>
      <w:r>
        <w:t>Dashboard consume API; no calcula ratios.</w:t>
      </w:r>
    </w:p>
    <w:p>
      <w:pPr>
        <w:pStyle w:val="ListBullet"/>
      </w:pPr>
      <w:r>
        <w:t>Permitir consultar snapshot_id y as_of_date.</w:t>
      </w:r>
    </w:p>
    <w:p>
      <w:pPr>
        <w:pStyle w:val="ListBullet"/>
      </w:pPr>
      <w:r>
        <w:t>Exportar CSV/Excel desde el snapshot, no desde tablas intermedias.</w:t>
      </w:r>
    </w:p>
    <w:p>
      <w:pPr>
        <w:pStyle w:val="Heading1"/>
      </w:pPr>
      <w:r>
        <w:t>15. Estrategia de fallos: degradación controlada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Fallo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Respuesta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¿Publicar?</w:t>
            </w:r>
          </w:p>
        </w:tc>
      </w:tr>
      <w:tr>
        <w:tc>
          <w:tcPr>
            <w:tcW w:type="dxa" w:w="3408"/>
            <w:vAlign w:val="top"/>
          </w:tcPr>
          <w:p>
            <w:r>
              <w:t>CNV no disponible</w:t>
            </w:r>
          </w:p>
        </w:tc>
        <w:tc>
          <w:tcPr>
            <w:tcW w:type="dxa" w:w="3408"/>
            <w:vAlign w:val="top"/>
          </w:tcPr>
          <w:p>
            <w:r>
              <w:t>Usar último RAW válido; marcar freshness/stale</w:t>
            </w:r>
          </w:p>
        </w:tc>
        <w:tc>
          <w:tcPr>
            <w:tcW w:type="dxa" w:w="3408"/>
            <w:vAlign w:val="top"/>
          </w:tcPr>
          <w:p>
            <w:r>
              <w:t>Solo snapshot parcial si política lo permite</w:t>
            </w:r>
          </w:p>
        </w:tc>
      </w:tr>
      <w:tr>
        <w:tc>
          <w:tcPr>
            <w:tcW w:type="dxa" w:w="3408"/>
            <w:vAlign w:val="top"/>
          </w:tcPr>
          <w:p>
            <w:r>
              <w:t>SEC no disponible</w:t>
            </w:r>
          </w:p>
        </w:tc>
        <w:tc>
          <w:tcPr>
            <w:tcW w:type="dxa" w:w="3408"/>
            <w:vAlign w:val="top"/>
          </w:tcPr>
          <w:p>
            <w:r>
              <w:t>Mantener último estado; no inventar</w:t>
            </w:r>
          </w:p>
        </w:tc>
        <w:tc>
          <w:tcPr>
            <w:tcW w:type="dxa" w:w="3408"/>
            <w:vAlign w:val="top"/>
          </w:tcPr>
          <w:p>
            <w:r>
              <w:t>Sí, con warning si no afecta métricas</w:t>
            </w:r>
          </w:p>
        </w:tc>
      </w:tr>
      <w:tr>
        <w:tc>
          <w:tcPr>
            <w:tcW w:type="dxa" w:w="3408"/>
            <w:vAlign w:val="top"/>
          </w:tcPr>
          <w:p>
            <w:r>
              <w:t>yfinance no disponible</w:t>
            </w:r>
          </w:p>
        </w:tc>
        <w:tc>
          <w:tcPr>
            <w:tcW w:type="dxa" w:w="3408"/>
            <w:vAlign w:val="top"/>
          </w:tcPr>
          <w:p>
            <w:r>
              <w:t>No actualizar precio; conservar último + stale</w:t>
            </w:r>
          </w:p>
        </w:tc>
        <w:tc>
          <w:tcPr>
            <w:tcW w:type="dxa" w:w="3408"/>
            <w:vAlign w:val="top"/>
          </w:tcPr>
          <w:p>
            <w:r>
              <w:t>Sí como snapshot parcial, nunca ocultar fecha</w:t>
            </w:r>
          </w:p>
        </w:tc>
      </w:tr>
      <w:tr>
        <w:tc>
          <w:tcPr>
            <w:tcW w:type="dxa" w:w="3408"/>
            <w:vAlign w:val="top"/>
          </w:tcPr>
          <w:p>
            <w:r>
              <w:t>Falta EEFF 5Y</w:t>
            </w:r>
          </w:p>
        </w:tc>
        <w:tc>
          <w:tcPr>
            <w:tcW w:type="dxa" w:w="3408"/>
            <w:vAlign w:val="top"/>
          </w:tcPr>
          <w:p>
            <w:r>
              <w:t>Calcular métricas actuales que sí sean válidas</w:t>
            </w:r>
          </w:p>
        </w:tc>
        <w:tc>
          <w:tcPr>
            <w:tcW w:type="dxa" w:w="3408"/>
            <w:vAlign w:val="top"/>
          </w:tcPr>
          <w:p>
            <w:r>
              <w:t>Sí, pero CAGR/ROE 5Y no certificados</w:t>
            </w:r>
          </w:p>
        </w:tc>
      </w:tr>
      <w:tr>
        <w:tc>
          <w:tcPr>
            <w:tcW w:type="dxa" w:w="3408"/>
            <w:vAlign w:val="top"/>
          </w:tcPr>
          <w:p>
            <w:r>
              <w:t>Unidad dudosa</w:t>
            </w:r>
          </w:p>
        </w:tc>
        <w:tc>
          <w:tcPr>
            <w:tcW w:type="dxa" w:w="3408"/>
            <w:vAlign w:val="top"/>
          </w:tcPr>
          <w:p>
            <w:r>
              <w:t>Bloquear métrica dependiente</w:t>
            </w:r>
          </w:p>
        </w:tc>
        <w:tc>
          <w:tcPr>
            <w:tcW w:type="dxa" w:w="3408"/>
            <w:vAlign w:val="top"/>
          </w:tcPr>
          <w:p>
            <w:r>
              <w:t>Sí si otras métricas siguen certificables</w:t>
            </w:r>
          </w:p>
        </w:tc>
      </w:tr>
      <w:tr>
        <w:tc>
          <w:tcPr>
            <w:tcW w:type="dxa" w:w="3408"/>
            <w:vAlign w:val="top"/>
          </w:tcPr>
          <w:p>
            <w:r>
              <w:t>FX faltante</w:t>
            </w:r>
          </w:p>
        </w:tc>
        <w:tc>
          <w:tcPr>
            <w:tcW w:type="dxa" w:w="3408"/>
            <w:vAlign w:val="top"/>
          </w:tcPr>
          <w:p>
            <w:r>
              <w:t>No convertir artificialmente</w:t>
            </w:r>
          </w:p>
        </w:tc>
        <w:tc>
          <w:tcPr>
            <w:tcW w:type="dxa" w:w="3408"/>
            <w:vAlign w:val="top"/>
          </w:tcPr>
          <w:p>
            <w:r>
              <w:t>Bloquear métricas USD dependientes</w:t>
            </w:r>
          </w:p>
        </w:tc>
      </w:tr>
      <w:tr>
        <w:tc>
          <w:tcPr>
            <w:tcW w:type="dxa" w:w="3408"/>
            <w:vAlign w:val="top"/>
          </w:tcPr>
          <w:p>
            <w:r>
              <w:t>Ticker ambiguo</w:t>
            </w:r>
          </w:p>
        </w:tc>
        <w:tc>
          <w:tcPr>
            <w:tcW w:type="dxa" w:w="3408"/>
            <w:vAlign w:val="top"/>
          </w:tcPr>
          <w:p>
            <w:r>
              <w:t>Detener instrumento afectado</w:t>
            </w:r>
          </w:p>
        </w:tc>
        <w:tc>
          <w:tcPr>
            <w:tcW w:type="dxa" w:w="3408"/>
            <w:vAlign w:val="top"/>
          </w:tcPr>
          <w:p>
            <w:r>
              <w:t>No publicar ese instrumento</w:t>
            </w:r>
          </w:p>
        </w:tc>
      </w:tr>
      <w:tr>
        <w:tc>
          <w:tcPr>
            <w:tcW w:type="dxa" w:w="3408"/>
            <w:vAlign w:val="top"/>
          </w:tcPr>
          <w:p>
            <w:r>
              <w:t>Benchmark TIKR ausente</w:t>
            </w:r>
          </w:p>
        </w:tc>
        <w:tc>
          <w:tcPr>
            <w:tcW w:type="dxa" w:w="3408"/>
            <w:vAlign w:val="top"/>
          </w:tcPr>
          <w:p>
            <w:r>
              <w:t>No afecta cálculo propio</w:t>
            </w:r>
          </w:p>
        </w:tc>
        <w:tc>
          <w:tcPr>
            <w:tcW w:type="dxa" w:w="3408"/>
            <w:vAlign w:val="top"/>
          </w:tcPr>
          <w:p>
            <w:r>
              <w:t>Sí; benchmark queda MISSING</w:t>
            </w:r>
          </w:p>
        </w:tc>
      </w:tr>
      <w:tr>
        <w:tc>
          <w:tcPr>
            <w:tcW w:type="dxa" w:w="3408"/>
            <w:vAlign w:val="top"/>
          </w:tcPr>
          <w:p>
            <w:r>
              <w:t>Contradicción metodológica</w:t>
            </w:r>
          </w:p>
        </w:tc>
        <w:tc>
          <w:tcPr>
            <w:tcW w:type="dxa" w:w="3408"/>
            <w:vAlign w:val="top"/>
          </w:tcPr>
          <w:p>
            <w:r>
              <w:t>Bloquear publicación de la métrica</w:t>
            </w:r>
          </w:p>
        </w:tc>
        <w:tc>
          <w:tcPr>
            <w:tcW w:type="dxa" w:w="3408"/>
            <w:vAlign w:val="top"/>
          </w:tcPr>
          <w:p>
            <w:r>
              <w:t>No certificar hasta resolver</w:t>
            </w:r>
          </w:p>
        </w:tc>
      </w:tr>
      <w:tr>
        <w:tc>
          <w:tcPr>
            <w:tcW w:type="dxa" w:w="3408"/>
            <w:vAlign w:val="top"/>
          </w:tcPr>
          <w:p>
            <w:r>
              <w:t>Parser roto</w:t>
            </w:r>
          </w:p>
        </w:tc>
        <w:tc>
          <w:tcPr>
            <w:tcW w:type="dxa" w:w="3408"/>
            <w:vAlign w:val="top"/>
          </w:tcPr>
          <w:p>
            <w:r>
              <w:t>Preservar RAW + error reproducible</w:t>
            </w:r>
          </w:p>
        </w:tc>
        <w:tc>
          <w:tcPr>
            <w:tcW w:type="dxa" w:w="3408"/>
            <w:vAlign w:val="top"/>
          </w:tcPr>
          <w:p>
            <w:r>
              <w:t>No publicar datos derivados afectados</w:t>
            </w:r>
          </w:p>
        </w:tc>
      </w:tr>
    </w:tbl>
    <w:p>
      <w:pPr>
        <w:pStyle w:val="Heading1"/>
      </w:pPr>
      <w:r>
        <w:t>16. Gates de publicación</w:t>
      </w:r>
    </w:p>
    <w:p>
      <w:pPr>
        <w:pStyle w:val="ListNumber"/>
      </w:pPr>
      <w:r>
        <w:t>Universe gate: expected vs discovered reconciliado.</w:t>
      </w:r>
    </w:p>
    <w:p>
      <w:pPr>
        <w:pStyle w:val="ListNumber"/>
      </w:pPr>
      <w:r>
        <w:t>RAW gate: descargas y hashes registrados.</w:t>
      </w:r>
    </w:p>
    <w:p>
      <w:pPr>
        <w:pStyle w:val="ListNumber"/>
      </w:pPr>
      <w:r>
        <w:t>Normalization gate: sin unidades/monedas críticas ambiguas.</w:t>
      </w:r>
    </w:p>
    <w:p>
      <w:pPr>
        <w:pStyle w:val="ListNumber"/>
      </w:pPr>
      <w:r>
        <w:t>Historical coverage gate: cobertura 5Y/7Y calculada.</w:t>
      </w:r>
    </w:p>
    <w:p>
      <w:pPr>
        <w:pStyle w:val="ListNumber"/>
      </w:pPr>
      <w:r>
        <w:t>Market gate: freshness y cobertura.</w:t>
      </w:r>
    </w:p>
    <w:p>
      <w:pPr>
        <w:pStyle w:val="ListNumber"/>
      </w:pPr>
      <w:r>
        <w:t>Metrics gate: inputs requeridos presentes.</w:t>
      </w:r>
    </w:p>
    <w:p>
      <w:pPr>
        <w:pStyle w:val="ListNumber"/>
      </w:pPr>
      <w:r>
        <w:t>Quality gate: anomalías clasificadas.</w:t>
      </w:r>
    </w:p>
    <w:p>
      <w:pPr>
        <w:pStyle w:val="ListNumber"/>
      </w:pPr>
      <w:r>
        <w:t>Provenance gate: 100% de métricas publicables trazables.</w:t>
      </w:r>
    </w:p>
    <w:p>
      <w:pPr>
        <w:pStyle w:val="ListNumber"/>
      </w:pPr>
      <w:r>
        <w:t>Snapshot gate: run_id, commit, versiones y hashes registrados.</w:t>
      </w:r>
    </w:p>
    <w:p>
      <w:pPr>
        <w:pStyle w:val="ListNumber"/>
      </w:pPr>
      <w:r>
        <w:t>Publication gate: Postgres coincide con snapshot.</w:t>
      </w:r>
    </w:p>
    <w:p>
      <w:r>
        <w:t>Si un gate bloqueante falla, la corrida no se presenta como FULL/CERTIFIED. Puede existir un PARTIAL snapshot con las limitaciones explícitas.</w:t>
      </w:r>
    </w:p>
    <w:p>
      <w:pPr>
        <w:pStyle w:val="Heading1"/>
      </w:pPr>
      <w:r>
        <w:t>17. Plan de implementación por entregables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Entregable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Criterio de aceptación</w:t>
            </w:r>
          </w:p>
        </w:tc>
      </w:tr>
      <w:tr>
        <w:tc>
          <w:tcPr>
            <w:tcW w:type="dxa" w:w="3408"/>
            <w:vAlign w:val="top"/>
          </w:tcPr>
          <w:p>
            <w:r>
              <w:t>P0</w:t>
            </w:r>
          </w:p>
        </w:tc>
        <w:tc>
          <w:tcPr>
            <w:tcW w:type="dxa" w:w="3408"/>
            <w:vAlign w:val="top"/>
          </w:tcPr>
          <w:p>
            <w:r>
              <w:t>METRIC_DEFINITIONS.md</w:t>
            </w:r>
          </w:p>
        </w:tc>
        <w:tc>
          <w:tcPr>
            <w:tcW w:type="dxa" w:w="3408"/>
            <w:vAlign w:val="top"/>
          </w:tcPr>
          <w:p>
            <w:r>
              <w:t>13 métricas con fórmula, inputs y estados</w:t>
            </w:r>
          </w:p>
        </w:tc>
      </w:tr>
      <w:tr>
        <w:tc>
          <w:tcPr>
            <w:tcW w:type="dxa" w:w="3408"/>
            <w:vAlign w:val="top"/>
          </w:tcPr>
          <w:p>
            <w:r>
              <w:t>P1</w:t>
            </w:r>
          </w:p>
        </w:tc>
        <w:tc>
          <w:tcPr>
            <w:tcW w:type="dxa" w:w="3408"/>
            <w:vAlign w:val="top"/>
          </w:tcPr>
          <w:p>
            <w:r>
              <w:t>Universe snapshot</w:t>
            </w:r>
          </w:p>
        </w:tc>
        <w:tc>
          <w:tcPr>
            <w:tcW w:type="dxa" w:w="3408"/>
            <w:vAlign w:val="top"/>
          </w:tcPr>
          <w:p>
            <w:r>
              <w:t>Universo reproducible y sin duplicados críticos</w:t>
            </w:r>
          </w:p>
        </w:tc>
      </w:tr>
      <w:tr>
        <w:tc>
          <w:tcPr>
            <w:tcW w:type="dxa" w:w="3408"/>
            <w:vAlign w:val="top"/>
          </w:tcPr>
          <w:p>
            <w:r>
              <w:t>P2</w:t>
            </w:r>
          </w:p>
        </w:tc>
        <w:tc>
          <w:tcPr>
            <w:tcW w:type="dxa" w:w="3408"/>
            <w:vAlign w:val="top"/>
          </w:tcPr>
          <w:p>
            <w:r>
              <w:t>RAW + download_log</w:t>
            </w:r>
          </w:p>
        </w:tc>
        <w:tc>
          <w:tcPr>
            <w:tcW w:type="dxa" w:w="3408"/>
            <w:vAlign w:val="top"/>
          </w:tcPr>
          <w:p>
            <w:r>
              <w:t>Cada recurso descargado tiene hash y metadata</w:t>
            </w:r>
          </w:p>
        </w:tc>
      </w:tr>
      <w:tr>
        <w:tc>
          <w:tcPr>
            <w:tcW w:type="dxa" w:w="3408"/>
            <w:vAlign w:val="top"/>
          </w:tcPr>
          <w:p>
            <w:r>
              <w:t>P3</w:t>
            </w:r>
          </w:p>
        </w:tc>
        <w:tc>
          <w:tcPr>
            <w:tcW w:type="dxa" w:w="3408"/>
            <w:vAlign w:val="top"/>
          </w:tcPr>
          <w:p>
            <w:r>
              <w:t>Normalized facts</w:t>
            </w:r>
          </w:p>
        </w:tc>
        <w:tc>
          <w:tcPr>
            <w:tcW w:type="dxa" w:w="3408"/>
            <w:vAlign w:val="top"/>
          </w:tcPr>
          <w:p>
            <w:r>
              <w:t>Unidades/monedas/calendarios trazables</w:t>
            </w:r>
          </w:p>
        </w:tc>
      </w:tr>
      <w:tr>
        <w:tc>
          <w:tcPr>
            <w:tcW w:type="dxa" w:w="3408"/>
            <w:vAlign w:val="top"/>
          </w:tcPr>
          <w:p>
            <w:r>
              <w:t>P4</w:t>
            </w:r>
          </w:p>
        </w:tc>
        <w:tc>
          <w:tcPr>
            <w:tcW w:type="dxa" w:w="3408"/>
            <w:vAlign w:val="top"/>
          </w:tcPr>
          <w:p>
            <w:r>
              <w:t>Historical model</w:t>
            </w:r>
          </w:p>
        </w:tc>
        <w:tc>
          <w:tcPr>
            <w:tcW w:type="dxa" w:w="3408"/>
            <w:vAlign w:val="top"/>
          </w:tcPr>
          <w:p>
            <w:r>
              <w:t>≥5 años para universo objetivo o gaps explícitos</w:t>
            </w:r>
          </w:p>
        </w:tc>
      </w:tr>
      <w:tr>
        <w:tc>
          <w:tcPr>
            <w:tcW w:type="dxa" w:w="3408"/>
            <w:vAlign w:val="top"/>
          </w:tcPr>
          <w:p>
            <w:r>
              <w:t>P5</w:t>
            </w:r>
          </w:p>
        </w:tc>
        <w:tc>
          <w:tcPr>
            <w:tcW w:type="dxa" w:w="3408"/>
            <w:vAlign w:val="top"/>
          </w:tcPr>
          <w:p>
            <w:r>
              <w:t>Market history</w:t>
            </w:r>
          </w:p>
        </w:tc>
        <w:tc>
          <w:tcPr>
            <w:tcW w:type="dxa" w:w="3408"/>
            <w:vAlign w:val="top"/>
          </w:tcPr>
          <w:p>
            <w:r>
              <w:t>Serie diaria + 52W reproducible</w:t>
            </w:r>
          </w:p>
        </w:tc>
      </w:tr>
      <w:tr>
        <w:tc>
          <w:tcPr>
            <w:tcW w:type="dxa" w:w="3408"/>
            <w:vAlign w:val="top"/>
          </w:tcPr>
          <w:p>
            <w:r>
              <w:t>P6</w:t>
            </w:r>
          </w:p>
        </w:tc>
        <w:tc>
          <w:tcPr>
            <w:tcW w:type="dxa" w:w="3408"/>
            <w:vAlign w:val="top"/>
          </w:tcPr>
          <w:p>
            <w:r>
              <w:t>Metrics engine</w:t>
            </w:r>
          </w:p>
        </w:tc>
        <w:tc>
          <w:tcPr>
            <w:tcW w:type="dxa" w:w="3408"/>
            <w:vAlign w:val="top"/>
          </w:tcPr>
          <w:p>
            <w:r>
              <w:t>13 métricas deterministas</w:t>
            </w:r>
          </w:p>
        </w:tc>
      </w:tr>
      <w:tr>
        <w:tc>
          <w:tcPr>
            <w:tcW w:type="dxa" w:w="3408"/>
            <w:vAlign w:val="top"/>
          </w:tcPr>
          <w:p>
            <w:r>
              <w:t>P7</w:t>
            </w:r>
          </w:p>
        </w:tc>
        <w:tc>
          <w:tcPr>
            <w:tcW w:type="dxa" w:w="3408"/>
            <w:vAlign w:val="top"/>
          </w:tcPr>
          <w:p>
            <w:r>
              <w:t>Quality engine</w:t>
            </w:r>
          </w:p>
        </w:tc>
        <w:tc>
          <w:tcPr>
            <w:tcW w:type="dxa" w:w="3408"/>
            <w:vAlign w:val="top"/>
          </w:tcPr>
          <w:p>
            <w:r>
              <w:t>Checks consolidados + certificación</w:t>
            </w:r>
          </w:p>
        </w:tc>
      </w:tr>
      <w:tr>
        <w:tc>
          <w:tcPr>
            <w:tcW w:type="dxa" w:w="3408"/>
            <w:vAlign w:val="top"/>
          </w:tcPr>
          <w:p>
            <w:r>
              <w:t>P8</w:t>
            </w:r>
          </w:p>
        </w:tc>
        <w:tc>
          <w:tcPr>
            <w:tcW w:type="dxa" w:w="3408"/>
            <w:vAlign w:val="top"/>
          </w:tcPr>
          <w:p>
            <w:r>
              <w:t>Benchmark</w:t>
            </w:r>
          </w:p>
        </w:tc>
        <w:tc>
          <w:tcPr>
            <w:tcW w:type="dxa" w:w="3408"/>
            <w:vAlign w:val="top"/>
          </w:tcPr>
          <w:p>
            <w:r>
              <w:t>TIKR comparable con fecha y metodología</w:t>
            </w:r>
          </w:p>
        </w:tc>
      </w:tr>
      <w:tr>
        <w:tc>
          <w:tcPr>
            <w:tcW w:type="dxa" w:w="3408"/>
            <w:vAlign w:val="top"/>
          </w:tcPr>
          <w:p>
            <w:r>
              <w:t>P9</w:t>
            </w:r>
          </w:p>
        </w:tc>
        <w:tc>
          <w:tcPr>
            <w:tcW w:type="dxa" w:w="3408"/>
            <w:vAlign w:val="top"/>
          </w:tcPr>
          <w:p>
            <w:r>
              <w:t>Snapshot</w:t>
            </w:r>
          </w:p>
        </w:tc>
        <w:tc>
          <w:tcPr>
            <w:tcW w:type="dxa" w:w="3408"/>
            <w:vAlign w:val="top"/>
          </w:tcPr>
          <w:p>
            <w:r>
              <w:t>Foto inmutable reproducible</w:t>
            </w:r>
          </w:p>
        </w:tc>
      </w:tr>
      <w:tr>
        <w:tc>
          <w:tcPr>
            <w:tcW w:type="dxa" w:w="3408"/>
            <w:vAlign w:val="top"/>
          </w:tcPr>
          <w:p>
            <w:r>
              <w:t>P10</w:t>
            </w:r>
          </w:p>
        </w:tc>
        <w:tc>
          <w:tcPr>
            <w:tcW w:type="dxa" w:w="3408"/>
            <w:vAlign w:val="top"/>
          </w:tcPr>
          <w:p>
            <w:r>
              <w:t>Postgres/API</w:t>
            </w:r>
          </w:p>
        </w:tc>
        <w:tc>
          <w:tcPr>
            <w:tcW w:type="dxa" w:w="3408"/>
            <w:vAlign w:val="top"/>
          </w:tcPr>
          <w:p>
            <w:r>
              <w:t>API sirve snapshot sin recalcular</w:t>
            </w:r>
          </w:p>
        </w:tc>
      </w:tr>
      <w:tr>
        <w:tc>
          <w:tcPr>
            <w:tcW w:type="dxa" w:w="3408"/>
            <w:vAlign w:val="top"/>
          </w:tcPr>
          <w:p>
            <w:r>
              <w:t>P11</w:t>
            </w:r>
          </w:p>
        </w:tc>
        <w:tc>
          <w:tcPr>
            <w:tcW w:type="dxa" w:w="3408"/>
            <w:vAlign w:val="top"/>
          </w:tcPr>
          <w:p>
            <w:r>
              <w:t>End-to-end</w:t>
            </w:r>
          </w:p>
        </w:tc>
        <w:tc>
          <w:tcPr>
            <w:tcW w:type="dxa" w:w="3408"/>
            <w:vAlign w:val="top"/>
          </w:tcPr>
          <w:p>
            <w:r>
              <w:t>Una orden genera snapshot completo</w:t>
            </w:r>
          </w:p>
        </w:tc>
      </w:tr>
    </w:tbl>
    <w:p>
      <w:pPr>
        <w:pStyle w:val="Heading1"/>
      </w:pPr>
      <w:r>
        <w:t>18. Prueba piloto antes de migrar todo</w:t>
      </w:r>
    </w:p>
    <w:p>
      <w:r>
        <w:t>No migraría las 73 entidades de inmediato.</w:t>
      </w:r>
    </w:p>
    <w:p>
      <w:pPr>
        <w:pStyle w:val="ListBullet"/>
      </w:pPr>
      <w:r>
        <w:t>Seleccionar 6–10 casos representativos: BYMA industrial, financiera, energética, ADR argentino, empresa con datos faltantes y empresa con historial problemático.</w:t>
      </w:r>
    </w:p>
    <w:p>
      <w:pPr>
        <w:pStyle w:val="ListBullet"/>
      </w:pPr>
      <w:r>
        <w:t>Ejecutar extracción histórica completa.</w:t>
      </w:r>
    </w:p>
    <w:p>
      <w:pPr>
        <w:pStyle w:val="ListBullet"/>
      </w:pPr>
      <w:r>
        <w:t>Comparar contra TIKR donde exista equivalencia.</w:t>
      </w:r>
    </w:p>
    <w:p>
      <w:pPr>
        <w:pStyle w:val="ListBullet"/>
      </w:pPr>
      <w:r>
        <w:t>Resolver los problemas metodológicos.</w:t>
      </w:r>
    </w:p>
    <w:p>
      <w:pPr>
        <w:pStyle w:val="ListBullet"/>
      </w:pPr>
      <w:r>
        <w:t>Solo después ampliar al universo completo.</w:t>
      </w:r>
    </w:p>
    <w:p>
      <w:pPr>
        <w:pStyle w:val="ListBullet"/>
      </w:pPr>
      <w:r>
        <w:t>Mantener una lista de casos canario que se ejecute en cada cambio del pipeline.</w:t>
      </w:r>
    </w:p>
    <w:p>
      <w:pPr>
        <w:pStyle w:val="Heading1"/>
      </w:pPr>
      <w:r>
        <w:t>19. Casos canario recomendados</w:t>
      </w:r>
    </w:p>
    <w:p>
      <w:pPr>
        <w:pStyle w:val="ListBullet"/>
      </w:pPr>
      <w:r>
        <w:t>Una empresa industrial BYMA con historia larga.</w:t>
      </w:r>
    </w:p>
    <w:p>
      <w:pPr>
        <w:pStyle w:val="ListBullet"/>
      </w:pPr>
      <w:r>
        <w:t>Un banco BYMA: valida N/A y tratamiento de EBITDA/ROE.</w:t>
      </w:r>
    </w:p>
    <w:p>
      <w:pPr>
        <w:pStyle w:val="ListBullet"/>
      </w:pPr>
      <w:r>
        <w:t>Un ADR argentino: valida CNV + SEC.</w:t>
      </w:r>
    </w:p>
    <w:p>
      <w:pPr>
        <w:pStyle w:val="ListBullet"/>
      </w:pPr>
      <w:r>
        <w:t>Una empresa con ticker/identidad potencialmente conflictiva.</w:t>
      </w:r>
    </w:p>
    <w:p>
      <w:pPr>
        <w:pStyle w:val="ListBullet"/>
      </w:pPr>
      <w:r>
        <w:t>Una empresa con datos de unidad sospechosa.</w:t>
      </w:r>
    </w:p>
    <w:p>
      <w:pPr>
        <w:pStyle w:val="ListBullet"/>
      </w:pPr>
      <w:r>
        <w:t>Una empresa con poca historia: valida degradación y MISSING.</w:t>
      </w:r>
    </w:p>
    <w:p>
      <w:pPr>
        <w:pStyle w:val="ListBullet"/>
      </w:pPr>
      <w:r>
        <w:t>Una empresa con dividendos: valida payout.</w:t>
      </w:r>
    </w:p>
    <w:p>
      <w:pPr>
        <w:pStyle w:val="ListBullet"/>
      </w:pPr>
      <w:r>
        <w:t>Una empresa con cambios de ticker/listing.</w:t>
      </w:r>
    </w:p>
    <w:p>
      <w:pPr>
        <w:pStyle w:val="Heading1"/>
      </w:pPr>
      <w:r>
        <w:t>20. Qué no hacer</w:t>
      </w:r>
    </w:p>
    <w:p>
      <w:pPr>
        <w:pStyle w:val="ListBullet"/>
      </w:pPr>
      <w:r>
        <w:t>No agregar más scripts independientes para cada excepción.</w:t>
      </w:r>
    </w:p>
    <w:p>
      <w:pPr>
        <w:pStyle w:val="ListBullet"/>
      </w:pPr>
      <w:r>
        <w:t>No sobrescribir RAW.</w:t>
      </w:r>
    </w:p>
    <w:p>
      <w:pPr>
        <w:pStyle w:val="ListBullet"/>
      </w:pPr>
      <w:r>
        <w:t>No usar ticker como identidad global.</w:t>
      </w:r>
    </w:p>
    <w:p>
      <w:pPr>
        <w:pStyle w:val="ListBullet"/>
      </w:pPr>
      <w:r>
        <w:t>No parchear automáticamente discrepancias con TIKR.</w:t>
      </w:r>
    </w:p>
    <w:p>
      <w:pPr>
        <w:pStyle w:val="ListBullet"/>
      </w:pPr>
      <w:r>
        <w:t>No mezclar precio de una fecha con fundamentals de otra sin registrar las fechas.</w:t>
      </w:r>
    </w:p>
    <w:p>
      <w:pPr>
        <w:pStyle w:val="ListBullet"/>
      </w:pPr>
      <w:r>
        <w:t>No publicar un número sin provenance.</w:t>
      </w:r>
    </w:p>
    <w:p>
      <w:pPr>
        <w:pStyle w:val="ListBullet"/>
      </w:pPr>
      <w:r>
        <w:t>No convertir un NULL en 0.</w:t>
      </w:r>
    </w:p>
    <w:p>
      <w:pPr>
        <w:pStyle w:val="ListBullet"/>
      </w:pPr>
      <w:r>
        <w:t>No llamar CERTIFIED a una métrica que solo pudo calcularse por inferencia no documentada.</w:t>
      </w:r>
    </w:p>
    <w:p>
      <w:pPr>
        <w:pStyle w:val="ListBullet"/>
      </w:pPr>
      <w:r>
        <w:t>No usar Postgres como laboratorio de cálculo.</w:t>
      </w:r>
    </w:p>
    <w:p>
      <w:pPr>
        <w:pStyle w:val="ListBullet"/>
      </w:pPr>
      <w:r>
        <w:t>No eliminar una capa de control hasta reemplazar explícitamente su cobertura.</w:t>
      </w:r>
    </w:p>
    <w:p>
      <w:pPr>
        <w:pStyle w:val="Heading1"/>
      </w:pPr>
      <w:r>
        <w:t>21. Estructura propuesta del repositorio</w:t>
      </w:r>
    </w:p>
    <w:p>
      <w:r>
        <w:t>pipeline/</w:t>
        <w:br/>
        <w:t xml:space="preserve">  universe/</w:t>
        <w:br/>
        <w:t xml:space="preserve">  extract/</w:t>
        <w:br/>
        <w:t xml:space="preserve">    cnv/</w:t>
        <w:br/>
        <w:t xml:space="preserve">    sec/</w:t>
        <w:br/>
        <w:t xml:space="preserve">    market/</w:t>
        <w:br/>
        <w:t xml:space="preserve">  normalize/</w:t>
        <w:br/>
        <w:t xml:space="preserve">  financial_model/</w:t>
        <w:br/>
        <w:t xml:space="preserve">  metrics/</w:t>
        <w:br/>
        <w:t xml:space="preserve">  quality/</w:t>
        <w:br/>
        <w:t xml:space="preserve">  provenance/</w:t>
        <w:br/>
        <w:t xml:space="preserve">  snapshot/</w:t>
        <w:br/>
        <w:t xml:space="preserve">  publish/</w:t>
        <w:br/>
        <w:t xml:space="preserve">  benchmark/</w:t>
        <w:br/>
        <w:t>tests/</w:t>
        <w:br/>
        <w:t xml:space="preserve">  canary/</w:t>
        <w:br/>
        <w:t>docs/</w:t>
        <w:br/>
        <w:t xml:space="preserve">  METRIC_DEFINITIONS.md</w:t>
        <w:br/>
        <w:t xml:space="preserve">  DATA_CONTRACT_EXTRACTION.md</w:t>
        <w:br/>
        <w:t xml:space="preserve">  PROVENANCE_SPECIFICATION.md</w:t>
        <w:br/>
        <w:t xml:space="preserve">  EXTRACTION_SPECIFICATION.md</w:t>
        <w:br/>
        <w:t xml:space="preserve">  DO_NOT_REPEAT.md</w:t>
        <w:br/>
        <w:t xml:space="preserve">  EXTRACTION_CHECKLIST.md</w:t>
        <w:br/>
        <w:t>data/</w:t>
        <w:br/>
        <w:t xml:space="preserve">  raw/</w:t>
        <w:br/>
        <w:t xml:space="preserve">  analytical/</w:t>
        <w:br/>
        <w:t xml:space="preserve">  snapshots/</w:t>
      </w:r>
    </w:p>
    <w:p>
      <w:pPr>
        <w:pStyle w:val="Heading1"/>
      </w:pPr>
      <w:r>
        <w:t>22. Entry points finales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5112"/>
            <w:vAlign w:val="top"/>
          </w:tcPr>
          <w:p>
            <w:r>
              <w:t>python pipeline.py snapshot</w:t>
            </w:r>
          </w:p>
        </w:tc>
        <w:tc>
          <w:tcPr>
            <w:tcW w:type="dxa" w:w="5112"/>
            <w:vAlign w:val="top"/>
          </w:tcPr>
          <w:p>
            <w:r>
              <w:t>Actualiza datos y genera snapshot</w:t>
            </w:r>
          </w:p>
        </w:tc>
      </w:tr>
      <w:tr>
        <w:tc>
          <w:tcPr>
            <w:tcW w:type="dxa" w:w="5112"/>
            <w:vAlign w:val="top"/>
          </w:tcPr>
          <w:p>
            <w:r>
              <w:t>python pipeline.py snapshot --as-of YYYY-MM-DD</w:t>
            </w:r>
          </w:p>
        </w:tc>
        <w:tc>
          <w:tcPr>
            <w:tcW w:type="dxa" w:w="5112"/>
            <w:vAlign w:val="top"/>
          </w:tcPr>
          <w:p>
            <w:r>
              <w:t>Genera foto a fecha determinada</w:t>
            </w:r>
          </w:p>
        </w:tc>
      </w:tr>
      <w:tr>
        <w:tc>
          <w:tcPr>
            <w:tcW w:type="dxa" w:w="5112"/>
            <w:vAlign w:val="top"/>
          </w:tcPr>
          <w:p>
            <w:r>
              <w:t>python pipeline.py rebuild --from YYYY-MM-DD</w:t>
            </w:r>
          </w:p>
        </w:tc>
        <w:tc>
          <w:tcPr>
            <w:tcW w:type="dxa" w:w="5112"/>
            <w:vAlign w:val="top"/>
          </w:tcPr>
          <w:p>
            <w:r>
              <w:t>Reconstruye histórico desde fecha</w:t>
            </w:r>
          </w:p>
        </w:tc>
      </w:tr>
      <w:tr>
        <w:tc>
          <w:tcPr>
            <w:tcW w:type="dxa" w:w="5112"/>
            <w:vAlign w:val="top"/>
          </w:tcPr>
          <w:p>
            <w:r>
              <w:t>python pipeline.py validate</w:t>
            </w:r>
          </w:p>
        </w:tc>
        <w:tc>
          <w:tcPr>
            <w:tcW w:type="dxa" w:w="5112"/>
            <w:vAlign w:val="top"/>
          </w:tcPr>
          <w:p>
            <w:r>
              <w:t>Ejecuta gates sin publicar</w:t>
            </w:r>
          </w:p>
        </w:tc>
      </w:tr>
      <w:tr>
        <w:tc>
          <w:tcPr>
            <w:tcW w:type="dxa" w:w="5112"/>
            <w:vAlign w:val="top"/>
          </w:tcPr>
          <w:p>
            <w:r>
              <w:t>python pipeline.py benchmark</w:t>
            </w:r>
          </w:p>
        </w:tc>
        <w:tc>
          <w:tcPr>
            <w:tcW w:type="dxa" w:w="5112"/>
            <w:vAlign w:val="top"/>
          </w:tcPr>
          <w:p>
            <w:r>
              <w:t>Ejecuta comparación externa</w:t>
            </w:r>
          </w:p>
        </w:tc>
      </w:tr>
      <w:tr>
        <w:tc>
          <w:tcPr>
            <w:tcW w:type="dxa" w:w="5112"/>
            <w:vAlign w:val="top"/>
          </w:tcPr>
          <w:p>
            <w:r>
              <w:t>python pipeline.py publish --snapshot SNAP-ID</w:t>
            </w:r>
          </w:p>
        </w:tc>
        <w:tc>
          <w:tcPr>
            <w:tcW w:type="dxa" w:w="5112"/>
            <w:vAlign w:val="top"/>
          </w:tcPr>
          <w:p>
            <w:r>
              <w:t>Publica snapshot existente</w:t>
            </w:r>
          </w:p>
        </w:tc>
      </w:tr>
    </w:tbl>
    <w:p>
      <w:pPr>
        <w:pStyle w:val="Heading1"/>
      </w:pPr>
      <w:r>
        <w:t>23. Definición de éxito del proyecto</w:t>
      </w:r>
    </w:p>
    <w:p>
      <w:r>
        <w:t>El proyecto se considera terminado cuando:</w:t>
      </w:r>
    </w:p>
    <w:p>
      <w:pPr>
        <w:pStyle w:val="ListBullet"/>
      </w:pPr>
      <w:r>
        <w:t>Podemos generar una foto diaria sin intervención manual normal.</w:t>
      </w:r>
    </w:p>
    <w:p>
      <w:pPr>
        <w:pStyle w:val="ListBullet"/>
      </w:pPr>
      <w:r>
        <w:t>La foto contiene 13 métricas y estados de calidad.</w:t>
      </w:r>
    </w:p>
    <w:p>
      <w:pPr>
        <w:pStyle w:val="ListBullet"/>
      </w:pPr>
      <w:r>
        <w:t>Tenemos 5–6 años mínimos de historia para las métricas que lo requieren.</w:t>
      </w:r>
    </w:p>
    <w:p>
      <w:pPr>
        <w:pStyle w:val="ListBullet"/>
      </w:pPr>
      <w:r>
        <w:t>Tenemos 7 años cuando la fuente lo permite y esto queda documentado.</w:t>
      </w:r>
    </w:p>
    <w:p>
      <w:pPr>
        <w:pStyle w:val="ListBullet"/>
      </w:pPr>
      <w:r>
        <w:t>Cada número puede rastrearse hasta RAW.</w:t>
      </w:r>
    </w:p>
    <w:p>
      <w:pPr>
        <w:pStyle w:val="ListBullet"/>
      </w:pPr>
      <w:r>
        <w:t>Podemos reproducir un snapshot anterior.</w:t>
      </w:r>
    </w:p>
    <w:p>
      <w:pPr>
        <w:pStyle w:val="ListBullet"/>
      </w:pPr>
      <w:r>
        <w:t>Podemos explicar diferencias con TIKR sin adivinar.</w:t>
      </w:r>
    </w:p>
    <w:p>
      <w:pPr>
        <w:pStyle w:val="ListBullet"/>
      </w:pPr>
      <w:r>
        <w:t>Los faltantes degradan el resultado de forma explícita, nunca silenciosa.</w:t>
      </w:r>
    </w:p>
    <w:p>
      <w:pPr>
        <w:pStyle w:val="ListBullet"/>
      </w:pPr>
      <w:r>
        <w:t>Un error de una fuente no contamina toda la base.</w:t>
      </w:r>
    </w:p>
    <w:p>
      <w:pPr>
        <w:pStyle w:val="ListBullet"/>
      </w:pPr>
      <w:r>
        <w:t>Una actualización no destruye la historia anterior.</w:t>
      </w:r>
    </w:p>
    <w:p>
      <w:pPr>
        <w:pStyle w:val="ListBullet"/>
      </w:pPr>
      <w:r>
        <w:t>El dashboard consume datos ya calculados y certificados.</w:t>
      </w:r>
    </w:p>
    <w:p>
      <w:pPr>
        <w:pStyle w:val="Heading1"/>
      </w:pPr>
      <w:r>
        <w:t>24. Prioridad inmediata</w:t>
      </w:r>
    </w:p>
    <w:p>
      <w:r>
        <w:t>No empezar por el dashboard ni por PostgreSQL. El orden recomendado es:</w:t>
      </w:r>
    </w:p>
    <w:p>
      <w:pPr>
        <w:pStyle w:val="ListNumber"/>
      </w:pPr>
      <w:r>
        <w:t>Congelar las definiciones de las 13 métricas.</w:t>
      </w:r>
    </w:p>
    <w:p>
      <w:pPr>
        <w:pStyle w:val="ListNumber"/>
      </w:pPr>
      <w:r>
        <w:t>Definir los contratos de datos y estados MISSING/N/A/NOT_CERTIFIED.</w:t>
      </w:r>
    </w:p>
    <w:p>
      <w:pPr>
        <w:pStyle w:val="ListNumber"/>
      </w:pPr>
      <w:r>
        <w:t>Diseñar el modelo histórico canónico.</w:t>
      </w:r>
    </w:p>
    <w:p>
      <w:pPr>
        <w:pStyle w:val="ListNumber"/>
      </w:pPr>
      <w:r>
        <w:t>Construir RAW/provenance/download_log como capa inviolable.</w:t>
      </w:r>
    </w:p>
    <w:p>
      <w:pPr>
        <w:pStyle w:val="ListNumber"/>
      </w:pPr>
      <w:r>
        <w:t>Pilotear 6–10 empresas.</w:t>
      </w:r>
    </w:p>
    <w:p>
      <w:pPr>
        <w:pStyle w:val="ListNumber"/>
      </w:pPr>
      <w:r>
        <w:t>Recién después reconstruir todo el universo.</w:t>
      </w:r>
    </w:p>
    <w:p>
      <w:pPr>
        <w:pStyle w:val="ListNumber"/>
      </w:pPr>
      <w:r>
        <w:t>Generar el primer snapshot certificado.</w:t>
      </w:r>
    </w:p>
    <w:p>
      <w:pPr>
        <w:pStyle w:val="ListNumber"/>
      </w:pPr>
      <w:r>
        <w:t>Comparar contra TIKR.</w:t>
      </w:r>
    </w:p>
    <w:p>
      <w:pPr>
        <w:pStyle w:val="ListNumber"/>
      </w:pPr>
      <w:r>
        <w:t>Resolver discrepancias metodológicas.</w:t>
      </w:r>
    </w:p>
    <w:p>
      <w:pPr>
        <w:pStyle w:val="ListNumber"/>
      </w:pPr>
      <w:r>
        <w:t>Publicar a PostgreSQL/API.</w:t>
      </w:r>
    </w:p>
    <w:p>
      <w:pPr>
        <w:pStyle w:val="Heading1"/>
      </w:pPr>
      <w:r>
        <w:t>25. Principio rector</w:t>
      </w:r>
    </w:p>
    <w:p>
      <w:r>
        <w:t>El sistema no debe intentar producir un número a cualquier costo. Debe producir el mejor número que pueda justificar y, cuando no pueda justificarlo, decir exactamente qué falta, por qué falta y qué métrica queda afectada.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