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decisiones-técnicas-clave"/>
    <w:p>
      <w:pPr>
        <w:pStyle w:val="Heading1"/>
      </w:pPr>
      <w:r>
        <w:t xml:space="preserve">06 — Decisiones técnicas clave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Backend — Estrategia y decisiones técnicas.docx</w:t>
      </w:r>
      <w:r>
        <w:t xml:space="preserve">. Cada decisión</w:t>
      </w:r>
      <w:r>
        <w:t xml:space="preserve"> </w:t>
      </w:r>
      <w:r>
        <w:t xml:space="preserve">acá tuvo una alternativa descartada explícitamente — se documenta el por qué.</w:t>
      </w:r>
    </w:p>
    <w:bookmarkStart w:id="20" w:name="X9ee051d59f993aea5c25035fd4d1084039c0fac"/>
    <w:p>
      <w:pPr>
        <w:pStyle w:val="Heading2"/>
      </w:pPr>
      <w:r>
        <w:t xml:space="preserve">SEC EDGAR vs TIKR — la decisión más importante del proyecto</w:t>
      </w:r>
    </w:p>
    <w:p>
      <w:pPr>
        <w:pStyle w:val="FirstParagraph"/>
      </w:pPr>
      <w:r>
        <w:rPr>
          <w:bCs/>
          <w:b/>
        </w:rPr>
        <w:t xml:space="preserve">Decisión: SEC EDGAR como fuente principal. TIKR queda descartado.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TIKR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EDGAR XBRL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procesados y formateados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Crudos, hay que calcular TTM/EBITDA manualmente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Gratis, sin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Prohíbe explícitamente el scraping</w:t>
            </w:r>
            <w:r>
              <w:t xml:space="preserve"> </w:t>
            </w:r>
            <w:r>
              <w:t xml:space="preserve">en sus TOS, cierra cuentas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programático explícitamente permitido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negocio — perder la cuenta afecta también el uso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DOM puede cambiar y romper el scraper sin aviso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estable, formato documentado</w:t>
            </w:r>
          </w:p>
        </w:tc>
      </w:tr>
    </w:tbl>
    <w:p>
      <w:pPr>
        <w:pStyle w:val="BodyText"/>
      </w:pPr>
      <w:r>
        <w:t xml:space="preserve">TIKR de hecho toma sus datos de la misma SEC. Ir directo a la fuente elimina</w:t>
      </w:r>
      <w:r>
        <w:t xml:space="preserve"> </w:t>
      </w:r>
      <w:r>
        <w:t xml:space="preserve">un intermediario frágil y de alto riesgo.</w:t>
      </w:r>
      <w:r>
        <w:t xml:space="preserve"> </w:t>
      </w:r>
      <w:r>
        <w:rPr>
          <w:bCs/>
          <w:b/>
        </w:rPr>
        <w:t xml:space="preserve">TIKR no se usa en ningún punto</w:t>
      </w:r>
      <w:r>
        <w:rPr>
          <w:bCs/>
          <w:b/>
        </w:rPr>
        <w:t xml:space="preserve"> </w:t>
      </w:r>
      <w:r>
        <w:rPr>
          <w:bCs/>
          <w:b/>
        </w:rPr>
        <w:t xml:space="preserve">del pipeline de producción.</w:t>
      </w:r>
    </w:p>
    <w:p>
      <w:pPr>
        <w:pStyle w:val="BodyText"/>
      </w:pPr>
      <w:r>
        <w:t xml:space="preserve">Caso límite: empresas extranjeras que no reportan a la SEC en XBRL (algunos</w:t>
      </w:r>
      <w:r>
        <w:t xml:space="preserve"> </w:t>
      </w:r>
      <w:r>
        <w:t xml:space="preserve">ADRs indios, brasileños, europeos). Para esos casos, fallback a Investing.com</w:t>
      </w:r>
      <w:r>
        <w:t xml:space="preserve"> </w:t>
      </w:r>
      <w:r>
        <w:t xml:space="preserve">vía Playwright — no a TIKR.</w:t>
      </w:r>
    </w:p>
    <w:bookmarkEnd w:id="20"/>
    <w:bookmarkStart w:id="21" w:name="Xae6a1f4b905c914c3708e1e8bd3e2e888885c8e"/>
    <w:p>
      <w:pPr>
        <w:pStyle w:val="Heading2"/>
      </w:pPr>
      <w:r>
        <w:t xml:space="preserve">Modo headed vs headless para Playwright (Investing.com)</w:t>
      </w:r>
    </w:p>
    <w:p>
      <w:pPr>
        <w:pStyle w:val="FirstParagraph"/>
      </w:pPr>
      <w:r>
        <w:rPr>
          <w:bCs/>
          <w:b/>
        </w:rPr>
        <w:t xml:space="preserve">Decisión: modo headed, o headless con stealth, según el entorno de deploy.</w:t>
      </w:r>
    </w:p>
    <w:p>
      <w:pPr>
        <w:pStyle w:val="BodyText"/>
      </w:pPr>
      <w:r>
        <w:t xml:space="preserve">Investing.com detecta bots por: propiedades de JS distintas en headless</w:t>
      </w:r>
      <w:r>
        <w:t xml:space="preserve"> </w:t>
      </w:r>
      <w:r>
        <w:t xml:space="preserve">(</w:t>
      </w:r>
      <w:r>
        <w:rPr>
          <w:rStyle w:val="VerbatimChar"/>
        </w:rPr>
        <w:t xml:space="preserve">navigator</w:t>
      </w:r>
      <w:r>
        <w:t xml:space="preserve">, dimensiones de pantalla en cero), ausencia de cookies/historial,</w:t>
      </w:r>
      <w:r>
        <w:t xml:space="preserve"> </w:t>
      </w:r>
      <w:r>
        <w:t xml:space="preserve">y comportamiento</w:t>
      </w:r>
      <w:r>
        <w:t xml:space="preserve"> </w:t>
      </w:r>
      <w:r>
        <w:t xml:space="preserve">“</w:t>
      </w:r>
      <w:r>
        <w:t xml:space="preserve">demasiado perfecto</w:t>
      </w:r>
      <w:r>
        <w:t xml:space="preserve">”</w:t>
      </w:r>
      <w:r>
        <w:t xml:space="preserve"> </w:t>
      </w:r>
      <w:r>
        <w:t xml:space="preserve">(sin variación de timing).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usarla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Headed +</w:t>
            </w:r>
            <w:r>
              <w:t xml:space="preserve"> </w:t>
            </w:r>
            <w:r>
              <w:rPr>
                <w:rStyle w:val="VerbatimChar"/>
              </w:rPr>
              <w:t xml:space="preserve">Xvfb</w:t>
            </w:r>
            <w:r>
              <w:t xml:space="preserve"> </w:t>
            </w:r>
            <w:r>
              <w:t xml:space="preserve">(pantalla virtual)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sin GUI, máxima confiabilidad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Headless +</w:t>
            </w:r>
            <w:r>
              <w:t xml:space="preserve"> </w:t>
            </w:r>
            <w:r>
              <w:rPr>
                <w:rStyle w:val="VerbatimChar"/>
              </w:rPr>
              <w:t xml:space="preserve">playwright-stealth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fácil de deployar, no 100% confiable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Perfil de usuario real (cookies/sesión)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robusto — el sitio ve el mismo browser que el humano</w:t>
            </w:r>
          </w:p>
        </w:tc>
      </w:tr>
    </w:tbl>
    <w:p>
      <w:pPr>
        <w:pStyle w:val="BodyText"/>
      </w:pPr>
      <w:r>
        <w:t xml:space="preserve">Regla dura:</w:t>
      </w:r>
      <w:r>
        <w:t xml:space="preserve"> </w:t>
      </w:r>
      <w:r>
        <w:rPr>
          <w:bCs/>
          <w:b/>
        </w:rPr>
        <w:t xml:space="preserve">nunca correr más de un browser en paralelo contra Investing.com</w:t>
      </w:r>
      <w:r>
        <w:t xml:space="preserve"> </w:t>
      </w:r>
      <w:r>
        <w:t xml:space="preserve">— aumenta la probabilidad de detección y de ban temporal de IP.</w:t>
      </w:r>
    </w:p>
    <w:bookmarkEnd w:id="21"/>
    <w:bookmarkStart w:id="23" w:name="X7a5aa8a969d0653716a8d4a9042f8007900d07c"/>
    <w:p>
      <w:pPr>
        <w:pStyle w:val="Heading2"/>
      </w:pPr>
      <w:r>
        <w:t xml:space="preserve">TTM — por qué no se puede sumar los últimos 4 trimestres a lo bruto</w:t>
      </w:r>
    </w:p>
    <w:p>
      <w:pPr>
        <w:pStyle w:val="FirstParagraph"/>
      </w:pPr>
      <w:r>
        <w:t xml:space="preserve">Las empresas USA reportan en</w:t>
      </w:r>
      <w:r>
        <w:t xml:space="preserve"> </w:t>
      </w:r>
      <w:r>
        <w:rPr>
          <w:rStyle w:val="VerbatimChar"/>
        </w:rPr>
        <w:t xml:space="preserve">10-Q</w:t>
      </w:r>
      <w:r>
        <w:t xml:space="preserve"> </w:t>
      </w:r>
      <w:r>
        <w:t xml:space="preserve">valores</w:t>
      </w:r>
      <w:r>
        <w:t xml:space="preserve"> </w:t>
      </w:r>
      <w:r>
        <w:rPr>
          <w:bCs/>
          <w:b/>
        </w:rPr>
        <w:t xml:space="preserve">YTD acumulados</w:t>
      </w:r>
      <w:r>
        <w:t xml:space="preserve"> </w:t>
      </w:r>
      <w:r>
        <w:t xml:space="preserve">desde el inicio</w:t>
      </w:r>
      <w:r>
        <w:t xml:space="preserve"> </w:t>
      </w:r>
      <w:r>
        <w:t xml:space="preserve">del año fiscal. El dato de Q3 de Income Statement ya incluye Q1+Q2+Q3 — no es</w:t>
      </w:r>
      <w:r>
        <w:t xml:space="preserve"> </w:t>
      </w:r>
      <w:r>
        <w:t xml:space="preserve">“</w:t>
      </w:r>
      <w:r>
        <w:t xml:space="preserve">el trimestre 3 solo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Sumar ingenuamente los últimos 4 registros</w:t>
      </w:r>
      <w:r>
        <w:t xml:space="preserve"> </w:t>
      </w:r>
      <w:r>
        <w:rPr>
          <w:rStyle w:val="VerbatimChar"/>
        </w:rPr>
        <w:t xml:space="preserve">form=10-Q</w:t>
      </w:r>
      <w:r>
        <w:t xml:space="preserve"> </w:t>
      </w:r>
      <w:r>
        <w:t xml:space="preserve">triplica Q1 y duplica</w:t>
      </w:r>
      <w:r>
        <w:t xml:space="preserve"> </w:t>
      </w:r>
      <w:r>
        <w:t xml:space="preserve">Q2. La solución es detectar la duración del período (</w:t>
      </w:r>
      <w:r>
        <w:rPr>
          <w:rStyle w:val="VerbatimChar"/>
        </w:rPr>
        <w:t xml:space="preserve">periodo_end - periodo_start</w:t>
      </w:r>
      <w:r>
        <w:t xml:space="preserve">) y aplicar la fórmula correcta según si es standalone o YTD.</w:t>
      </w:r>
      <w:r>
        <w:t xml:space="preserve"> </w:t>
      </w:r>
      <w:r>
        <w:t xml:space="preserve">Detalle completo en</w:t>
      </w:r>
      <w:r>
        <w:t xml:space="preserve"> </w:t>
      </w:r>
      <w:hyperlink r:id="rId22">
        <w:r>
          <w:rPr>
            <w:rStyle w:val="VerbatimChar"/>
          </w:rPr>
          <w:t xml:space="preserve">02-jobs.md</w:t>
        </w:r>
      </w:hyperlink>
      <w:r>
        <w:t xml:space="preserve">.</w:t>
      </w:r>
    </w:p>
    <w:bookmarkEnd w:id="23"/>
    <w:bookmarkStart w:id="24" w:name="X65804119bcac5f620834a98681538f48ed7fa26"/>
    <w:p>
      <w:pPr>
        <w:pStyle w:val="Heading2"/>
      </w:pPr>
      <w:r>
        <w:t xml:space="preserve">EBITDA no existe en XBRL — ni en GAAP ni en NIIF</w:t>
      </w:r>
    </w:p>
    <w:p>
      <w:pPr>
        <w:pStyle w:val="FirstParagraph"/>
      </w:pPr>
      <w:r>
        <w:t xml:space="preserve">Es una métrica no-GAAP. Se construye sumando:</w:t>
      </w:r>
    </w:p>
    <w:p>
      <w:pPr>
        <w:pStyle w:val="SourceCode"/>
      </w:pPr>
      <w:r>
        <w:rPr>
          <w:rStyle w:val="VerbatimChar"/>
        </w:rPr>
        <w:t xml:space="preserve">EBITDA = NetIncomeLoss + D&amp;A + InterestExpense + IncomeTaxExpense</w:t>
      </w:r>
    </w:p>
    <w:p>
      <w:pPr>
        <w:pStyle w:val="FirstParagraph"/>
      </w:pPr>
      <w:r>
        <w:t xml:space="preserve">Los cuatro componentes sí existen en SEC EDGAR por separado. Si alguno falta,</w:t>
      </w:r>
      <w:r>
        <w:t xml:space="preserve"> </w:t>
      </w:r>
      <w:r>
        <w:t xml:space="preserve">el ratio que depende de EBITDA queda en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nunca se aproxima ni se</w:t>
      </w:r>
      <w:r>
        <w:rPr>
          <w:bCs/>
          <w:b/>
        </w:rPr>
        <w:t xml:space="preserve"> </w:t>
      </w:r>
      <w:r>
        <w:rPr>
          <w:bCs/>
          <w:b/>
        </w:rPr>
        <w:t xml:space="preserve">estima</w:t>
      </w:r>
      <w:r>
        <w:t xml:space="preserve">, porque un valor estimado sin marcar como tal es peor que no</w:t>
      </w:r>
      <w:r>
        <w:t xml:space="preserve"> </w:t>
      </w:r>
      <w:r>
        <w:t xml:space="preserve">tener el dato.</w:t>
      </w:r>
    </w:p>
    <w:bookmarkEnd w:id="24"/>
    <w:bookmarkStart w:id="25" w:name="X6136c3a68252d78b8e34feaea175811d9dc9ee4"/>
    <w:p>
      <w:pPr>
        <w:pStyle w:val="Heading2"/>
      </w:pPr>
      <w:r>
        <w:t xml:space="preserve">Una sola sesión de browser compartida entre Backend A y B (Investing.com)</w:t>
      </w:r>
    </w:p>
    <w:p>
      <w:pPr>
        <w:pStyle w:val="FirstParagraph"/>
      </w:pPr>
      <w:r>
        <w:t xml:space="preserve">Margen Neto y ROE (Backend B) y PER/EPS/Crec.EPS (Backend A) están en la</w:t>
      </w:r>
      <w:r>
        <w:t xml:space="preserve"> </w:t>
      </w:r>
      <w:r>
        <w:t xml:space="preserve">misma sección de Investing.com por ticker. Decisión:</w:t>
      </w:r>
      <w:r>
        <w:t xml:space="preserve"> </w:t>
      </w:r>
      <w:r>
        <w:rPr>
          <w:bCs/>
          <w:b/>
        </w:rPr>
        <w:t xml:space="preserve">una sola visita por</w:t>
      </w:r>
      <w:r>
        <w:rPr>
          <w:bCs/>
          <w:b/>
        </w:rPr>
        <w:t xml:space="preserve"> </w:t>
      </w:r>
      <w:r>
        <w:rPr>
          <w:bCs/>
          <w:b/>
        </w:rPr>
        <w:t xml:space="preserve">ticker extrae los 5 valores</w:t>
      </w:r>
      <w:r>
        <w:t xml:space="preserve">, no visitas separadas por colaborador.</w:t>
      </w:r>
    </w:p>
    <w:p>
      <w:pPr>
        <w:pStyle w:val="BodyText"/>
      </w:pPr>
      <w:r>
        <w:t xml:space="preserve">Trade-off aceptado: requiere coordinación entre Valentino y Mateo sobre quién</w:t>
      </w:r>
      <w:r>
        <w:t xml:space="preserve"> </w:t>
      </w:r>
      <w:r>
        <w:t xml:space="preserve">corre el scraper de Investing — pero reduce el tiempo total de scraping y el</w:t>
      </w:r>
      <w:r>
        <w:t xml:space="preserve"> </w:t>
      </w:r>
      <w:r>
        <w:t xml:space="preserve">riesgo de detección de bot a la mitad.</w:t>
      </w:r>
    </w:p>
    <w:bookmarkEnd w:id="25"/>
    <w:bookmarkStart w:id="26" w:name="Xa362aa82e37ae80fb4c3e5b4347215084188c72"/>
    <w:p>
      <w:pPr>
        <w:pStyle w:val="Heading2"/>
      </w:pPr>
      <w:r>
        <w:t xml:space="preserve">UPSERT vs INSERT — depende de si la fuente es mutable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Estrategia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precios_raw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precio de ayer no importa, solo el último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financials_raw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 con</w:t>
            </w:r>
            <w:r>
              <w:t xml:space="preserve"> </w:t>
            </w:r>
            <w:r>
              <w:rPr>
                <w:rStyle w:val="VerbatimChar"/>
              </w:rPr>
              <w:t xml:space="preserve">ON CONFLICT DO 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datos de SEC son inmutables; un duplicado exacto se ignora, una enmienda se inserta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importa el último cálculo</w:t>
            </w:r>
          </w:p>
        </w:tc>
      </w:tr>
    </w:tbl>
    <w:bookmarkEnd w:id="26"/>
    <w:bookmarkStart w:id="27" w:name="X03d148487d2997127d072b3eec43b556e9b187b"/>
    <w:p>
      <w:pPr>
        <w:pStyle w:val="Heading2"/>
      </w:pPr>
      <w:r>
        <w:t xml:space="preserve">Endpoint JSON interno de Investing.com — la pregunta abierta más importante</w:t>
      </w:r>
    </w:p>
    <w:p>
      <w:pPr>
        <w:pStyle w:val="FirstParagraph"/>
      </w:pPr>
      <w:r>
        <w:t xml:space="preserve">Antes de implementar Playwright contra Investing.com,</w:t>
      </w:r>
      <w:r>
        <w:t xml:space="preserve"> </w:t>
      </w:r>
      <w:r>
        <w:rPr>
          <w:bCs/>
          <w:b/>
        </w:rPr>
        <w:t xml:space="preserve">investigar si el</w:t>
      </w:r>
      <w:r>
        <w:rPr>
          <w:bCs/>
          <w:b/>
        </w:rPr>
        <w:t xml:space="preserve"> </w:t>
      </w:r>
      <w:r>
        <w:rPr>
          <w:bCs/>
          <w:b/>
        </w:rPr>
        <w:t xml:space="preserve">sitio tiene un endpoint JSON interno</w:t>
      </w:r>
      <w:r>
        <w:t xml:space="preserve"> </w:t>
      </w:r>
      <w:r>
        <w:t xml:space="preserve">que el browser consume al cargar la</w:t>
      </w:r>
      <w:r>
        <w:t xml:space="preserve"> </w:t>
      </w:r>
      <w:r>
        <w:t xml:space="preserve">página (común en sitios con frontend dinámico). Si existe, reduce el scraping</w:t>
      </w:r>
      <w:r>
        <w:t xml:space="preserve"> </w:t>
      </w:r>
      <w:r>
        <w:t xml:space="preserve">de minutos a segundos por ticker y elimina la dependencia del DOM —</w:t>
      </w:r>
      <w:r>
        <w:t xml:space="preserve"> </w:t>
      </w:r>
      <w:r>
        <w:t xml:space="preserve">cambiaría la arquitectura completa de Backend A y B.</w:t>
      </w:r>
    </w:p>
    <w:p>
      <w:pPr>
        <w:pStyle w:val="BlockText"/>
      </w:pPr>
      <w:r>
        <w:rPr>
          <w:bCs/>
          <w:b/>
        </w:rPr>
        <w:t xml:space="preserve">Acción pendiente para Valentino y Mateo antes de escribir el scraper de</w:t>
      </w:r>
      <w:r>
        <w:rPr>
          <w:bCs/>
          <w:b/>
        </w:rPr>
        <w:t xml:space="preserve"> </w:t>
      </w:r>
      <w:r>
        <w:rPr>
          <w:bCs/>
          <w:b/>
        </w:rPr>
        <w:t xml:space="preserve">Investing.com</w:t>
      </w:r>
      <w:r>
        <w:t xml:space="preserve">: inspeccionar el Network tab del browser al cargar una</w:t>
      </w:r>
      <w:r>
        <w:t xml:space="preserve"> </w:t>
      </w:r>
      <w:r>
        <w:t xml:space="preserve">página de ticker y buscar requests JSON/XHR antes de asumir que hace falta</w:t>
      </w:r>
      <w:r>
        <w:t xml:space="preserve"> </w:t>
      </w:r>
      <w:r>
        <w:t xml:space="preserve">Playwright completo.</w:t>
      </w:r>
    </w:p>
    <w:bookmarkEnd w:id="27"/>
    <w:bookmarkStart w:id="28" w:name="X71dc77f4140e733fc9120373890453317af4bdd"/>
    <w:p>
      <w:pPr>
        <w:pStyle w:val="Heading2"/>
      </w:pPr>
      <w:r>
        <w:t xml:space="preserve">El contrato a acordar antes de escribir código</w:t>
      </w:r>
    </w:p>
    <w:p>
      <w:pPr>
        <w:numPr>
          <w:ilvl w:val="0"/>
          <w:numId w:val="1001"/>
        </w:numPr>
        <w:pStyle w:val="Compact"/>
      </w:pPr>
      <w:r>
        <w:t xml:space="preserve">Schema de BD completo, con tipos, nullables y constraints (ver</w:t>
      </w:r>
      <w:r>
        <w:t xml:space="preserve"> </w:t>
      </w:r>
      <w:r>
        <w:rPr>
          <w:rStyle w:val="VerbatimChar"/>
        </w:rPr>
        <w:t xml:space="preserve">migrations/001_initial_schema.sql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Formato de</w:t>
      </w:r>
      <w:r>
        <w:t xml:space="preserve"> </w:t>
      </w:r>
      <w:r>
        <w:rPr>
          <w:rStyle w:val="VerbatimChar"/>
        </w:rPr>
        <w:t xml:space="preserve">GET /api/jobs/{job_id}/status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processed</w:t>
      </w:r>
      <w:r>
        <w:t xml:space="preserve">/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como números, no porcentaje (ver</w:t>
      </w:r>
      <w:r>
        <w:t xml:space="preserve"> </w:t>
      </w:r>
      <w:r>
        <w:rPr>
          <w:rStyle w:val="VerbatimChar"/>
        </w:rPr>
        <w:t xml:space="preserve">docs/04-contrato-api.md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Comportamiento ante fallo parcial de un job:</w:t>
      </w:r>
      <w:r>
        <w:t xml:space="preserve"> </w:t>
      </w:r>
      <w:r>
        <w:rPr>
          <w:bCs/>
          <w:b/>
        </w:rPr>
        <w:t xml:space="preserve">no se reinicia desde cero</w:t>
      </w:r>
      <w:r>
        <w:t xml:space="preserve">, los tickers ya procesados quedan, solo se reintentan los fallidos en</w:t>
      </w:r>
      <w:r>
        <w:t xml:space="preserve"> </w:t>
      </w:r>
      <w:r>
        <w:rPr>
          <w:rStyle w:val="VerbatimChar"/>
        </w:rPr>
        <w:t xml:space="preserve">job_errores</w:t>
      </w:r>
      <w:r>
        <w:t xml:space="preserve">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02-jobs.md#l&#243;gica-de-ttm-el-c&#225;lculo-m&#225;s-importan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02-jobs.md#l&#243;gica-de-ttm-el-c&#225;lculo-m&#225;s-importan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2026-06-22T23:46:23Z</dcterms:created>
  <dcterms:modified xsi:type="dcterms:W3CDTF">2026-06-22T23:46:23Z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