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Informe funcional — Módulo de Ventas</w:t>
      </w:r>
    </w:p>
    <w:p>
      <w:pPr/>
      <w:r>
        <w:t xml:space="preserve">Sep 24, 2026</w:t>
      </w:r>
      <w:r>
        <w:t xml:space="preserve"> · </w:t>
      </w:r>
      <w:r>
        <w:t xml:space="preserve">@Monfasani Federico</w:t>
      </w:r>
    </w:p>
    <w:p>
      <w:pPr/>
      <w:r>
        <w:t xml:space="preserve">Análisis funcional previo a la SPEC especializada de Ventas de Otra Ronda Más, contrastado con la </w:t>
      </w:r>
      <w:r>
        <w:rPr>
          <w:b/>
        </w:rPr>
        <w:t xml:space="preserve">SPEC general v0.1</w:t>
      </w:r>
      <w:r>
        <w:t xml:space="preserve">, sus documentos complementarios y las </w:t>
      </w:r>
      <w:r>
        <w:rPr>
          <w:b/>
        </w:rPr>
        <w:t xml:space="preserve">notas de implementación</w:t>
      </w:r>
      <w:r>
        <w:t xml:space="preserve"> (scaffolding-notas.md). El módulo ya funciona en producción: vende, descuenta stock, acepta pagos mixtos y aplica descuentos por fidelidad. Las 7 pantallas analizadas son un rediseño. Las brechas más serias no están en el diseño sino en reglas de negocio: el IVA de las pantallas no existe en el backend, se pueden vender lotes vencidos, y una venta puede quedar confirmada sin cobro y sin deuda registrada.</w:t>
      </w:r>
    </w:p>
    <w:p>
      <w:pPr/>
      <w:r>
        <w:t xml:space="preserve">Ayuda operativa para el punto de venta: </w:t>
      </w:r>
      <w:r>
        <w:t xml:space="preserve">Guía para vendedores</w:t>
      </w:r>
    </w:p>
    <w:p>
      <w:pPr>
        <w:pStyle w:val="Heading2"/>
      </w:pPr>
      <w:r>
        <w:t xml:space="preserve">1. Ficha del documento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Campo</w:t>
            </w:r>
          </w:p>
        </w:tc>
        <w:tc>
          <w:tcPr>
            <w:tcW w:w="4680" w:type="dxa"/>
            <w:shd w:val="clear" w:color="auto" w:fill="F2F2F2"/>
          </w:tcPr>
          <w:p>
            <w:pPr/>
            <w:r>
              <w:t xml:space="preserve">Valor</w:t>
            </w:r>
          </w:p>
        </w:tc>
      </w:tr>
      <w:tr>
        <w:tc>
          <w:tcPr>
            <w:tcW w:w="4680" w:type="dxa"/>
          </w:tcPr>
          <w:p>
            <w:pPr/>
            <w:r>
              <w:t xml:space="preserve">Sistema</w:t>
            </w:r>
          </w:p>
        </w:tc>
        <w:tc>
          <w:tcPr>
            <w:tcW w:w="4680" w:type="dxa"/>
          </w:tcPr>
          <w:p>
            <w:pPr/>
            <w:r>
              <w:t xml:space="preserve">Otra Ronda Más — panel interno en admin.otrarondamas.wapsell.com</w:t>
            </w:r>
          </w:p>
        </w:tc>
      </w:tr>
      <w:tr>
        <w:tc>
          <w:tcPr>
            <w:tcW w:w="4680" w:type="dxa"/>
          </w:tcPr>
          <w:p>
            <w:pPr/>
            <w:r>
              <w:t xml:space="preserve">Dominio</w:t>
            </w:r>
          </w:p>
        </w:tc>
        <w:tc>
          <w:tcPr>
            <w:tcW w:w="4680" w:type="dxa"/>
          </w:tcPr>
          <w:p>
            <w:pPr/>
            <w:r>
              <w:t xml:space="preserve">Ventas — POS presencial (este informe); mayorista y online se tratan aparte</w:t>
            </w:r>
          </w:p>
        </w:tc>
      </w:tr>
      <w:tr>
        <w:tc>
          <w:tcPr>
            <w:tcW w:w="4680" w:type="dxa"/>
          </w:tcPr>
          <w:p>
            <w:pPr/>
            <w:r>
              <w:t xml:space="preserve">Tipo</w:t>
            </w:r>
          </w:p>
        </w:tc>
        <w:tc>
          <w:tcPr>
            <w:tcW w:w="4680" w:type="dxa"/>
          </w:tcPr>
          <w:p>
            <w:pPr/>
            <w:r>
              <w:t xml:space="preserve">Análisis funcional previo a SPEC especializada</w:t>
            </w:r>
          </w:p>
        </w:tc>
      </w:tr>
      <w:tr>
        <w:tc>
          <w:tcPr>
            <w:tcW w:w="4680" w:type="dxa"/>
          </w:tcPr>
          <w:p>
            <w:pPr/>
            <w:r>
              <w:t xml:space="preserve">Estado</w:t>
            </w:r>
          </w:p>
        </w:tc>
        <w:tc>
          <w:tcPr>
            <w:tcW w:w="4680" w:type="dxa"/>
          </w:tcPr>
          <w:p>
            <w:pPr/>
            <w:r>
              <w:t xml:space="preserve">Propuesta / insumo para especificación</w:t>
            </w:r>
          </w:p>
        </w:tc>
      </w:tr>
      <w:tr>
        <w:tc>
          <w:tcPr>
            <w:tcW w:w="4680" w:type="dxa"/>
          </w:tcPr>
          <w:p>
            <w:pPr/>
            <w:r>
              <w:t xml:space="preserve">Alcance</w:t>
            </w:r>
          </w:p>
        </w:tc>
        <w:tc>
          <w:tcPr>
            <w:tcW w:w="4680" w:type="dxa"/>
          </w:tcPr>
          <w:p>
            <w:pPr/>
            <w:r>
              <w:t xml:space="preserve">Comportamiento funcional del módulo</w:t>
            </w:r>
          </w:p>
        </w:tc>
      </w:tr>
      <w:tr>
        <w:tc>
          <w:tcPr>
            <w:tcW w:w="4680" w:type="dxa"/>
          </w:tcPr>
          <w:p>
            <w:pPr/>
            <w:r>
              <w:t xml:space="preserve">No incluye</w:t>
            </w:r>
          </w:p>
        </w:tc>
        <w:tc>
          <w:tcPr>
            <w:tcW w:w="4680" w:type="dxa"/>
          </w:tcPr>
          <w:p>
            <w:pPr/>
            <w:r>
              <w:t xml:space="preserve">Diseño visual detallado, implementación, API, modelo físico de datos</w:t>
            </w:r>
          </w:p>
        </w:tc>
      </w:tr>
      <w:tr>
        <w:tc>
          <w:tcPr>
            <w:tcW w:w="4680" w:type="dxa"/>
          </w:tcPr>
          <w:p>
            <w:pPr/>
            <w:r>
              <w:t xml:space="preserve">Marco</w:t>
            </w:r>
          </w:p>
        </w:tc>
        <w:tc>
          <w:tcPr>
            <w:tcW w:w="4680" w:type="dxa"/>
          </w:tcPr>
          <w:p>
            <w:pPr/>
            <w:r>
              <w:t xml:space="preserve">Especificación funcional SDD — MVP piloto, borrador v0.1, pendiente de validación del dueño. Producción objetivo: 30/11/2026</w:t>
            </w:r>
          </w:p>
        </w:tc>
      </w:tr>
      <w:tr>
        <w:tc>
          <w:tcPr>
            <w:tcW w:w="4680" w:type="dxa"/>
          </w:tcPr>
          <w:p>
            <w:pPr/>
            <w:r>
              <w:t xml:space="preserve">Evidencia usada</w:t>
            </w:r>
          </w:p>
        </w:tc>
        <w:tc>
          <w:tcPr>
            <w:tcW w:w="4680" w:type="dxa"/>
          </w:tcPr>
          <w:p>
            <w:pPr/>
            <w:r>
              <w:t xml:space="preserve">SPEC general v0.1; scaffolding-notas.md (§1–§37, estado implementado al 23/09/2026); criterios-diseno-dueno-D01-D19.md; spec-catalogo-productos.md; spec-login-roles.md; 7 pantallas del flujo Nueva venta; </w:t>
            </w:r>
            <w:hyperlink r:id="rId3" w:history="1">
              <w:r>
                <w:rPr>
                  <w:rStyle w:val="Hyperlink"/>
                </w:rPr>
                <w:t xml:space="preserve">Design System de Otra Ronda Más</w:t>
              </w:r>
            </w:hyperlink>
          </w:p>
        </w:tc>
      </w:tr>
      <w:tr>
        <w:tc>
          <w:tcPr>
            <w:tcW w:w="4680" w:type="dxa"/>
          </w:tcPr>
          <w:p>
            <w:pPr/>
            <w:r>
              <w:t xml:space="preserve">Evidencia faltante</w:t>
            </w:r>
          </w:p>
        </w:tc>
        <w:tc>
          <w:tcPr>
            <w:tcW w:w="4680" w:type="dxa"/>
          </w:tcPr>
          <w:p>
            <w:pPr/>
            <w:r>
              <w:t xml:space="preserve">Ninguna para el flujo de venta. Caja, fidelización y autorizaciones se tomaron de las notas, sin leer su código</w:t>
            </w:r>
          </w:p>
        </w:tc>
      </w:tr>
    </w:tbl>
    <w:p>
      <w:pPr/>
      <w:r>
        <w:t xml:space="preserve">Convención de etiquetas usada en todo el informe:</w:t>
      </w:r>
    </w:p>
    <w:p>
      <w:pPr>
        <w:pStyle w:val="ListParagraph"/>
        <w:numPr>
          <w:ilvl w:val="0"/>
          <w:numId w:val="2"/>
        </w:numPr>
      </w:pPr>
      <w:r>
        <w:rPr>
          <w:b/>
        </w:rPr>
        <w:t xml:space="preserve">SPEC</w:t>
      </w:r>
      <w:r>
        <w:t xml:space="preserve">: definido en la SPEC general v0.1 (se cita el RF, INV o D correspondiente).</w:t>
      </w:r>
    </w:p>
    <w:p>
      <w:pPr>
        <w:pStyle w:val="ListParagraph"/>
        <w:numPr>
          <w:ilvl w:val="0"/>
          <w:numId w:val="2"/>
        </w:numPr>
      </w:pPr>
      <w:r>
        <w:rPr>
          <w:b/>
        </w:rPr>
        <w:t xml:space="preserve">VERIFICADO</w:t>
      </w:r>
      <w:r>
        <w:t xml:space="preserve">: visible en las pantallas o en el design system.</w:t>
      </w:r>
    </w:p>
    <w:p>
      <w:pPr>
        <w:pStyle w:val="ListParagraph"/>
        <w:numPr>
          <w:ilvl w:val="0"/>
          <w:numId w:val="2"/>
        </w:numPr>
      </w:pPr>
      <w:r>
        <w:rPr>
          <w:b/>
        </w:rPr>
        <w:t xml:space="preserve">DERIVADO</w:t>
      </w:r>
      <w:r>
        <w:t xml:space="preserve">: se deduce del flujo o de los datos, no está aprobado.</w:t>
      </w:r>
    </w:p>
    <w:p>
      <w:pPr>
        <w:pStyle w:val="ListParagraph"/>
        <w:numPr>
          <w:ilvl w:val="0"/>
          <w:numId w:val="2"/>
        </w:numPr>
      </w:pPr>
      <w:r>
        <w:rPr>
          <w:b/>
        </w:rPr>
        <w:t xml:space="preserve">NO DETERMINABLE</w:t>
      </w:r>
      <w:r>
        <w:t xml:space="preserve">: requiere decisión de negocio; no se asume.</w:t>
      </w:r>
    </w:p>
    <w:p>
      <w:pPr>
        <w:pStyle w:val="Heading2"/>
      </w:pPr>
      <w:r>
        <w:t xml:space="preserve">2. Qué fija la SPEC general para Ventas</w:t>
      </w:r>
    </w:p>
    <w:p>
      <w:pPr/>
      <w:r>
        <w:t xml:space="preserve">La SPEC general define reglas que la SPEC de Ventas debe heredar sin reabrirlas. Las invariantes se protegen en servidor y base de datos, no solo en la interfaz (SPEC §5).</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Tema</w:t>
            </w:r>
          </w:p>
        </w:tc>
        <w:tc>
          <w:tcPr>
            <w:tcW w:w="3120" w:type="dxa"/>
            <w:shd w:val="clear" w:color="auto" w:fill="F2F2F2"/>
          </w:tcPr>
          <w:p>
            <w:pPr/>
            <w:r>
              <w:t xml:space="preserve">Qué establece</w:t>
            </w:r>
          </w:p>
        </w:tc>
        <w:tc>
          <w:tcPr>
            <w:tcW w:w="3120" w:type="dxa"/>
            <w:shd w:val="clear" w:color="auto" w:fill="F2F2F2"/>
          </w:tcPr>
          <w:p>
            <w:pPr/>
            <w:r>
              <w:t xml:space="preserve">Fuente</w:t>
            </w:r>
          </w:p>
        </w:tc>
      </w:tr>
      <w:tr>
        <w:tc>
          <w:tcPr>
            <w:tcW w:w="3120" w:type="dxa"/>
          </w:tcPr>
          <w:p>
            <w:pPr/>
            <w:r>
              <w:t xml:space="preserve">Venta presencial</w:t>
            </w:r>
          </w:p>
        </w:tc>
        <w:tc>
          <w:tcPr>
            <w:tcW w:w="3120" w:type="dxa"/>
          </w:tcPr>
          <w:p>
            <w:pPr/>
            <w:r>
              <w:t xml:space="preserve">Venta sin identificar al cliente; búsqueda por código, nombre o código de barras; cantidades y presentaciones; total; pagos mixtos; usuario responsable; comprobante interno y ticket impreso</w:t>
            </w:r>
          </w:p>
        </w:tc>
        <w:tc>
          <w:tcPr>
            <w:tcW w:w="3120" w:type="dxa"/>
          </w:tcPr>
          <w:p>
            <w:pPr/>
            <w:r>
              <w:t xml:space="preserve">RF-05</w:t>
            </w:r>
          </w:p>
        </w:tc>
      </w:tr>
      <w:tr>
        <w:tc>
          <w:tcPr>
            <w:tcW w:w="3120" w:type="dxa"/>
          </w:tcPr>
          <w:p>
            <w:pPr/>
            <w:r>
              <w:t xml:space="preserve">Inmutabilidad</w:t>
            </w:r>
          </w:p>
        </w:tc>
        <w:tc>
          <w:tcPr>
            <w:tcW w:w="3120" w:type="dxa"/>
          </w:tcPr>
          <w:p>
            <w:pPr/>
            <w:r>
              <w:t xml:space="preserve">Una venta confirmada no se elimina. Anulaciones y devoluciones generan operaciones vinculadas y trazables</w:t>
            </w:r>
          </w:p>
        </w:tc>
        <w:tc>
          <w:tcPr>
            <w:tcW w:w="3120" w:type="dxa"/>
          </w:tcPr>
          <w:p>
            <w:pPr/>
            <w:r>
              <w:t xml:space="preserve">RF-05, INV-02, INV-11</w:t>
            </w:r>
          </w:p>
        </w:tc>
      </w:tr>
      <w:tr>
        <w:tc>
          <w:tcPr>
            <w:tcW w:w="3120" w:type="dxa"/>
          </w:tcPr>
          <w:p>
            <w:pPr/>
            <w:r>
              <w:t xml:space="preserve">Efectos</w:t>
            </w:r>
          </w:p>
        </w:tc>
        <w:tc>
          <w:tcPr>
            <w:tcW w:w="3120" w:type="dxa"/>
          </w:tcPr>
          <w:p>
            <w:pPr/>
            <w:r>
              <w:t xml:space="preserve">Caja, pagos y stock se actualizan “según el estado de la operación”</w:t>
            </w:r>
          </w:p>
        </w:tc>
        <w:tc>
          <w:tcPr>
            <w:tcW w:w="3120" w:type="dxa"/>
          </w:tcPr>
          <w:p>
            <w:pPr/>
            <w:r>
              <w:t xml:space="preserve">RF-05</w:t>
            </w:r>
          </w:p>
        </w:tc>
      </w:tr>
      <w:tr>
        <w:tc>
          <w:tcPr>
            <w:tcW w:w="3120" w:type="dxa"/>
          </w:tcPr>
          <w:p>
            <w:pPr/>
            <w:r>
              <w:t xml:space="preserve">Precios</w:t>
            </w:r>
          </w:p>
        </w:tc>
        <w:tc>
          <w:tcPr>
            <w:tcW w:w="3120" w:type="dxa"/>
          </w:tcPr>
          <w:p>
            <w:pPr/>
            <w:r>
              <w:t xml:space="preserve">Minorista y mayorista diferenciados; si no hay regla aplicable, precio minorista. El POS muestra precio y descuento aplicable</w:t>
            </w:r>
          </w:p>
        </w:tc>
        <w:tc>
          <w:tcPr>
            <w:tcW w:w="3120" w:type="dxa"/>
          </w:tcPr>
          <w:p>
            <w:pPr/>
            <w:r>
              <w:t xml:space="preserve">RF-04, D-01</w:t>
            </w:r>
          </w:p>
        </w:tc>
      </w:tr>
      <w:tr>
        <w:tc>
          <w:tcPr>
            <w:tcW w:w="3120" w:type="dxa"/>
          </w:tcPr>
          <w:p>
            <w:pPr/>
            <w:r>
              <w:t xml:space="preserve">Descuentos</w:t>
            </w:r>
          </w:p>
        </w:tc>
        <w:tc>
          <w:tcPr>
            <w:tcW w:w="3120" w:type="dxa"/>
          </w:tcPr>
          <w:p>
            <w:pPr/>
            <w:r>
              <w:t xml:space="preserve">Automáticos configurados sin autorización por venta; especiales o fuera de regla requieren autorización del dueño</w:t>
            </w:r>
          </w:p>
        </w:tc>
        <w:tc>
          <w:tcPr>
            <w:tcW w:w="3120" w:type="dxa"/>
          </w:tcPr>
          <w:p>
            <w:pPr/>
            <w:r>
              <w:t xml:space="preserve">RF-04, D-02</w:t>
            </w:r>
          </w:p>
        </w:tc>
      </w:tr>
      <w:tr>
        <w:tc>
          <w:tcPr>
            <w:tcW w:w="3120" w:type="dxa"/>
          </w:tcPr>
          <w:p>
            <w:pPr/>
            <w:r>
              <w:t xml:space="preserve">Historia de precios</w:t>
            </w:r>
          </w:p>
        </w:tc>
        <w:tc>
          <w:tcPr>
            <w:tcW w:w="3120" w:type="dxa"/>
          </w:tcPr>
          <w:p>
            <w:pPr/>
            <w:r>
              <w:t xml:space="preserve">Cambiar un precio no modifica ventas anteriores; la venta conserva sus datos aunque el producto se desactive</w:t>
            </w:r>
          </w:p>
        </w:tc>
        <w:tc>
          <w:tcPr>
            <w:tcW w:w="3120" w:type="dxa"/>
          </w:tcPr>
          <w:p>
            <w:pPr/>
            <w:r>
              <w:t xml:space="preserve">INV-12, RF-03</w:t>
            </w:r>
          </w:p>
        </w:tc>
      </w:tr>
      <w:tr>
        <w:tc>
          <w:tcPr>
            <w:tcW w:w="3120" w:type="dxa"/>
          </w:tcPr>
          <w:p>
            <w:pPr/>
            <w:r>
              <w:t xml:space="preserve">Medios de pago</w:t>
            </w:r>
          </w:p>
        </w:tc>
        <w:tc>
          <w:tcPr>
            <w:tcW w:w="3120" w:type="dxa"/>
          </w:tcPr>
          <w:p>
            <w:pPr/>
            <w:r>
              <w:t xml:space="preserve">Efectivo, transferencia, QR y Mercado Pago; pagos mixtos, completos y parciales</w:t>
            </w:r>
          </w:p>
        </w:tc>
        <w:tc>
          <w:tcPr>
            <w:tcW w:w="3120" w:type="dxa"/>
          </w:tcPr>
          <w:p>
            <w:pPr/>
            <w:r>
              <w:t xml:space="preserve">RF-08</w:t>
            </w:r>
          </w:p>
        </w:tc>
      </w:tr>
      <w:tr>
        <w:tc>
          <w:tcPr>
            <w:tcW w:w="3120" w:type="dxa"/>
          </w:tcPr>
          <w:p>
            <w:pPr/>
            <w:r>
              <w:t xml:space="preserve">Cuadre de pagos</w:t>
            </w:r>
          </w:p>
        </w:tc>
        <w:tc>
          <w:tcPr>
            <w:tcW w:w="3120" w:type="dxa"/>
          </w:tcPr>
          <w:p>
            <w:pPr/>
            <w:r>
              <w:t xml:space="preserve">Pagos mixtos cuadran con el importe; lo aplicado no excede el importe sin regla de saldo a favor</w:t>
            </w:r>
          </w:p>
        </w:tc>
        <w:tc>
          <w:tcPr>
            <w:tcW w:w="3120" w:type="dxa"/>
          </w:tcPr>
          <w:p>
            <w:pPr/>
            <w:r>
              <w:t xml:space="preserve">INV-04, INV-05</w:t>
            </w:r>
          </w:p>
        </w:tc>
      </w:tr>
      <w:tr>
        <w:tc>
          <w:tcPr>
            <w:tcW w:w="3120" w:type="dxa"/>
          </w:tcPr>
          <w:p>
            <w:pPr/>
            <w:r>
              <w:t xml:space="preserve">Cobro manual</w:t>
            </w:r>
          </w:p>
        </w:tc>
        <w:tc>
          <w:tcPr>
            <w:tcW w:w="3120" w:type="dxa"/>
          </w:tcPr>
          <w:p>
            <w:pPr/>
            <w:r>
              <w:t xml:space="preserve">Siempre se registra medio, importe, fecha y operador; la conciliación automática solo para medios integrados</w:t>
            </w:r>
          </w:p>
        </w:tc>
        <w:tc>
          <w:tcPr>
            <w:tcW w:w="3120" w:type="dxa"/>
          </w:tcPr>
          <w:p>
            <w:pPr/>
            <w:r>
              <w:t xml:space="preserve">D-04</w:t>
            </w:r>
          </w:p>
        </w:tc>
      </w:tr>
      <w:tr>
        <w:tc>
          <w:tcPr>
            <w:tcW w:w="3120" w:type="dxa"/>
          </w:tcPr>
          <w:p>
            <w:pPr/>
            <w:r>
              <w:t xml:space="preserve">Crédito</w:t>
            </w:r>
          </w:p>
        </w:tc>
        <w:tc>
          <w:tcPr>
            <w:tcW w:w="3120" w:type="dxa"/>
          </w:tcPr>
          <w:p>
            <w:pPr/>
            <w:r>
              <w:t xml:space="preserve">Venta a crédito con límite por cliente; bloqueo al superarlo salvo excepción del dueño; plazo máximo 30 días</w:t>
            </w:r>
          </w:p>
        </w:tc>
        <w:tc>
          <w:tcPr>
            <w:tcW w:w="3120" w:type="dxa"/>
          </w:tcPr>
          <w:p>
            <w:pPr/>
            <w:r>
              <w:t xml:space="preserve">RF-10</w:t>
            </w:r>
          </w:p>
        </w:tc>
      </w:tr>
      <w:tr>
        <w:tc>
          <w:tcPr>
            <w:tcW w:w="3120" w:type="dxa"/>
          </w:tcPr>
          <w:p>
            <w:pPr/>
            <w:r>
              <w:t xml:space="preserve">Stock</w:t>
            </w:r>
          </w:p>
        </w:tc>
        <w:tc>
          <w:tcPr>
            <w:tcW w:w="3120" w:type="dxa"/>
          </w:tcPr>
          <w:p>
            <w:pPr/>
            <w:r>
              <w:t xml:space="preserve">Nunca negativo salvo excepción autorizada; bloqueo por stock insuficiente; vencidos bloqueados por lote</w:t>
            </w:r>
          </w:p>
        </w:tc>
        <w:tc>
          <w:tcPr>
            <w:tcW w:w="3120" w:type="dxa"/>
          </w:tcPr>
          <w:p>
            <w:pPr/>
            <w:r>
              <w:t xml:space="preserve">INV-06, RF-11, D-09</w:t>
            </w:r>
          </w:p>
        </w:tc>
      </w:tr>
      <w:tr>
        <w:tc>
          <w:tcPr>
            <w:tcW w:w="3120" w:type="dxa"/>
          </w:tcPr>
          <w:p>
            <w:pPr/>
            <w:r>
              <w:t xml:space="preserve">Operaciones restringidas</w:t>
            </w:r>
          </w:p>
        </w:tc>
        <w:tc>
          <w:tcPr>
            <w:tcW w:w="3120" w:type="dxa"/>
          </w:tcPr>
          <w:p>
            <w:pPr/>
            <w:r>
              <w:t xml:space="preserve">Descuentos especiales, anulaciones, devoluciones, pagos parciales de cuenta corriente, excepciones de stock y cambios de precio requieren permiso y autorización expresa del dueño</w:t>
            </w:r>
          </w:p>
        </w:tc>
        <w:tc>
          <w:tcPr>
            <w:tcW w:w="3120" w:type="dxa"/>
          </w:tcPr>
          <w:p>
            <w:pPr/>
            <w:r>
              <w:t xml:space="preserve">§3.2, INV-09</w:t>
            </w:r>
          </w:p>
        </w:tc>
      </w:tr>
      <w:tr>
        <w:tc>
          <w:tcPr>
            <w:tcW w:w="3120" w:type="dxa"/>
          </w:tcPr>
          <w:p>
            <w:pPr/>
            <w:r>
              <w:t xml:space="preserve">Auditoría</w:t>
            </w:r>
          </w:p>
        </w:tc>
        <w:tc>
          <w:tcPr>
            <w:tcW w:w="3120" w:type="dxa"/>
          </w:tcPr>
          <w:p>
            <w:pPr/>
            <w:r>
              <w:t xml:space="preserve">Usuario, empresa, fecha, acción, registro, valores antes/después, motivo y autorización en ventas, cobros, anulaciones y devoluciones</w:t>
            </w:r>
          </w:p>
        </w:tc>
        <w:tc>
          <w:tcPr>
            <w:tcW w:w="3120" w:type="dxa"/>
          </w:tcPr>
          <w:p>
            <w:pPr/>
            <w:r>
              <w:t xml:space="preserve">RF-16</w:t>
            </w:r>
          </w:p>
        </w:tc>
      </w:tr>
      <w:tr>
        <w:tc>
          <w:tcPr>
            <w:tcW w:w="3120" w:type="dxa"/>
          </w:tcPr>
          <w:p>
            <w:pPr/>
            <w:r>
              <w:t xml:space="preserve">Idempotencia</w:t>
            </w:r>
          </w:p>
        </w:tc>
        <w:tc>
          <w:tcPr>
            <w:tcW w:w="3120" w:type="dxa"/>
          </w:tcPr>
          <w:p>
            <w:pPr/>
            <w:r>
              <w:t xml:space="preserve">Notificaciones de la pasarela no crean ventas ni pagos duplicados</w:t>
            </w:r>
          </w:p>
        </w:tc>
        <w:tc>
          <w:tcPr>
            <w:tcW w:w="3120" w:type="dxa"/>
          </w:tcPr>
          <w:p>
            <w:pPr/>
            <w:r>
              <w:t xml:space="preserve">INV-13</w:t>
            </w:r>
          </w:p>
        </w:tc>
      </w:tr>
      <w:tr>
        <w:tc>
          <w:tcPr>
            <w:tcW w:w="3120" w:type="dxa"/>
          </w:tcPr>
          <w:p>
            <w:pPr/>
            <w:r>
              <w:t xml:space="preserve">Fuera de alcance</w:t>
            </w:r>
          </w:p>
        </w:tc>
        <w:tc>
          <w:tcPr>
            <w:tcW w:w="3120" w:type="dxa"/>
          </w:tcPr>
          <w:p>
            <w:pPr/>
            <w:r>
              <w:t xml:space="preserve">Facturación fiscal electrónica y operación offline</w:t>
            </w:r>
          </w:p>
        </w:tc>
        <w:tc>
          <w:tcPr>
            <w:tcW w:w="3120" w:type="dxa"/>
          </w:tcPr>
          <w:p>
            <w:pPr/>
            <w:r>
              <w:t xml:space="preserve">§2.2</w:t>
            </w:r>
          </w:p>
        </w:tc>
      </w:tr>
    </w:tbl>
    <w:p>
      <w:pPr/>
      <w:r>
        <w:t xml:space="preserve">Criterios del piloto que dependen de Ventas (SPEC §9): registrar una venta presencial y emitir o imprimir comprobante; pagos mixtos que cuadran con el total; stock actualizado por ventas; operaciones sensibles con autorización y evidencia.</w:t>
      </w:r>
    </w:p>
    <w:p>
      <w:pPr>
        <w:pStyle w:val="Heading3"/>
      </w:pPr>
      <w:r>
        <w:t xml:space="preserve">2.1 Qué agregan los documentos complementarios</w:t>
      </w:r>
    </w:p>
    <w:p>
      <w:pPr/>
      <w:r>
        <w:t xml:space="preserve">Los criterios del dueño son </w:t>
      </w:r>
      <w:r>
        <w:rPr>
          <w:b/>
        </w:rPr>
        <w:t xml:space="preserve">dirección de diseño, no reglas definitivas</w:t>
      </w:r>
      <w:r>
        <w:t xml:space="preserve">: el propio documento pide no convertirlos en reglas ni inventar datos comerciales. Se citan como tales.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Tema</w:t>
            </w:r>
          </w:p>
        </w:tc>
        <w:tc>
          <w:tcPr>
            <w:tcW w:w="3120" w:type="dxa"/>
            <w:shd w:val="clear" w:color="auto" w:fill="F2F2F2"/>
          </w:tcPr>
          <w:p>
            <w:pPr/>
            <w:r>
              <w:t xml:space="preserve">Qué agrega para Ventas</w:t>
            </w:r>
          </w:p>
        </w:tc>
        <w:tc>
          <w:tcPr>
            <w:tcW w:w="3120" w:type="dxa"/>
            <w:shd w:val="clear" w:color="auto" w:fill="F2F2F2"/>
          </w:tcPr>
          <w:p>
            <w:pPr/>
            <w:r>
              <w:t xml:space="preserve">Fuente</w:t>
            </w:r>
          </w:p>
        </w:tc>
      </w:tr>
      <w:tr>
        <w:tc>
          <w:tcPr>
            <w:tcW w:w="3120" w:type="dxa"/>
          </w:tcPr>
          <w:p>
            <w:pPr/>
            <w:r>
              <w:t xml:space="preserve">Lote por línea</w:t>
            </w:r>
          </w:p>
        </w:tc>
        <w:tc>
          <w:tcPr>
            <w:tcW w:w="3120" w:type="dxa"/>
          </w:tcPr>
          <w:p>
            <w:pPr/>
            <w:r>
              <w:t xml:space="preserve">Para productos con lote, la venta debe poder identificar de qué lote sale cada unidad; el bloqueo por vencimiento se evalúa por lote</w:t>
            </w:r>
          </w:p>
        </w:tc>
        <w:tc>
          <w:tcPr>
            <w:tcW w:w="3120" w:type="dxa"/>
          </w:tcPr>
          <w:p>
            <w:pPr/>
            <w:r>
              <w:t xml:space="preserve">D-09 (criterios)</w:t>
            </w:r>
          </w:p>
        </w:tc>
      </w:tr>
      <w:tr>
        <w:tc>
          <w:tcPr>
            <w:tcW w:w="3120" w:type="dxa"/>
          </w:tcPr>
          <w:p>
            <w:pPr/>
            <w:r>
              <w:t xml:space="preserve">Presentación y SKU</w:t>
            </w:r>
          </w:p>
        </w:tc>
        <w:tc>
          <w:tcPr>
            <w:tcW w:w="3120" w:type="dxa"/>
          </w:tcPr>
          <w:p>
            <w:pPr/>
            <w:r>
              <w:t xml:space="preserve">Cada presentación tiene su SKU interno estable; el resultado de búsqueda debe identificar claramente la presentación. Sin conversión configurada no se calcula</w:t>
            </w:r>
          </w:p>
        </w:tc>
        <w:tc>
          <w:tcPr>
            <w:tcW w:w="3120" w:type="dxa"/>
          </w:tcPr>
          <w:p>
            <w:pPr/>
            <w:r>
              <w:t xml:space="preserve">Catálogo §4.4, §4.5, §8.1; D-08</w:t>
            </w:r>
          </w:p>
        </w:tc>
      </w:tr>
      <w:tr>
        <w:tc>
          <w:tcPr>
            <w:tcW w:w="3120" w:type="dxa"/>
          </w:tcPr>
          <w:p>
            <w:pPr/>
            <w:r>
              <w:t xml:space="preserve">Búsqueda</w:t>
            </w:r>
          </w:p>
        </w:tc>
        <w:tc>
          <w:tcPr>
            <w:tcW w:w="3120" w:type="dxa"/>
          </w:tcPr>
          <w:p>
            <w:pPr/>
            <w:r>
              <w:t xml:space="preserve">Por SKU interno, código de barras, código de origen, nombre, marca, categoría y presentación</w:t>
            </w:r>
          </w:p>
        </w:tc>
        <w:tc>
          <w:tcPr>
            <w:tcW w:w="3120" w:type="dxa"/>
          </w:tcPr>
          <w:p>
            <w:pPr/>
            <w:r>
              <w:t xml:space="preserve">Catálogo §8.1</w:t>
            </w:r>
          </w:p>
        </w:tc>
      </w:tr>
      <w:tr>
        <w:tc>
          <w:tcPr>
            <w:tcW w:w="3120" w:type="dxa"/>
          </w:tcPr>
          <w:p>
            <w:pPr/>
            <w:r>
              <w:t xml:space="preserve">Escaneo no identificado</w:t>
            </w:r>
          </w:p>
        </w:tc>
        <w:tc>
          <w:tcPr>
            <w:tcW w:w="3120" w:type="dxa"/>
          </w:tcPr>
          <w:p>
            <w:pPr/>
            <w:r>
              <w:t xml:space="preserve">Informa que no fue identificado, no crea producto, no toca stock y permite iniciar una vinculación autorizada. Escanear no modifica stock</w:t>
            </w:r>
          </w:p>
        </w:tc>
        <w:tc>
          <w:tcPr>
            <w:tcW w:w="3120" w:type="dxa"/>
          </w:tcPr>
          <w:p>
            <w:pPr/>
            <w:r>
              <w:t xml:space="preserve">Catálogo §4.7, §8.2, §8.3</w:t>
            </w:r>
          </w:p>
        </w:tc>
      </w:tr>
      <w:tr>
        <w:tc>
          <w:tcPr>
            <w:tcW w:w="3120" w:type="dxa"/>
          </w:tcPr>
          <w:p>
            <w:pPr/>
            <w:r>
              <w:t xml:space="preserve">Categorías</w:t>
            </w:r>
          </w:p>
        </w:tc>
        <w:tc>
          <w:tcPr>
            <w:tcW w:w="3120" w:type="dxa"/>
          </w:tcPr>
          <w:p>
            <w:pPr/>
            <w:r>
              <w:t xml:space="preserve">Jerarquía implementada de 4 niveles obligatorios: Familia → Subfamilia → Tipo → Subtipo, con nodo “GEN” de relleno. 11 familias y 187 subfamilias migradas con 4.343 productos</w:t>
            </w:r>
          </w:p>
        </w:tc>
        <w:tc>
          <w:tcPr>
            <w:tcW w:w="3120" w:type="dxa"/>
          </w:tcPr>
          <w:p>
            <w:pPr/>
            <w:r>
              <w:t xml:space="preserve">Catálogo §4.1 (actualización 22/09/2026)</w:t>
            </w:r>
          </w:p>
        </w:tc>
      </w:tr>
      <w:tr>
        <w:tc>
          <w:tcPr>
            <w:tcW w:w="3120" w:type="dxa"/>
          </w:tcPr>
          <w:p>
            <w:pPr/>
            <w:r>
              <w:t xml:space="preserve">Precio de venta</w:t>
            </w:r>
          </w:p>
        </w:tc>
        <w:tc>
          <w:tcPr>
            <w:tcW w:w="3120" w:type="dxa"/>
          </w:tcPr>
          <w:p>
            <w:pPr/>
            <w:r>
              <w:t xml:space="preserve">La regla de selección del precio usado en ventas está fuera de la SPEC de Catálogo y requiere alineación con reglas comerciales</w:t>
            </w:r>
          </w:p>
        </w:tc>
        <w:tc>
          <w:tcPr>
            <w:tcW w:w="3120" w:type="dxa"/>
          </w:tcPr>
          <w:p>
            <w:pPr/>
            <w:r>
              <w:t xml:space="preserve">Catálogo §10.5, pendiente 12</w:t>
            </w:r>
          </w:p>
        </w:tc>
      </w:tr>
      <w:tr>
        <w:tc>
          <w:tcPr>
            <w:tcW w:w="3120" w:type="dxa"/>
          </w:tcPr>
          <w:p>
            <w:pPr/>
            <w:r>
              <w:t xml:space="preserve">Pago</w:t>
            </w:r>
          </w:p>
        </w:tc>
        <w:tc>
          <w:tcPr>
            <w:tcW w:w="3120" w:type="dxa"/>
          </w:tcPr>
          <w:p>
            <w:pPr/>
            <w:r>
              <w:t xml:space="preserve">Entidad desacoplada del proveedor: identificador externo, estados, webhooks e idempotencia; marca de origen manual o adaptador</w:t>
            </w:r>
          </w:p>
        </w:tc>
        <w:tc>
          <w:tcPr>
            <w:tcW w:w="3120" w:type="dxa"/>
          </w:tcPr>
          <w:p>
            <w:pPr/>
            <w:r>
              <w:t xml:space="preserve">D-03, D-04 (criterios)</w:t>
            </w:r>
          </w:p>
        </w:tc>
      </w:tr>
      <w:tr>
        <w:tc>
          <w:tcPr>
            <w:tcW w:w="3120" w:type="dxa"/>
          </w:tcPr>
          <w:p>
            <w:pPr/>
            <w:r>
              <w:t xml:space="preserve">Autorización</w:t>
            </w:r>
          </w:p>
        </w:tc>
        <w:tc>
          <w:tcPr>
            <w:tcW w:w="3120" w:type="dxa"/>
          </w:tcPr>
          <w:p>
            <w:pPr/>
            <w:r>
              <w:t xml:space="preserve">Registro central de quién autorizó, cuándo, qué operación y con qué resultado. PIN nunca en texto plano. Ningún proceso automático se autoriza a sí mismo</w:t>
            </w:r>
          </w:p>
        </w:tc>
        <w:tc>
          <w:tcPr>
            <w:tcW w:w="3120" w:type="dxa"/>
          </w:tcPr>
          <w:p>
            <w:pPr/>
            <w:r>
              <w:t xml:space="preserve">D-06 (criterios)</w:t>
            </w:r>
          </w:p>
        </w:tc>
      </w:tr>
      <w:tr>
        <w:tc>
          <w:tcPr>
            <w:tcW w:w="3120" w:type="dxa"/>
          </w:tcPr>
          <w:p>
            <w:pPr/>
            <w:r>
              <w:t xml:space="preserve">Imputación de cobros</w:t>
            </w:r>
          </w:p>
        </w:tc>
        <w:tc>
          <w:tcPr>
            <w:tcW w:w="3120" w:type="dxa"/>
          </w:tcPr>
          <w:p>
            <w:pPr/>
            <w:r>
              <w:t xml:space="preserve">Cada cobro se aplica explícitamente a una o más deudas; sin regla definida, el sistema pide la selección al dueño (sin criterio por defecto como “la más antigua”)</w:t>
            </w:r>
          </w:p>
        </w:tc>
        <w:tc>
          <w:tcPr>
            <w:tcW w:w="3120" w:type="dxa"/>
          </w:tcPr>
          <w:p>
            <w:pPr/>
            <w:r>
              <w:t xml:space="preserve">D-16 (criterios)</w:t>
            </w:r>
          </w:p>
        </w:tc>
      </w:tr>
      <w:tr>
        <w:tc>
          <w:tcPr>
            <w:tcW w:w="3120" w:type="dxa"/>
          </w:tcPr>
          <w:p>
            <w:pPr/>
            <w:r>
              <w:t xml:space="preserve">Devolución y reembolso</w:t>
            </w:r>
          </w:p>
        </w:tc>
        <w:tc>
          <w:tcPr>
            <w:tcW w:w="3120" w:type="dxa"/>
          </w:tcPr>
          <w:p>
            <w:pPr/>
            <w:r>
              <w:t xml:space="preserve">Devolución vinculada a la venta con productos, cantidades y movimiento de stock; el reembolso es una operación separada</w:t>
            </w:r>
          </w:p>
        </w:tc>
        <w:tc>
          <w:tcPr>
            <w:tcW w:w="3120" w:type="dxa"/>
          </w:tcPr>
          <w:p>
            <w:pPr/>
            <w:r>
              <w:t xml:space="preserve">D-17 (criterios)</w:t>
            </w:r>
          </w:p>
        </w:tc>
      </w:tr>
      <w:tr>
        <w:tc>
          <w:tcPr>
            <w:tcW w:w="3120" w:type="dxa"/>
          </w:tcPr>
          <w:p>
            <w:pPr/>
            <w:r>
              <w:t xml:space="preserve">Ganancias</w:t>
            </w:r>
          </w:p>
        </w:tc>
        <w:tc>
          <w:tcPr>
            <w:tcW w:w="3120" w:type="dxa"/>
          </w:tcPr>
          <w:p>
            <w:pPr/>
            <w:r>
              <w:t xml:space="preserve">No se muestran ganancias como definitivas hasta elegir método de costeo; ninguno por defecto</w:t>
            </w:r>
          </w:p>
        </w:tc>
        <w:tc>
          <w:tcPr>
            <w:tcW w:w="3120" w:type="dxa"/>
          </w:tcPr>
          <w:p>
            <w:pPr/>
            <w:r>
              <w:t xml:space="preserve">D-18 (criterios)</w:t>
            </w:r>
          </w:p>
        </w:tc>
      </w:tr>
      <w:tr>
        <w:tc>
          <w:tcPr>
            <w:tcW w:w="3120" w:type="dxa"/>
          </w:tcPr>
          <w:p>
            <w:pPr/>
            <w:r>
              <w:t xml:space="preserve">Quién vende</w:t>
            </w:r>
          </w:p>
        </w:tc>
        <w:tc>
          <w:tcPr>
            <w:tcW w:w="3120" w:type="dxa"/>
          </w:tcPr>
          <w:p>
            <w:pPr/>
            <w:r>
              <w:t xml:space="preserve">El Asistente de local opera solo con cuenta </w:t>
            </w:r>
            <w:r>
              <w:rPr>
                <w:b/>
              </w:rPr>
              <w:t xml:space="preserve">Aprobada</w:t>
            </w:r>
            <w:r>
              <w:t xml:space="preserve">: invitado por el dueño, con legajo completo y aprobado. El Cliente mayorista es un Cliente, nunca un Usuario del panel</w:t>
            </w:r>
          </w:p>
        </w:tc>
        <w:tc>
          <w:tcPr>
            <w:tcW w:w="3120" w:type="dxa"/>
          </w:tcPr>
          <w:p>
            <w:pPr/>
            <w:r>
              <w:t xml:space="preserve">Login y roles §3, §4, §5</w:t>
            </w:r>
          </w:p>
        </w:tc>
      </w:tr>
      <w:tr>
        <w:tc>
          <w:tcPr>
            <w:tcW w:w="3120" w:type="dxa"/>
          </w:tcPr>
          <w:p>
            <w:pPr/>
            <w:r>
              <w:t xml:space="preserve">Condición fiscal</w:t>
            </w:r>
          </w:p>
        </w:tc>
        <w:tc>
          <w:tcPr>
            <w:tcW w:w="3120" w:type="dxa"/>
          </w:tcPr>
          <w:p>
            <w:pPr/>
            <w:r>
              <w:t xml:space="preserve">El legajo del dueño registra CUIT, razón social y </w:t>
            </w:r>
            <w:r>
              <w:rPr>
                <w:b/>
              </w:rPr>
              <w:t xml:space="preserve">condición ante IVA</w:t>
            </w:r>
            <w:r>
              <w:t xml:space="preserve">; el del Cliente mayorista también</w:t>
            </w:r>
          </w:p>
        </w:tc>
        <w:tc>
          <w:tcPr>
            <w:tcW w:w="3120" w:type="dxa"/>
          </w:tcPr>
          <w:p>
            <w:pPr/>
            <w:r>
              <w:t xml:space="preserve">Login y roles §3</w:t>
            </w:r>
          </w:p>
        </w:tc>
      </w:tr>
    </w:tbl>
    <w:p>
      <w:pPr>
        <w:pStyle w:val="Heading3"/>
      </w:pPr>
      <w:r>
        <w:t xml:space="preserve">2.2 Qué está implementado hoy</w:t>
      </w:r>
    </w:p>
    <w:p>
      <w:pPr/>
      <w:r>
        <w:t xml:space="preserve">El módulo de Ventas ya existe en producción (admin.otrarondamas.wapsell.com) con backend NestJS + Prisma + Postgres y pantalla </w:t>
      </w:r>
      <w:r>
        <w:rPr>
          <w:rStyle w:val="CodeChar"/>
        </w:rPr>
        <w:t xml:space="preserve">NuevaVentaPage</w:t>
      </w:r>
      <w:r>
        <w:t xml:space="preserve">. Las 7 pantallas analizadas son un </w:t>
      </w:r>
      <w:r>
        <w:rPr>
          <w:b/>
        </w:rPr>
        <w:t xml:space="preserve">rediseño propuesto</w:t>
      </w:r>
      <w:r>
        <w:t xml:space="preserve">, no la pantalla actual. Esta tabla es el AS-IS real según las notas de implementación.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Capacidad</w:t>
            </w:r>
          </w:p>
        </w:tc>
        <w:tc>
          <w:tcPr>
            <w:tcW w:w="3120" w:type="dxa"/>
            <w:shd w:val="clear" w:color="auto" w:fill="F2F2F2"/>
          </w:tcPr>
          <w:p>
            <w:pPr/>
            <w:r>
              <w:t xml:space="preserve">Estado implementado</w:t>
            </w:r>
          </w:p>
        </w:tc>
        <w:tc>
          <w:tcPr>
            <w:tcW w:w="3120" w:type="dxa"/>
            <w:shd w:val="clear" w:color="auto" w:fill="F2F2F2"/>
          </w:tcPr>
          <w:p>
            <w:pPr/>
            <w:r>
              <w:t xml:space="preserve">Notas</w:t>
            </w:r>
          </w:p>
        </w:tc>
      </w:tr>
      <w:tr>
        <w:tc>
          <w:tcPr>
            <w:tcW w:w="3120" w:type="dxa"/>
          </w:tcPr>
          <w:p>
            <w:pPr/>
            <w:r>
              <w:t xml:space="preserve">Crear venta</w:t>
            </w:r>
          </w:p>
        </w:tc>
        <w:tc>
          <w:tcPr>
            <w:tcW w:w="3120" w:type="dxa"/>
          </w:tcPr>
          <w:p>
            <w:pPr/>
            <w:r>
              <w:rPr>
                <w:rStyle w:val="CodeChar"/>
              </w:rPr>
              <w:t xml:space="preserve">POST /ventas</w:t>
            </w:r>
            <w:r>
              <w:t xml:space="preserve"> con canal (presencial, mayorista, online), cliente opcional e ítems (producto, cantidad, descuento manual opcional). Permiso </w:t>
            </w:r>
            <w:r>
              <w:rPr>
                <w:rStyle w:val="CodeChar"/>
              </w:rPr>
              <w:t xml:space="preserve">ventas.crear</w:t>
            </w:r>
          </w:p>
        </w:tc>
        <w:tc>
          <w:tcPr>
            <w:tcW w:w="3120" w:type="dxa"/>
          </w:tcPr>
          <w:p>
            <w:pPr/>
            <w:r>
              <w:t xml:space="preserve">§11.1</w:t>
            </w:r>
          </w:p>
        </w:tc>
      </w:tr>
      <w:tr>
        <w:tc>
          <w:tcPr>
            <w:tcW w:w="3120" w:type="dxa"/>
          </w:tcPr>
          <w:p>
            <w:pPr/>
            <w:r>
              <w:t xml:space="preserve">Precio</w:t>
            </w:r>
          </w:p>
        </w:tc>
        <w:tc>
          <w:tcPr>
            <w:tcW w:w="3120" w:type="dxa"/>
          </w:tcPr>
          <w:p>
            <w:pPr/>
            <w:r>
              <w:t xml:space="preserve">Lo fija el servidor desde </w:t>
            </w:r>
            <w:r>
              <w:rPr>
                <w:rStyle w:val="CodeChar"/>
              </w:rPr>
              <w:t xml:space="preserve">precioMinorista</w:t>
            </w:r>
            <w:r>
              <w:t xml:space="preserve"> al confirmar y lo congela en la línea; el del carrito es informativo. Todos los canales usan minorista (D-01 sin implementar)</w:t>
            </w:r>
          </w:p>
        </w:tc>
        <w:tc>
          <w:tcPr>
            <w:tcW w:w="3120" w:type="dxa"/>
          </w:tcPr>
          <w:p>
            <w:pPr/>
            <w:r>
              <w:t xml:space="preserve">§11.1, §13.2</w:t>
            </w:r>
          </w:p>
        </w:tc>
      </w:tr>
      <w:tr>
        <w:tc>
          <w:tcPr>
            <w:tcW w:w="3120" w:type="dxa"/>
          </w:tcPr>
          <w:p>
            <w:pPr/>
            <w:r>
              <w:t xml:space="preserve">Descuento de stock</w:t>
            </w:r>
          </w:p>
        </w:tc>
        <w:tc>
          <w:tcPr>
            <w:tcW w:w="3120" w:type="dxa"/>
          </w:tcPr>
          <w:p>
            <w:pPr/>
            <w:r>
              <w:rPr>
                <w:b/>
              </w:rPr>
              <w:t xml:space="preserve">Al confirmar la venta</w:t>
            </w:r>
            <w:r>
              <w:t xml:space="preserve">, antes del cobro, en la misma transacción. Toma lotes en orden de vencimiento (el que vence antes, primero)</w:t>
            </w:r>
          </w:p>
        </w:tc>
        <w:tc>
          <w:tcPr>
            <w:tcW w:w="3120" w:type="dxa"/>
          </w:tcPr>
          <w:p>
            <w:pPr/>
            <w:r>
              <w:t xml:space="preserve">§11.1</w:t>
            </w:r>
          </w:p>
        </w:tc>
      </w:tr>
      <w:tr>
        <w:tc>
          <w:tcPr>
            <w:tcW w:w="3120" w:type="dxa"/>
          </w:tcPr>
          <w:p>
            <w:pPr/>
            <w:r>
              <w:t xml:space="preserve">Stock insuficiente</w:t>
            </w:r>
          </w:p>
        </w:tc>
        <w:tc>
          <w:tcPr>
            <w:tcW w:w="3120" w:type="dxa"/>
          </w:tcPr>
          <w:p>
            <w:pPr/>
            <w:r>
              <w:t xml:space="preserve">Rechazo 400 y se revierte toda la venta. Sin vía de excepción autorizada</w:t>
            </w:r>
          </w:p>
        </w:tc>
        <w:tc>
          <w:tcPr>
            <w:tcW w:w="3120" w:type="dxa"/>
          </w:tcPr>
          <w:p>
            <w:pPr/>
            <w:r>
              <w:t xml:space="preserve">§11.3, §23</w:t>
            </w:r>
          </w:p>
        </w:tc>
      </w:tr>
      <w:tr>
        <w:tc>
          <w:tcPr>
            <w:tcW w:w="3120" w:type="dxa"/>
          </w:tcPr>
          <w:p>
            <w:pPr/>
            <w:r>
              <w:t xml:space="preserve">Lote vencido</w:t>
            </w:r>
          </w:p>
        </w:tc>
        <w:tc>
          <w:tcPr>
            <w:tcW w:w="3120" w:type="dxa"/>
          </w:tcPr>
          <w:p>
            <w:pPr/>
            <w:r>
              <w:rPr>
                <w:b/>
              </w:rPr>
              <w:t xml:space="preserve">No se bloquea</w:t>
            </w:r>
            <w:r>
              <w:t xml:space="preserve"> (decisión del dueño): se vende, se advierte en pantalla y queda marcado en el movimiento de stock</w:t>
            </w:r>
          </w:p>
        </w:tc>
        <w:tc>
          <w:tcPr>
            <w:tcW w:w="3120" w:type="dxa"/>
          </w:tcPr>
          <w:p>
            <w:pPr/>
            <w:r>
              <w:t xml:space="preserve">§23</w:t>
            </w:r>
          </w:p>
        </w:tc>
      </w:tr>
      <w:tr>
        <w:tc>
          <w:tcPr>
            <w:tcW w:w="3120" w:type="dxa"/>
          </w:tcPr>
          <w:p>
            <w:pPr/>
            <w:r>
              <w:t xml:space="preserve">Estado de la venta</w:t>
            </w:r>
          </w:p>
        </w:tc>
        <w:tc>
          <w:tcPr>
            <w:tcW w:w="3120" w:type="dxa"/>
          </w:tcPr>
          <w:p>
            <w:pPr/>
            <w:r>
              <w:t xml:space="preserve">Solo existe CONFIRMADA. Sin anulación ni devolución. Sin borrado (INV-02)</w:t>
            </w:r>
          </w:p>
        </w:tc>
        <w:tc>
          <w:tcPr>
            <w:tcW w:w="3120" w:type="dxa"/>
          </w:tcPr>
          <w:p>
            <w:pPr/>
            <w:r>
              <w:t xml:space="preserve">§11.4, §30</w:t>
            </w:r>
          </w:p>
        </w:tc>
      </w:tr>
      <w:tr>
        <w:tc>
          <w:tcPr>
            <w:tcW w:w="3120" w:type="dxa"/>
          </w:tcPr>
          <w:p>
            <w:pPr/>
            <w:r>
              <w:t xml:space="preserve">Cobro</w:t>
            </w:r>
          </w:p>
        </w:tc>
        <w:tc>
          <w:tcPr>
            <w:tcW w:w="3120" w:type="dxa"/>
          </w:tcPr>
          <w:p>
            <w:pPr/>
            <w:r>
              <w:rPr>
                <w:rStyle w:val="CodeChar"/>
              </w:rPr>
              <w:t xml:space="preserve">POST /ventas/:id/pagos</w:t>
            </w:r>
            <w:r>
              <w:t xml:space="preserve"> con efectivo, transferencia o QR; varios pagos por venta (</w:t>
            </w:r>
            <w:r>
              <w:rPr>
                <w:b/>
              </w:rPr>
              <w:t xml:space="preserve">pagos mixtos sí funcionan</w:t>
            </w:r>
            <w:r>
              <w:t xml:space="preserve">); nunca exceden el saldo (INV-04). Mercado Pago rechazado</w:t>
            </w:r>
          </w:p>
        </w:tc>
        <w:tc>
          <w:tcPr>
            <w:tcW w:w="3120" w:type="dxa"/>
          </w:tcPr>
          <w:p>
            <w:pPr/>
            <w:r>
              <w:t xml:space="preserve">§12</w:t>
            </w:r>
          </w:p>
        </w:tc>
      </w:tr>
      <w:tr>
        <w:tc>
          <w:tcPr>
            <w:tcW w:w="3120" w:type="dxa"/>
          </w:tcPr>
          <w:p>
            <w:pPr/>
            <w:r>
              <w:t xml:space="preserve">Estado del pago</w:t>
            </w:r>
          </w:p>
        </w:tc>
        <w:tc>
          <w:tcPr>
            <w:tcW w:w="3120" w:type="dxa"/>
          </w:tcPr>
          <w:p>
            <w:pPr/>
            <w:r>
              <w:t xml:space="preserve">Todo pago manual nace APROBADO; no hay EN_PROCESO</w:t>
            </w:r>
          </w:p>
        </w:tc>
        <w:tc>
          <w:tcPr>
            <w:tcW w:w="3120" w:type="dxa"/>
          </w:tcPr>
          <w:p>
            <w:pPr/>
            <w:r>
              <w:t xml:space="preserve">§12.1</w:t>
            </w:r>
          </w:p>
        </w:tc>
      </w:tr>
      <w:tr>
        <w:tc>
          <w:tcPr>
            <w:tcW w:w="3120" w:type="dxa"/>
          </w:tcPr>
          <w:p>
            <w:pPr/>
            <w:r>
              <w:t xml:space="preserve">Venta sin cobrar</w:t>
            </w:r>
          </w:p>
        </w:tc>
        <w:tc>
          <w:tcPr>
            <w:tcW w:w="3120" w:type="dxa"/>
          </w:tcPr>
          <w:p>
            <w:pPr/>
            <w:r>
              <w:t xml:space="preserve">Posible: la venta queda confirmada y con stock descontado aunque no se registre ningún pago</w:t>
            </w:r>
          </w:p>
        </w:tc>
        <w:tc>
          <w:tcPr>
            <w:tcW w:w="3120" w:type="dxa"/>
          </w:tcPr>
          <w:p>
            <w:pPr/>
            <w:r>
              <w:t xml:space="preserve">§11.4, §12</w:t>
            </w:r>
          </w:p>
        </w:tc>
      </w:tr>
      <w:tr>
        <w:tc>
          <w:tcPr>
            <w:tcW w:w="3120" w:type="dxa"/>
          </w:tcPr>
          <w:p>
            <w:pPr/>
            <w:r>
              <w:t xml:space="preserve">Caja</w:t>
            </w:r>
          </w:p>
        </w:tc>
        <w:tc>
          <w:tcPr>
            <w:tcW w:w="3120" w:type="dxa"/>
          </w:tcPr>
          <w:p>
            <w:pPr/>
            <w:r>
              <w:t xml:space="preserve">Un pago en efectivo genera movimiento de caja </w:t>
            </w:r>
            <w:r>
              <w:rPr>
                <w:b/>
              </w:rPr>
              <w:t xml:space="preserve">solo si hay caja abierta</w:t>
            </w:r>
            <w:r>
              <w:t xml:space="preserve">; si no, el pago se registra igual sin movimiento</w:t>
            </w:r>
          </w:p>
        </w:tc>
        <w:tc>
          <w:tcPr>
            <w:tcW w:w="3120" w:type="dxa"/>
          </w:tcPr>
          <w:p>
            <w:pPr/>
            <w:r>
              <w:t xml:space="preserve">§14.2</w:t>
            </w:r>
          </w:p>
        </w:tc>
      </w:tr>
      <w:tr>
        <w:tc>
          <w:tcPr>
            <w:tcW w:w="3120" w:type="dxa"/>
          </w:tcPr>
          <w:p>
            <w:pPr/>
            <w:r>
              <w:t xml:space="preserve">Búsqueda</w:t>
            </w:r>
          </w:p>
        </w:tc>
        <w:tc>
          <w:tcPr>
            <w:tcW w:w="3120" w:type="dxa"/>
          </w:tcPr>
          <w:p>
            <w:pPr/>
            <w:r>
              <w:t xml:space="preserve">Por nombre o código interno, hasta 50 resultados. Sin código de barras: el campo está vacío en los 4.342 productos</w:t>
            </w:r>
          </w:p>
        </w:tc>
        <w:tc>
          <w:tcPr>
            <w:tcW w:w="3120" w:type="dxa"/>
          </w:tcPr>
          <w:p>
            <w:pPr/>
            <w:r>
              <w:t xml:space="preserve">§10.1, §13.1</w:t>
            </w:r>
          </w:p>
        </w:tc>
      </w:tr>
      <w:tr>
        <w:tc>
          <w:tcPr>
            <w:tcW w:w="3120" w:type="dxa"/>
          </w:tcPr>
          <w:p>
            <w:pPr/>
            <w:r>
              <w:t xml:space="preserve">Cliente</w:t>
            </w:r>
          </w:p>
        </w:tc>
        <w:tc>
          <w:tcPr>
            <w:tcW w:w="3120" w:type="dxa"/>
          </w:tcPr>
          <w:p>
            <w:pPr/>
            <w:r>
              <w:t xml:space="preserve">Opcional en el POS; buscador de clientes</w:t>
            </w:r>
          </w:p>
        </w:tc>
        <w:tc>
          <w:tcPr>
            <w:tcW w:w="3120" w:type="dxa"/>
          </w:tcPr>
          <w:p>
            <w:pPr/>
            <w:r>
              <w:t xml:space="preserve">§29</w:t>
            </w:r>
          </w:p>
        </w:tc>
      </w:tr>
      <w:tr>
        <w:tc>
          <w:tcPr>
            <w:tcW w:w="3120" w:type="dxa"/>
          </w:tcPr>
          <w:p>
            <w:pPr/>
            <w:r>
              <w:t xml:space="preserve">Fidelización</w:t>
            </w:r>
          </w:p>
        </w:tc>
        <w:tc>
          <w:tcPr>
            <w:tcW w:w="3120" w:type="dxa"/>
          </w:tcPr>
          <w:p>
            <w:pPr/>
            <w:r>
              <w:t xml:space="preserve">Niveles Nuevo (0–2 compras), Frecuente (3–9), VIP (10+). Descuento automático por regla de nivel, separado del descuento manual; si varias reglas aplican gana la mayor</w:t>
            </w:r>
          </w:p>
        </w:tc>
        <w:tc>
          <w:tcPr>
            <w:tcW w:w="3120" w:type="dxa"/>
          </w:tcPr>
          <w:p>
            <w:pPr/>
            <w:r>
              <w:t xml:space="preserve">§30, §32, §33</w:t>
            </w:r>
          </w:p>
        </w:tc>
      </w:tr>
      <w:tr>
        <w:tc>
          <w:tcPr>
            <w:tcW w:w="3120" w:type="dxa"/>
          </w:tcPr>
          <w:p>
            <w:pPr/>
            <w:r>
              <w:t xml:space="preserve">Autorizaciones</w:t>
            </w:r>
          </w:p>
        </w:tc>
        <w:tc>
          <w:tcPr>
            <w:tcW w:w="3120" w:type="dxa"/>
          </w:tcPr>
          <w:p>
            <w:pPr/>
            <w:r>
              <w:t xml:space="preserve">Credenciales del autorizador en el momento; autoriza cualquiera con el permiso de la operación; nunca uno mismo. Solo conectado al cierre de caja con diferencia</w:t>
            </w:r>
          </w:p>
        </w:tc>
        <w:tc>
          <w:tcPr>
            <w:tcW w:w="3120" w:type="dxa"/>
          </w:tcPr>
          <w:p>
            <w:pPr/>
            <w:r>
              <w:t xml:space="preserve">§21</w:t>
            </w:r>
          </w:p>
        </w:tc>
      </w:tr>
      <w:tr>
        <w:tc>
          <w:tcPr>
            <w:tcW w:w="3120" w:type="dxa"/>
          </w:tcPr>
          <w:p>
            <w:pPr/>
            <w:r>
              <w:t xml:space="preserve">SKU</w:t>
            </w:r>
          </w:p>
        </w:tc>
        <w:tc>
          <w:tcPr>
            <w:tcW w:w="3120" w:type="dxa"/>
          </w:tcPr>
          <w:p>
            <w:pPr/>
            <w:r>
              <w:rPr>
                <w:rStyle w:val="CodeChar"/>
              </w:rPr>
              <w:t xml:space="preserve">FAM-SUB-TIP-SUBT-NNNNNNNN</w:t>
            </w:r>
            <w:r>
              <w:t xml:space="preserve">: 4 segmentos de 3 letras + 8 dígitos, único por empresa</w:t>
            </w:r>
          </w:p>
        </w:tc>
        <w:tc>
          <w:tcPr>
            <w:tcW w:w="3120" w:type="dxa"/>
          </w:tcPr>
          <w:p>
            <w:pPr/>
            <w:r>
              <w:t xml:space="preserve">§31</w:t>
            </w:r>
          </w:p>
        </w:tc>
      </w:tr>
      <w:tr>
        <w:tc>
          <w:tcPr>
            <w:tcW w:w="3120" w:type="dxa"/>
          </w:tcPr>
          <w:p>
            <w:pPr/>
            <w:r>
              <w:t xml:space="preserve">Comprobante / ticket</w:t>
            </w:r>
          </w:p>
        </w:tc>
        <w:tc>
          <w:tcPr>
            <w:tcW w:w="3120" w:type="dxa"/>
          </w:tcPr>
          <w:p>
            <w:pPr/>
            <w:r>
              <w:t xml:space="preserve">No implementado</w:t>
            </w:r>
          </w:p>
        </w:tc>
        <w:tc>
          <w:tcPr>
            <w:tcW w:w="3120" w:type="dxa"/>
          </w:tcPr>
          <w:p>
            <w:pPr/>
            <w:r>
              <w:t xml:space="preserve">§13.5</w:t>
            </w:r>
          </w:p>
        </w:tc>
      </w:tr>
      <w:tr>
        <w:tc>
          <w:tcPr>
            <w:tcW w:w="3120" w:type="dxa"/>
          </w:tcPr>
          <w:p>
            <w:pPr/>
            <w:r>
              <w:t xml:space="preserve">IVA</w:t>
            </w:r>
          </w:p>
        </w:tc>
        <w:tc>
          <w:tcPr>
            <w:tcW w:w="3120" w:type="dxa"/>
          </w:tcPr>
          <w:p>
            <w:pPr/>
            <w:r>
              <w:t xml:space="preserve">No existe en el cálculo: el total es la suma de las líneas</w:t>
            </w:r>
          </w:p>
        </w:tc>
        <w:tc>
          <w:tcPr>
            <w:tcW w:w="3120" w:type="dxa"/>
          </w:tcPr>
          <w:p>
            <w:pPr/>
            <w:r>
              <w:t xml:space="preserve">§11.1</w:t>
            </w:r>
          </w:p>
        </w:tc>
      </w:tr>
      <w:tr>
        <w:tc>
          <w:tcPr>
            <w:tcW w:w="3120" w:type="dxa"/>
          </w:tcPr>
          <w:p>
            <w:pPr/>
            <w:r>
              <w:t xml:space="preserve">Pedidos online</w:t>
            </w:r>
          </w:p>
        </w:tc>
        <w:tc>
          <w:tcPr>
            <w:tcW w:w="3120" w:type="dxa"/>
          </w:tcPr>
          <w:p>
            <w:pPr/>
            <w:r>
              <w:t xml:space="preserve">Descuentan stock al confirmarlos desde el panel; nunca crean una Venta</w:t>
            </w:r>
          </w:p>
        </w:tc>
        <w:tc>
          <w:tcPr>
            <w:tcW w:w="3120" w:type="dxa"/>
          </w:tcPr>
          <w:p>
            <w:pPr/>
            <w:r>
              <w:t xml:space="preserve">§25</w:t>
            </w:r>
          </w:p>
        </w:tc>
      </w:tr>
    </w:tbl>
    <w:p>
      <w:pPr>
        <w:pStyle w:val="Heading3"/>
      </w:pPr>
      <w:r>
        <w:t xml:space="preserve">2.3 Verificado en el código</w:t>
      </w:r>
    </w:p>
    <w:p>
      <w:pPr/>
      <w:r>
        <w:t xml:space="preserve">Lectura de ventas y pagos (controllers, services, DTOs), inventario (controller y service), </w:t>
      </w:r>
      <w:r>
        <w:rPr>
          <w:rStyle w:val="CodeChar"/>
        </w:rPr>
        <w:t xml:space="preserve">clientes.service.ts</w:t>
      </w:r>
      <w:r>
        <w:t xml:space="preserve">, </w:t>
      </w:r>
      <w:r>
        <w:rPr>
          <w:rStyle w:val="CodeChar"/>
        </w:rPr>
        <w:t xml:space="preserve">schema.prisma</w:t>
      </w:r>
      <w:r>
        <w:t xml:space="preserve"> y </w:t>
      </w:r>
      <w:r>
        <w:rPr>
          <w:rStyle w:val="CodeChar"/>
        </w:rPr>
        <w:t xml:space="preserve">NuevaVentaPage.tsx</w:t>
      </w:r>
      <w:r>
        <w:t xml:space="preserve">. El </w:t>
      </w:r>
      <w:r>
        <w:rPr>
          <w:rStyle w:val="CodeChar"/>
        </w:rPr>
        <w:t xml:space="preserve">useCarrito.ts</w:t>
      </w:r>
      <w:r>
        <w:t xml:space="preserve"> recibido es el de </w:t>
      </w:r>
      <w:r>
        <w:rPr>
          <w:b/>
        </w:rPr>
        <w:t xml:space="preserve">tienda-online</w:t>
      </w:r>
      <w:r>
        <w:t xml:space="preserve"> (usa </w:t>
      </w:r>
      <w:r>
        <w:rPr>
          <w:rStyle w:val="CodeChar"/>
        </w:rPr>
        <w:t xml:space="preserve">ProductoTienda</w:t>
      </w:r>
      <w:r>
        <w:t xml:space="preserve"> y </w:t>
      </w:r>
      <w:r>
        <w:rPr>
          <w:rStyle w:val="CodeChar"/>
        </w:rPr>
        <w:t xml:space="preserve">productoId</w:t>
      </w:r>
      <w:r>
        <w:t xml:space="preserve">), no el de pos-admin que importa </w:t>
      </w:r>
      <w:r>
        <w:rPr>
          <w:rStyle w:val="CodeChar"/>
        </w:rPr>
        <w:t xml:space="preserve">NuevaVentaPage</w:t>
      </w:r>
      <w:r>
        <w:t xml:space="preserve"> (usa </w:t>
      </w:r>
      <w:r>
        <w:rPr>
          <w:rStyle w:val="CodeChar"/>
        </w:rPr>
        <w:t xml:space="preserve">producto.id</w:t>
      </w:r>
      <w:r>
        <w:t xml:space="preserve"> y </w:t>
      </w:r>
      <w:r>
        <w:rPr>
          <w:rStyle w:val="CodeChar"/>
        </w:rPr>
        <w:t xml:space="preserve">precioMinorista</w:t>
      </w:r>
      <w:r>
        <w:t xml:space="preserve">): no sirve como evidencia del POS.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Qué hace el código</w:t>
            </w:r>
          </w:p>
        </w:tc>
        <w:tc>
          <w:tcPr>
            <w:tcW w:w="2340" w:type="dxa"/>
            <w:shd w:val="clear" w:color="auto" w:fill="F2F2F2"/>
          </w:tcPr>
          <w:p>
            <w:pPr/>
            <w:r>
              <w:t xml:space="preserve">Dónde</w:t>
            </w:r>
          </w:p>
        </w:tc>
        <w:tc>
          <w:tcPr>
            <w:tcW w:w="2340" w:type="dxa"/>
            <w:shd w:val="clear" w:color="auto" w:fill="F2F2F2"/>
          </w:tcPr>
          <w:p>
            <w:pPr/>
            <w:r>
              <w:t xml:space="preserve">Impacto</w:t>
            </w:r>
          </w:p>
        </w:tc>
      </w:tr>
      <w:tr>
        <w:tc>
          <w:tcPr>
            <w:tcW w:w="2340" w:type="dxa"/>
          </w:tcPr>
          <w:p>
            <w:pPr/>
            <w:r>
              <w:t xml:space="preserve">C1</w:t>
            </w:r>
          </w:p>
        </w:tc>
        <w:tc>
          <w:tcPr>
            <w:tcW w:w="2340" w:type="dxa"/>
          </w:tcPr>
          <w:p>
            <w:pPr/>
            <w:r>
              <w:rPr>
                <w:rStyle w:val="CodeChar"/>
              </w:rPr>
              <w:t xml:space="preserve">descuentoItem</w:t>
            </w:r>
            <w:r>
              <w:t xml:space="preserve"> es un </w:t>
            </w:r>
            <w:r>
              <w:rPr>
                <w:b/>
              </w:rPr>
              <w:t xml:space="preserve">monto absoluto</w:t>
            </w:r>
            <w:r>
              <w:t xml:space="preserve"> por línea, solo con </w:t>
            </w:r>
            <w:r>
              <w:rPr>
                <w:rStyle w:val="CodeChar"/>
              </w:rPr>
              <w:t xml:space="preserve">@Min(0)</w:t>
            </w:r>
            <w:r>
              <w:t xml:space="preserve">: sin tope, sin permiso propio y sin autorización. La pantalla no lo envía, pero la API lo acepta de cualquiera con </w:t>
            </w:r>
            <w:r>
              <w:rPr>
                <w:rStyle w:val="CodeChar"/>
              </w:rPr>
              <w:t xml:space="preserve">ventas.crear</w:t>
            </w:r>
          </w:p>
        </w:tc>
        <w:tc>
          <w:tcPr>
            <w:tcW w:w="2340" w:type="dxa"/>
          </w:tcPr>
          <w:p>
            <w:pPr/>
            <w:r>
              <w:t xml:space="preserve">DTO ítem l.12–15; ventas service l.104; NuevaVentaPage l.55</w:t>
            </w:r>
          </w:p>
        </w:tc>
        <w:tc>
          <w:tcPr>
            <w:tcW w:w="2340" w:type="dxa"/>
          </w:tcPr>
          <w:p>
            <w:pPr/>
            <w:r>
              <w:t xml:space="preserve">Descuento arbitrario por API; contradice SPEC §3.2 y D-02</w:t>
            </w:r>
          </w:p>
        </w:tc>
      </w:tr>
      <w:tr>
        <w:tc>
          <w:tcPr>
            <w:tcW w:w="2340" w:type="dxa"/>
          </w:tcPr>
          <w:p>
            <w:pPr/>
            <w:r>
              <w:t xml:space="preserve">C2</w:t>
            </w:r>
          </w:p>
        </w:tc>
        <w:tc>
          <w:tcPr>
            <w:tcW w:w="2340" w:type="dxa"/>
          </w:tcPr>
          <w:p>
            <w:pPr/>
            <w:r>
              <w:t xml:space="preserve">Subtotal = </w:t>
            </w:r>
            <w:r>
              <w:rPr>
                <w:rStyle w:val="CodeChar"/>
              </w:rPr>
              <w:t xml:space="preserve">bruto × (1 − %fidelización) − descuentoItem</w:t>
            </w:r>
            <w:r>
              <w:t xml:space="preserve"> sin piso: puede quedar </w:t>
            </w:r>
            <w:r>
              <w:rPr>
                <w:b/>
              </w:rPr>
              <w:t xml:space="preserve">negativo</w:t>
            </w:r>
          </w:p>
        </w:tc>
        <w:tc>
          <w:tcPr>
            <w:tcW w:w="2340" w:type="dxa"/>
          </w:tcPr>
          <w:p>
            <w:pPr/>
            <w:r>
              <w:t xml:space="preserve">ventas service l.99–106</w:t>
            </w:r>
          </w:p>
        </w:tc>
        <w:tc>
          <w:tcPr>
            <w:tcW w:w="2340" w:type="dxa"/>
          </w:tcPr>
          <w:p>
            <w:pPr/>
            <w:r>
              <w:t xml:space="preserve">Venta con total negativo aceptada</w:t>
            </w:r>
          </w:p>
        </w:tc>
      </w:tr>
      <w:tr>
        <w:tc>
          <w:tcPr>
            <w:tcW w:w="2340" w:type="dxa"/>
          </w:tcPr>
          <w:p>
            <w:pPr/>
            <w:r>
              <w:t xml:space="preserve">C3</w:t>
            </w:r>
          </w:p>
        </w:tc>
        <w:tc>
          <w:tcPr>
            <w:tcW w:w="2340" w:type="dxa"/>
          </w:tcPr>
          <w:p>
            <w:pPr/>
            <w:r>
              <w:t xml:space="preserve">Totales y saldos en </w:t>
            </w:r>
            <w:r>
              <w:rPr>
                <w:rStyle w:val="CodeChar"/>
              </w:rPr>
              <w:t xml:space="preserve">Number</w:t>
            </w:r>
            <w:r>
              <w:t xml:space="preserve"> sin redondeo; los importes son </w:t>
            </w:r>
            <w:r>
              <w:rPr>
                <w:rStyle w:val="CodeChar"/>
              </w:rPr>
              <w:t xml:space="preserve">Decimal</w:t>
            </w:r>
            <w:r>
              <w:t xml:space="preserve"> sin precisión declarada en el schema</w:t>
            </w:r>
          </w:p>
        </w:tc>
        <w:tc>
          <w:tcPr>
            <w:tcW w:w="2340" w:type="dxa"/>
          </w:tcPr>
          <w:p>
            <w:pPr/>
            <w:r>
              <w:t xml:space="preserve">ventas service l.100–105; pagos service l.42–43; schema l.392–393, l.651, l.767</w:t>
            </w:r>
          </w:p>
        </w:tc>
        <w:tc>
          <w:tcPr>
            <w:tcW w:w="2340" w:type="dxa"/>
          </w:tcPr>
          <w:p>
            <w:pPr/>
            <w:r>
              <w:t xml:space="preserve">3 decimales y diferencias de centavos</w:t>
            </w:r>
          </w:p>
        </w:tc>
      </w:tr>
      <w:tr>
        <w:tc>
          <w:tcPr>
            <w:tcW w:w="2340" w:type="dxa"/>
          </w:tcPr>
          <w:p>
            <w:pPr/>
            <w:r>
              <w:t xml:space="preserve">C4</w:t>
            </w:r>
          </w:p>
        </w:tc>
        <w:tc>
          <w:tcPr>
            <w:tcW w:w="2340" w:type="dxa"/>
          </w:tcPr>
          <w:p>
            <w:pPr/>
            <w:r>
              <w:rPr>
                <w:rStyle w:val="CodeChar"/>
              </w:rPr>
              <w:t xml:space="preserve">cantidad</w:t>
            </w:r>
            <w:r>
              <w:t xml:space="preserve"> acepta decimales en DTO y en base (</w:t>
            </w:r>
            <w:r>
              <w:rPr>
                <w:rStyle w:val="CodeChar"/>
              </w:rPr>
              <w:t xml:space="preserve">VentaItem.cantidad Decimal</w:t>
            </w:r>
            <w:r>
              <w:t xml:space="preserve">)</w:t>
            </w:r>
          </w:p>
        </w:tc>
        <w:tc>
          <w:tcPr>
            <w:tcW w:w="2340" w:type="dxa"/>
          </w:tcPr>
          <w:p>
            <w:pPr/>
            <w:r>
              <w:t xml:space="preserve">DTO ítem l.8–10; schema l.668</w:t>
            </w:r>
          </w:p>
        </w:tc>
        <w:tc>
          <w:tcPr>
            <w:tcW w:w="2340" w:type="dxa"/>
          </w:tcPr>
          <w:p>
            <w:pPr/>
            <w:r>
              <w:t xml:space="preserve">Se puede vender 0,5 de un producto por UNIDAD</w:t>
            </w:r>
          </w:p>
        </w:tc>
      </w:tr>
      <w:tr>
        <w:tc>
          <w:tcPr>
            <w:tcW w:w="2340" w:type="dxa"/>
          </w:tcPr>
          <w:p>
            <w:pPr/>
            <w:r>
              <w:t xml:space="preserve">C5</w:t>
            </w:r>
          </w:p>
        </w:tc>
        <w:tc>
          <w:tcPr>
            <w:tcW w:w="2340" w:type="dxa"/>
          </w:tcPr>
          <w:p>
            <w:pPr/>
            <w:r>
              <w:t xml:space="preserve">La venta no verifica que el producto esté activo</w:t>
            </w:r>
          </w:p>
        </w:tc>
        <w:tc>
          <w:tcPr>
            <w:tcW w:w="2340" w:type="dxa"/>
          </w:tcPr>
          <w:p>
            <w:pPr/>
            <w:r>
              <w:t xml:space="preserve">ventas service l.38</w:t>
            </w:r>
          </w:p>
        </w:tc>
        <w:tc>
          <w:tcPr>
            <w:tcW w:w="2340" w:type="dxa"/>
          </w:tcPr>
          <w:p>
            <w:pPr/>
            <w:r>
              <w:t xml:space="preserve">Productos desactivados aparecen en la búsqueda del POS y se venden (C27)</w:t>
            </w:r>
          </w:p>
        </w:tc>
      </w:tr>
      <w:tr>
        <w:tc>
          <w:tcPr>
            <w:tcW w:w="2340" w:type="dxa"/>
          </w:tcPr>
          <w:p>
            <w:pPr/>
            <w:r>
              <w:t xml:space="preserve">C6</w:t>
            </w:r>
          </w:p>
        </w:tc>
        <w:tc>
          <w:tcPr>
            <w:tcW w:w="2340" w:type="dxa"/>
          </w:tcPr>
          <w:p>
            <w:pPr/>
            <w:r>
              <w:rPr>
                <w:rStyle w:val="CodeChar"/>
              </w:rPr>
              <w:t xml:space="preserve">GET /ventas</w:t>
            </w:r>
            <w:r>
              <w:t xml:space="preserve">, </w:t>
            </w:r>
            <w:r>
              <w:rPr>
                <w:rStyle w:val="CodeChar"/>
              </w:rPr>
              <w:t xml:space="preserve">/ventas/:id</w:t>
            </w:r>
            <w:r>
              <w:t xml:space="preserve"> y </w:t>
            </w:r>
            <w:r>
              <w:rPr>
                <w:rStyle w:val="CodeChar"/>
              </w:rPr>
              <w:t xml:space="preserve">GET</w:t>
            </w:r>
            <w:r>
              <w:t xml:space="preserve"> de pagos sin </w:t>
            </w:r>
            <w:r>
              <w:rPr>
                <w:rStyle w:val="CodeChar"/>
              </w:rPr>
              <w:t xml:space="preserve">@RequierePermiso</w:t>
            </w:r>
            <w:r>
              <w:t xml:space="preserve">; el listado no pagina ni trae pagos ni cliente</w:t>
            </w:r>
          </w:p>
        </w:tc>
        <w:tc>
          <w:tcPr>
            <w:tcW w:w="2340" w:type="dxa"/>
          </w:tcPr>
          <w:p>
            <w:pPr/>
            <w:r>
              <w:t xml:space="preserve">ventas controller l.28–36; pagos controller l.39–42</w:t>
            </w:r>
          </w:p>
        </w:tc>
        <w:tc>
          <w:tcPr>
            <w:tcW w:w="2340" w:type="dxa"/>
          </w:tcPr>
          <w:p>
            <w:pPr/>
            <w:r>
              <w:t xml:space="preserve">Historial sin estado de cobro</w:t>
            </w:r>
          </w:p>
        </w:tc>
      </w:tr>
      <w:tr>
        <w:tc>
          <w:tcPr>
            <w:tcW w:w="2340" w:type="dxa"/>
          </w:tcPr>
          <w:p>
            <w:pPr/>
            <w:r>
              <w:t xml:space="preserve">C7</w:t>
            </w:r>
          </w:p>
        </w:tc>
        <w:tc>
          <w:tcPr>
            <w:tcW w:w="2340" w:type="dxa"/>
          </w:tcPr>
          <w:p>
            <w:pPr/>
            <w:r>
              <w:t xml:space="preserve">Venta y pago guardan </w:t>
            </w:r>
            <w:r>
              <w:rPr>
                <w:rStyle w:val="CodeChar"/>
              </w:rPr>
              <w:t xml:space="preserve">usuarioId</w:t>
            </w:r>
          </w:p>
        </w:tc>
        <w:tc>
          <w:tcPr>
            <w:tcW w:w="2340" w:type="dxa"/>
          </w:tcPr>
          <w:p>
            <w:pPr/>
            <w:r>
              <w:t xml:space="preserve">ventas service l.117; pagos service l.58</w:t>
            </w:r>
          </w:p>
        </w:tc>
        <w:tc>
          <w:tcPr>
            <w:tcW w:w="2340" w:type="dxa"/>
          </w:tcPr>
          <w:p>
            <w:pPr/>
            <w:r>
              <w:t xml:space="preserve">Usuario responsable sí se cumple</w:t>
            </w:r>
          </w:p>
        </w:tc>
      </w:tr>
      <w:tr>
        <w:tc>
          <w:tcPr>
            <w:tcW w:w="2340" w:type="dxa"/>
          </w:tcPr>
          <w:p>
            <w:pPr/>
            <w:r>
              <w:t xml:space="preserve">C8</w:t>
            </w:r>
          </w:p>
        </w:tc>
        <w:tc>
          <w:tcPr>
            <w:tcW w:w="2340" w:type="dxa"/>
          </w:tcPr>
          <w:p>
            <w:pPr/>
            <w:r>
              <w:t xml:space="preserve">Vender y cobrar exigen </w:t>
            </w:r>
            <w:r>
              <w:rPr>
                <w:rStyle w:val="CodeChar"/>
              </w:rPr>
              <w:t xml:space="preserve">LegajoAprobadoGuard</w:t>
            </w:r>
            <w:r>
              <w:t xml:space="preserve"> y </w:t>
            </w:r>
            <w:r>
              <w:rPr>
                <w:rStyle w:val="CodeChar"/>
              </w:rPr>
              <w:t xml:space="preserve">ventas.crear</w:t>
            </w:r>
          </w:p>
        </w:tc>
        <w:tc>
          <w:tcPr>
            <w:tcW w:w="2340" w:type="dxa"/>
          </w:tcPr>
          <w:p>
            <w:pPr/>
            <w:r>
              <w:t xml:space="preserve">ventas controller l.18, l.22; pagos controller l.19, l.29</w:t>
            </w:r>
          </w:p>
        </w:tc>
        <w:tc>
          <w:tcPr>
            <w:tcW w:w="2340" w:type="dxa"/>
          </w:tcPr>
          <w:p>
            <w:pPr/>
            <w:r>
              <w:t xml:space="preserve">Cuenta Aprobada confirmada</w:t>
            </w:r>
          </w:p>
        </w:tc>
      </w:tr>
      <w:tr>
        <w:tc>
          <w:tcPr>
            <w:tcW w:w="2340" w:type="dxa"/>
          </w:tcPr>
          <w:p>
            <w:pPr/>
            <w:r>
              <w:t xml:space="preserve">C9</w:t>
            </w:r>
          </w:p>
        </w:tc>
        <w:tc>
          <w:tcPr>
            <w:tcW w:w="2340" w:type="dxa"/>
          </w:tcPr>
          <w:p>
            <w:pPr/>
            <w:r>
              <w:t xml:space="preserve">La API no agrupa productos repetidos, pero el carrito del POS sí: agregar un producto ya cargado suma 1 a su línea</w:t>
            </w:r>
          </w:p>
        </w:tc>
        <w:tc>
          <w:tcPr>
            <w:tcW w:w="2340" w:type="dxa"/>
          </w:tcPr>
          <w:p>
            <w:pPr/>
            <w:r>
              <w:t xml:space="preserve">ventas service l.123; NuevaVentaPage l.138–154</w:t>
            </w:r>
          </w:p>
        </w:tc>
        <w:tc>
          <w:tcPr>
            <w:tcW w:w="2340" w:type="dxa"/>
          </w:tcPr>
          <w:p>
            <w:pPr/>
            <w:r>
              <w:t xml:space="preserve">Cerrado: una línea por producto en la pantalla (useCarrito l.19–29)</w:t>
            </w:r>
          </w:p>
        </w:tc>
      </w:tr>
      <w:tr>
        <w:tc>
          <w:tcPr>
            <w:tcW w:w="2340" w:type="dxa"/>
          </w:tcPr>
          <w:p>
            <w:pPr/>
            <w:r>
              <w:t xml:space="preserve">C10</w:t>
            </w:r>
          </w:p>
        </w:tc>
        <w:tc>
          <w:tcPr>
            <w:tcW w:w="2340" w:type="dxa"/>
          </w:tcPr>
          <w:p>
            <w:pPr/>
            <w:r>
              <w:rPr>
                <w:b/>
              </w:rPr>
              <w:t xml:space="preserve">Confirmado:</w:t>
            </w:r>
            <w:r>
              <w:t xml:space="preserve"> </w:t>
            </w:r>
            <w:r>
              <w:rPr>
                <w:rStyle w:val="CodeChar"/>
              </w:rPr>
              <w:t xml:space="preserve">clienteId</w:t>
            </w:r>
            <w:r>
              <w:t xml:space="preserve"> no se valida contra la empresa en el service, y la FK </w:t>
            </w:r>
            <w:r>
              <w:rPr>
                <w:rStyle w:val="CodeChar"/>
              </w:rPr>
              <w:t xml:space="preserve">Venta.clienteId → Cliente.id</w:t>
            </w:r>
            <w:r>
              <w:t xml:space="preserve"> es de una sola columna, sin </w:t>
            </w:r>
            <w:r>
              <w:rPr>
                <w:rStyle w:val="CodeChar"/>
              </w:rPr>
              <w:t xml:space="preserve">empresaId</w:t>
            </w:r>
          </w:p>
        </w:tc>
        <w:tc>
          <w:tcPr>
            <w:tcW w:w="2340" w:type="dxa"/>
          </w:tcPr>
          <w:p>
            <w:pPr/>
            <w:r>
              <w:t xml:space="preserve">ventas service l.59–61, l.118; clientes service l.78–96; schema l.647–648</w:t>
            </w:r>
          </w:p>
        </w:tc>
        <w:tc>
          <w:tcPr>
            <w:tcW w:w="2340" w:type="dxa"/>
          </w:tcPr>
          <w:p>
            <w:pPr/>
            <w:r>
              <w:t xml:space="preserve">Una venta puede quedar vinculada a un cliente de otra empresa (INV-01)</w:t>
            </w:r>
          </w:p>
        </w:tc>
      </w:tr>
      <w:tr>
        <w:tc>
          <w:tcPr>
            <w:tcW w:w="2340" w:type="dxa"/>
          </w:tcPr>
          <w:p>
            <w:pPr/>
            <w:r>
              <w:t xml:space="preserve">C11</w:t>
            </w:r>
          </w:p>
        </w:tc>
        <w:tc>
          <w:tcPr>
            <w:tcW w:w="2340" w:type="dxa"/>
          </w:tcPr>
          <w:p>
            <w:pPr/>
            <w:r>
              <w:t xml:space="preserve">La pantalla fija canal </w:t>
            </w:r>
            <w:r>
              <w:rPr>
                <w:rStyle w:val="CodeChar"/>
              </w:rPr>
              <w:t xml:space="preserve">presencial</w:t>
            </w:r>
            <w:r>
              <w:t xml:space="preserve">; la API acepta </w:t>
            </w:r>
            <w:r>
              <w:rPr>
                <w:rStyle w:val="CodeChar"/>
              </w:rPr>
              <w:t xml:space="preserve">mayorista</w:t>
            </w:r>
            <w:r>
              <w:t xml:space="preserve"> y </w:t>
            </w:r>
            <w:r>
              <w:rPr>
                <w:rStyle w:val="CodeChar"/>
              </w:rPr>
              <w:t xml:space="preserve">online</w:t>
            </w:r>
            <w:r>
              <w:t xml:space="preserve">. </w:t>
            </w:r>
            <w:r>
              <w:rPr>
                <w:rStyle w:val="CodeChar"/>
              </w:rPr>
              <w:t xml:space="preserve">Venta.canal</w:t>
            </w:r>
            <w:r>
              <w:t xml:space="preserve"> y </w:t>
            </w:r>
            <w:r>
              <w:rPr>
                <w:rStyle w:val="CodeChar"/>
              </w:rPr>
              <w:t xml:space="preserve">Venta.estado</w:t>
            </w:r>
            <w:r>
              <w:t xml:space="preserve"> son texto libre, no enum</w:t>
            </w:r>
          </w:p>
        </w:tc>
        <w:tc>
          <w:tcPr>
            <w:tcW w:w="2340" w:type="dxa"/>
          </w:tcPr>
          <w:p>
            <w:pPr/>
            <w:r>
              <w:t xml:space="preserve">NuevaVentaPage l.19; DTO l.7; schema l.649–650</w:t>
            </w:r>
          </w:p>
        </w:tc>
        <w:tc>
          <w:tcPr>
            <w:tcW w:w="2340" w:type="dxa"/>
          </w:tcPr>
          <w:p>
            <w:pPr/>
            <w:r>
              <w:t xml:space="preserve">Riesgo solo vía API</w:t>
            </w:r>
          </w:p>
        </w:tc>
      </w:tr>
      <w:tr>
        <w:tc>
          <w:tcPr>
            <w:tcW w:w="2340" w:type="dxa"/>
          </w:tcPr>
          <w:p>
            <w:pPr/>
            <w:r>
              <w:t xml:space="preserve">C12</w:t>
            </w:r>
          </w:p>
        </w:tc>
        <w:tc>
          <w:tcPr>
            <w:tcW w:w="2340" w:type="dxa"/>
          </w:tcPr>
          <w:p>
            <w:pPr/>
            <w:r>
              <w:t xml:space="preserve">No se escribe </w:t>
            </w:r>
            <w:r>
              <w:rPr>
                <w:rStyle w:val="CodeChar"/>
              </w:rPr>
              <w:t xml:space="preserve">AuditLog</w:t>
            </w:r>
            <w:r>
              <w:t xml:space="preserve"> al vender ni al cobrar, aunque el modelo ya tiene relación con Venta</w:t>
            </w:r>
          </w:p>
        </w:tc>
        <w:tc>
          <w:tcPr>
            <w:tcW w:w="2340" w:type="dxa"/>
          </w:tcPr>
          <w:p>
            <w:pPr/>
            <w:r>
              <w:t xml:space="preserve">ventas service l.113–163; schema l.1028–1029</w:t>
            </w:r>
          </w:p>
        </w:tc>
        <w:tc>
          <w:tcPr>
            <w:tcW w:w="2340" w:type="dxa"/>
          </w:tcPr>
          <w:p>
            <w:pPr/>
            <w:r>
              <w:t xml:space="preserve">RF-16 sin cubrir</w:t>
            </w:r>
          </w:p>
        </w:tc>
      </w:tr>
      <w:tr>
        <w:tc>
          <w:tcPr>
            <w:tcW w:w="2340" w:type="dxa"/>
          </w:tcPr>
          <w:p>
            <w:pPr/>
            <w:r>
              <w:t xml:space="preserve">C13</w:t>
            </w:r>
          </w:p>
        </w:tc>
        <w:tc>
          <w:tcPr>
            <w:tcW w:w="2340" w:type="dxa"/>
          </w:tcPr>
          <w:p>
            <w:pPr/>
            <w:r>
              <w:t xml:space="preserve">Comentarios dicen que no hay pagos mixtos; sí los hay</w:t>
            </w:r>
          </w:p>
        </w:tc>
        <w:tc>
          <w:tcPr>
            <w:tcW w:w="2340" w:type="dxa"/>
          </w:tcPr>
          <w:p>
            <w:pPr/>
            <w:r>
              <w:t xml:space="preserve">ventas service l.9–12</w:t>
            </w:r>
          </w:p>
        </w:tc>
        <w:tc>
          <w:tcPr>
            <w:tcW w:w="2340" w:type="dxa"/>
          </w:tcPr>
          <w:p>
            <w:pPr/>
            <w:r>
              <w:t xml:space="preserve">Comentario desactualizado</w:t>
            </w:r>
          </w:p>
        </w:tc>
      </w:tr>
      <w:tr>
        <w:tc>
          <w:tcPr>
            <w:tcW w:w="2340" w:type="dxa"/>
          </w:tcPr>
          <w:p>
            <w:pPr/>
            <w:r>
              <w:t xml:space="preserve">C14</w:t>
            </w:r>
          </w:p>
        </w:tc>
        <w:tc>
          <w:tcPr>
            <w:tcW w:w="2340" w:type="dxa"/>
          </w:tcPr>
          <w:p>
            <w:pPr/>
            <w:r>
              <w:rPr>
                <w:b/>
              </w:rPr>
              <w:t xml:space="preserve">Carrera en stock:</w:t>
            </w:r>
            <w:r>
              <w:t xml:space="preserve"> </w:t>
            </w:r>
            <w:r>
              <w:rPr>
                <w:rStyle w:val="CodeChar"/>
              </w:rPr>
              <w:t xml:space="preserve">descontarStock()</w:t>
            </w:r>
            <w:r>
              <w:t xml:space="preserve"> lee lotes y decrementa sin condición; </w:t>
            </w:r>
            <w:r>
              <w:rPr>
                <w:rStyle w:val="CodeChar"/>
              </w:rPr>
              <w:t xml:space="preserve">registrarAjuste()</w:t>
            </w:r>
            <w:r>
              <w:t xml:space="preserve"> sí usa UPDATE condicional. </w:t>
            </w:r>
            <w:r>
              <w:rPr>
                <w:rStyle w:val="CodeChar"/>
              </w:rPr>
              <w:t xml:space="preserve">Lote.cantidad</w:t>
            </w:r>
            <w:r>
              <w:t xml:space="preserve"> no tiene restricción ≥ 0 en base</w:t>
            </w:r>
          </w:p>
        </w:tc>
        <w:tc>
          <w:tcPr>
            <w:tcW w:w="2340" w:type="dxa"/>
          </w:tcPr>
          <w:p>
            <w:pPr/>
            <w:r>
              <w:t xml:space="preserve">inventario service l.309–335 vs l.266–270; schema l.450</w:t>
            </w:r>
          </w:p>
        </w:tc>
        <w:tc>
          <w:tcPr>
            <w:tcW w:w="2340" w:type="dxa"/>
          </w:tcPr>
          <w:p>
            <w:pPr/>
            <w:r>
              <w:t xml:space="preserve">Dos ventas simultáneas pueden dejar un lote negativo (INV-06)</w:t>
            </w:r>
          </w:p>
        </w:tc>
      </w:tr>
      <w:tr>
        <w:tc>
          <w:tcPr>
            <w:tcW w:w="2340" w:type="dxa"/>
          </w:tcPr>
          <w:p>
            <w:pPr/>
            <w:r>
              <w:t xml:space="preserve">C15</w:t>
            </w:r>
          </w:p>
        </w:tc>
        <w:tc>
          <w:tcPr>
            <w:tcW w:w="2340" w:type="dxa"/>
          </w:tcPr>
          <w:p>
            <w:pPr/>
            <w:r>
              <w:t xml:space="preserve">Lotes por vencimiento ascendente, </w:t>
            </w:r>
            <w:r>
              <w:rPr>
                <w:b/>
              </w:rPr>
              <w:t xml:space="preserve">incluidos vencidos</w:t>
            </w:r>
            <w:r>
              <w:t xml:space="preserve">, marcados </w:t>
            </w:r>
            <w:r>
              <w:rPr>
                <w:rStyle w:val="CodeChar"/>
              </w:rPr>
              <w:t xml:space="preserve">loteVencidoAlMomento</w:t>
            </w:r>
          </w:p>
        </w:tc>
        <w:tc>
          <w:tcPr>
            <w:tcW w:w="2340" w:type="dxa"/>
          </w:tcPr>
          <w:p>
            <w:pPr/>
            <w:r>
              <w:t xml:space="preserve">inventario service l.309–348</w:t>
            </w:r>
          </w:p>
        </w:tc>
        <w:tc>
          <w:tcPr>
            <w:tcW w:w="2340" w:type="dxa"/>
          </w:tcPr>
          <w:p>
            <w:pPr/>
            <w:r>
              <w:t xml:space="preserve">Confirma notas §23</w:t>
            </w:r>
          </w:p>
        </w:tc>
      </w:tr>
      <w:tr>
        <w:tc>
          <w:tcPr>
            <w:tcW w:w="2340" w:type="dxa"/>
          </w:tcPr>
          <w:p>
            <w:pPr/>
            <w:r>
              <w:t xml:space="preserve">C16</w:t>
            </w:r>
          </w:p>
        </w:tc>
        <w:tc>
          <w:tcPr>
            <w:tcW w:w="2340" w:type="dxa"/>
          </w:tcPr>
          <w:p>
            <w:pPr/>
            <w:r>
              <w:t xml:space="preserve">Pago manual = APROBADO. </w:t>
            </w:r>
            <w:r>
              <w:rPr>
                <w:rStyle w:val="CodeChar"/>
              </w:rPr>
              <w:t xml:space="preserve">Pago</w:t>
            </w:r>
            <w:r>
              <w:t xml:space="preserve"> no tiene campo de referencia; </w:t>
            </w:r>
            <w:r>
              <w:rPr>
                <w:rStyle w:val="CodeChar"/>
              </w:rPr>
              <w:t xml:space="preserve">PagoProveedor</w:t>
            </w:r>
            <w:r>
              <w:t xml:space="preserve"> sí</w:t>
            </w:r>
          </w:p>
        </w:tc>
        <w:tc>
          <w:tcPr>
            <w:tcW w:w="2340" w:type="dxa"/>
          </w:tcPr>
          <w:p>
            <w:pPr/>
            <w:r>
              <w:t xml:space="preserve">pagos service l.55–64; schema l.757–777 vs l.1050</w:t>
            </w:r>
          </w:p>
        </w:tc>
        <w:tc>
          <w:tcPr>
            <w:tcW w:w="2340" w:type="dxa"/>
          </w:tcPr>
          <w:p>
            <w:pPr/>
            <w:r>
              <w:t xml:space="preserve">Registrar la referencia de una transferencia requiere migración</w:t>
            </w:r>
          </w:p>
        </w:tc>
      </w:tr>
      <w:tr>
        <w:tc>
          <w:tcPr>
            <w:tcW w:w="2340" w:type="dxa"/>
          </w:tcPr>
          <w:p>
            <w:pPr/>
            <w:r>
              <w:t xml:space="preserve">C17</w:t>
            </w:r>
          </w:p>
        </w:tc>
        <w:tc>
          <w:tcPr>
            <w:tcW w:w="2340" w:type="dxa"/>
          </w:tcPr>
          <w:p>
            <w:pPr/>
            <w:r>
              <w:t xml:space="preserve">Movimiento de caja solo si hay apertura vigente</w:t>
            </w:r>
          </w:p>
        </w:tc>
        <w:tc>
          <w:tcPr>
            <w:tcW w:w="2340" w:type="dxa"/>
          </w:tcPr>
          <w:p>
            <w:pPr/>
            <w:r>
              <w:t xml:space="preserve">pagos service l.66–100</w:t>
            </w:r>
          </w:p>
        </w:tc>
        <w:tc>
          <w:tcPr>
            <w:tcW w:w="2340" w:type="dxa"/>
          </w:tcPr>
          <w:p>
            <w:pPr/>
            <w:r>
              <w:t xml:space="preserve">Confirma notas §14.2</w:t>
            </w:r>
          </w:p>
        </w:tc>
      </w:tr>
      <w:tr>
        <w:tc>
          <w:tcPr>
            <w:tcW w:w="2340" w:type="dxa"/>
          </w:tcPr>
          <w:p>
            <w:pPr/>
            <w:r>
              <w:t xml:space="preserve">C18</w:t>
            </w:r>
          </w:p>
        </w:tc>
        <w:tc>
          <w:tcPr>
            <w:tcW w:w="2340" w:type="dxa"/>
          </w:tcPr>
          <w:p>
            <w:pPr/>
            <w:r>
              <w:t xml:space="preserve">“Nueva venta” habilitado con saldo pendiente, sin aviso</w:t>
            </w:r>
          </w:p>
        </w:tc>
        <w:tc>
          <w:tcPr>
            <w:tcW w:w="2340" w:type="dxa"/>
          </w:tcPr>
          <w:p>
            <w:pPr/>
            <w:r>
              <w:t xml:space="preserve">NuevaVentaPage l.248–254</w:t>
            </w:r>
          </w:p>
        </w:tc>
        <w:tc>
          <w:tcPr>
            <w:tcW w:w="2340" w:type="dxa"/>
          </w:tcPr>
          <w:p>
            <w:pPr/>
            <w:r>
              <w:t xml:space="preserve">Ventas sin cobrar con un clic</w:t>
            </w:r>
          </w:p>
        </w:tc>
      </w:tr>
      <w:tr>
        <w:tc>
          <w:tcPr>
            <w:tcW w:w="2340" w:type="dxa"/>
          </w:tcPr>
          <w:p>
            <w:pPr/>
            <w:r>
              <w:t xml:space="preserve">C19</w:t>
            </w:r>
          </w:p>
        </w:tc>
        <w:tc>
          <w:tcPr>
            <w:tcW w:w="2340" w:type="dxa"/>
          </w:tcPr>
          <w:p>
            <w:pPr/>
            <w:r>
              <w:t xml:space="preserve">En efectivo se carga el monto aplicado; la API rechaza montos mayores al saldo y la pantalla no calcula vuelto</w:t>
            </w:r>
          </w:p>
        </w:tc>
        <w:tc>
          <w:tcPr>
            <w:tcW w:w="2340" w:type="dxa"/>
          </w:tcPr>
          <w:p>
            <w:pPr/>
            <w:r>
              <w:t xml:space="preserve">pagos service l.45–49; NuevaVentaPage l.223–231</w:t>
            </w:r>
          </w:p>
        </w:tc>
        <w:tc>
          <w:tcPr>
            <w:tcW w:w="2340" w:type="dxa"/>
          </w:tcPr>
          <w:p>
            <w:pPr/>
            <w:r>
              <w:t xml:space="preserve">Vuelto a mano</w:t>
            </w:r>
          </w:p>
        </w:tc>
      </w:tr>
      <w:tr>
        <w:tc>
          <w:tcPr>
            <w:tcW w:w="2340" w:type="dxa"/>
          </w:tcPr>
          <w:p>
            <w:pPr/>
            <w:r>
              <w:t xml:space="preserve">C20</w:t>
            </w:r>
          </w:p>
        </w:tc>
        <w:tc>
          <w:tcPr>
            <w:tcW w:w="2340" w:type="dxa"/>
          </w:tcPr>
          <w:p>
            <w:pPr/>
            <w:r>
              <w:t xml:space="preserve">Advertencia de vencido y descuento de fidelidad se ven después de confirmar; el total estimado no incluye el descuento</w:t>
            </w:r>
          </w:p>
        </w:tc>
        <w:tc>
          <w:tcPr>
            <w:tcW w:w="2340" w:type="dxa"/>
          </w:tcPr>
          <w:p>
            <w:pPr/>
            <w:r>
              <w:t xml:space="preserve">NuevaVentaPage l.57–69, l.164–166</w:t>
            </w:r>
          </w:p>
        </w:tc>
        <w:tc>
          <w:tcPr>
            <w:tcW w:w="2340" w:type="dxa"/>
          </w:tcPr>
          <w:p>
            <w:pPr/>
            <w:r>
              <w:t xml:space="preserve">El vendedor ve un total y se cobra otro</w:t>
            </w:r>
          </w:p>
        </w:tc>
      </w:tr>
      <w:tr>
        <w:tc>
          <w:tcPr>
            <w:tcW w:w="2340" w:type="dxa"/>
          </w:tcPr>
          <w:p>
            <w:pPr/>
            <w:r>
              <w:t xml:space="preserve">C21</w:t>
            </w:r>
          </w:p>
        </w:tc>
        <w:tc>
          <w:tcPr>
            <w:tcW w:w="2340" w:type="dxa"/>
          </w:tcPr>
          <w:p>
            <w:pPr/>
            <w:r>
              <w:t xml:space="preserve">El nivel de fidelidad cuenta ventas confirmadas, cobradas o no</w:t>
            </w:r>
          </w:p>
        </w:tc>
        <w:tc>
          <w:tcPr>
            <w:tcW w:w="2340" w:type="dxa"/>
          </w:tcPr>
          <w:p>
            <w:pPr/>
            <w:r>
              <w:t xml:space="preserve">clientes service l.80–84</w:t>
            </w:r>
          </w:p>
        </w:tc>
        <w:tc>
          <w:tcPr>
            <w:tcW w:w="2340" w:type="dxa"/>
          </w:tcPr>
          <w:p>
            <w:pPr/>
            <w:r>
              <w:t xml:space="preserve">Ventas impagas suman para VIP</w:t>
            </w:r>
          </w:p>
        </w:tc>
      </w:tr>
      <w:tr>
        <w:tc>
          <w:tcPr>
            <w:tcW w:w="2340" w:type="dxa"/>
          </w:tcPr>
          <w:p>
            <w:pPr/>
            <w:r>
              <w:t xml:space="preserve">C22</w:t>
            </w:r>
          </w:p>
        </w:tc>
        <w:tc>
          <w:tcPr>
            <w:tcW w:w="2340" w:type="dxa"/>
          </w:tcPr>
          <w:p>
            <w:pPr/>
            <w:r>
              <w:rPr>
                <w:rStyle w:val="CodeChar"/>
              </w:rPr>
              <w:t xml:space="preserve">Venta</w:t>
            </w:r>
            <w:r>
              <w:t xml:space="preserve"> no tiene campo de número comercial; solo </w:t>
            </w:r>
            <w:r>
              <w:rPr>
                <w:rStyle w:val="CodeChar"/>
              </w:rPr>
              <w:t xml:space="preserve">id</w:t>
            </w:r>
            <w:r>
              <w:t xml:space="preserve"> UUID. </w:t>
            </w:r>
            <w:r>
              <w:rPr>
                <w:rStyle w:val="CodeChar"/>
              </w:rPr>
              <w:t xml:space="preserve">Venta.descuento</w:t>
            </w:r>
            <w:r>
              <w:t xml:space="preserve"> existe pero el service no lo usa</w:t>
            </w:r>
          </w:p>
        </w:tc>
        <w:tc>
          <w:tcPr>
            <w:tcW w:w="2340" w:type="dxa"/>
          </w:tcPr>
          <w:p>
            <w:pPr/>
            <w:r>
              <w:t xml:space="preserve">schema l.641–660</w:t>
            </w:r>
          </w:p>
        </w:tc>
        <w:tc>
          <w:tcPr>
            <w:tcW w:w="2340" w:type="dxa"/>
          </w:tcPr>
          <w:p>
            <w:pPr/>
            <w:r>
              <w:t xml:space="preserve">El número #00000125 del rediseño requiere migración</w:t>
            </w:r>
          </w:p>
        </w:tc>
      </w:tr>
      <w:tr>
        <w:tc>
          <w:tcPr>
            <w:tcW w:w="2340" w:type="dxa"/>
          </w:tcPr>
          <w:p>
            <w:pPr/>
            <w:r>
              <w:t xml:space="preserve">C23</w:t>
            </w:r>
          </w:p>
        </w:tc>
        <w:tc>
          <w:tcPr>
            <w:tcW w:w="2340" w:type="dxa"/>
          </w:tcPr>
          <w:p>
            <w:pPr/>
            <w:r>
              <w:rPr>
                <w:rStyle w:val="CodeChar"/>
              </w:rPr>
              <w:t xml:space="preserve">VentaItem</w:t>
            </w:r>
            <w:r>
              <w:t xml:space="preserve"> no tiene presentación ni lote; </w:t>
            </w:r>
            <w:r>
              <w:rPr>
                <w:rStyle w:val="CodeChar"/>
              </w:rPr>
              <w:t xml:space="preserve">Presentacion.factorConversion</w:t>
            </w:r>
            <w:r>
              <w:t xml:space="preserve"> es </w:t>
            </w:r>
            <w:r>
              <w:rPr>
                <w:b/>
              </w:rPr>
              <w:t xml:space="preserve">obligatorio</w:t>
            </w:r>
          </w:p>
        </w:tc>
        <w:tc>
          <w:tcPr>
            <w:tcW w:w="2340" w:type="dxa"/>
          </w:tcPr>
          <w:p>
            <w:pPr/>
            <w:r>
              <w:t xml:space="preserve">schema l.662–686, l.434</w:t>
            </w:r>
          </w:p>
        </w:tc>
        <w:tc>
          <w:tcPr>
            <w:tcW w:w="2340" w:type="dxa"/>
          </w:tcPr>
          <w:p>
            <w:pPr/>
            <w:r>
              <w:t xml:space="preserve">Vender por presentación requiere migración; la conversión obligatoria contradice D-08 y las notas §8.2, que la dan como opcional</w:t>
            </w:r>
          </w:p>
        </w:tc>
      </w:tr>
      <w:tr>
        <w:tc>
          <w:tcPr>
            <w:tcW w:w="2340" w:type="dxa"/>
          </w:tcPr>
          <w:p>
            <w:pPr/>
            <w:r>
              <w:t xml:space="preserve">C24</w:t>
            </w:r>
          </w:p>
        </w:tc>
        <w:tc>
          <w:tcPr>
            <w:tcW w:w="2340" w:type="dxa"/>
          </w:tcPr>
          <w:p>
            <w:pPr/>
            <w:r>
              <w:t xml:space="preserve">La estructura de cuenta corriente ya existe (</w:t>
            </w:r>
            <w:r>
              <w:rPr>
                <w:rStyle w:val="CodeChar"/>
              </w:rPr>
              <w:t xml:space="preserve">CuentaCorriente</w:t>
            </w:r>
            <w:r>
              <w:t xml:space="preserve">, </w:t>
            </w:r>
            <w:r>
              <w:rPr>
                <w:rStyle w:val="CodeChar"/>
              </w:rPr>
              <w:t xml:space="preserve">Deuda.ventaId</w:t>
            </w:r>
            <w:r>
              <w:t xml:space="preserve">, </w:t>
            </w:r>
            <w:r>
              <w:rPr>
                <w:rStyle w:val="CodeChar"/>
              </w:rPr>
              <w:t xml:space="preserve">AplicacionPago</w:t>
            </w:r>
            <w:r>
              <w:t xml:space="preserve">, </w:t>
            </w:r>
            <w:r>
              <w:rPr>
                <w:rStyle w:val="CodeChar"/>
              </w:rPr>
              <w:t xml:space="preserve">Cliente.limiteCredito</w:t>
            </w:r>
            <w:r>
              <w:t xml:space="preserve">) sin uso desde ventas. </w:t>
            </w:r>
            <w:r>
              <w:rPr>
                <w:rStyle w:val="CodeChar"/>
              </w:rPr>
              <w:t xml:space="preserve">Pago.deudaId</w:t>
            </w:r>
            <w:r>
              <w:t xml:space="preserve"> apunta a </w:t>
            </w:r>
            <w:r>
              <w:rPr>
                <w:rStyle w:val="CodeChar"/>
              </w:rPr>
              <w:t xml:space="preserve">CuentaCorriente</w:t>
            </w:r>
            <w:r>
              <w:t xml:space="preserve">, no a </w:t>
            </w:r>
            <w:r>
              <w:rPr>
                <w:rStyle w:val="CodeChar"/>
              </w:rPr>
              <w:t xml:space="preserve">Deuda</w:t>
            </w:r>
          </w:p>
        </w:tc>
        <w:tc>
          <w:tcPr>
            <w:tcW w:w="2340" w:type="dxa"/>
          </w:tcPr>
          <w:p>
            <w:pPr/>
            <w:r>
              <w:t xml:space="preserve">schema l.468, l.606–639, l.765–766, l.779–790</w:t>
            </w:r>
          </w:p>
        </w:tc>
        <w:tc>
          <w:tcPr>
            <w:tcW w:w="2340" w:type="dxa"/>
          </w:tcPr>
          <w:p>
            <w:pPr/>
            <w:r>
              <w:t xml:space="preserve">RF-10 puede apoyarse en el modelo; revisar el nombre de </w:t>
            </w:r>
            <w:r>
              <w:rPr>
                <w:rStyle w:val="CodeChar"/>
              </w:rPr>
              <w:t xml:space="preserve">deudaId</w:t>
            </w:r>
          </w:p>
        </w:tc>
      </w:tr>
      <w:tr>
        <w:tc>
          <w:tcPr>
            <w:tcW w:w="2340" w:type="dxa"/>
          </w:tcPr>
          <w:p>
            <w:pPr/>
            <w:r>
              <w:t xml:space="preserve">C25</w:t>
            </w:r>
          </w:p>
        </w:tc>
        <w:tc>
          <w:tcPr>
            <w:tcW w:w="2340" w:type="dxa"/>
          </w:tcPr>
          <w:p>
            <w:pPr/>
            <w:r>
              <w:rPr>
                <w:rStyle w:val="CodeChar"/>
              </w:rPr>
              <w:t xml:space="preserve">Autorizacion</w:t>
            </w:r>
            <w:r>
              <w:t xml:space="preserve"> guarda autorizador, operación, entidad y motivo, pero no </w:t>
            </w:r>
            <w:r>
              <w:rPr>
                <w:b/>
              </w:rPr>
              <w:t xml:space="preserve">solicitante</w:t>
            </w:r>
            <w:r>
              <w:t xml:space="preserve"> ni </w:t>
            </w:r>
            <w:r>
              <w:rPr>
                <w:b/>
              </w:rPr>
              <w:t xml:space="preserve">resultado</w:t>
            </w:r>
          </w:p>
        </w:tc>
        <w:tc>
          <w:tcPr>
            <w:tcW w:w="2340" w:type="dxa"/>
          </w:tcPr>
          <w:p>
            <w:pPr/>
            <w:r>
              <w:t xml:space="preserve">schema l.1089–1105</w:t>
            </w:r>
          </w:p>
        </w:tc>
        <w:tc>
          <w:tcPr>
            <w:tcW w:w="2340" w:type="dxa"/>
          </w:tcPr>
          <w:p>
            <w:pPr/>
            <w:r>
              <w:t xml:space="preserve">D-06 pide ambos; hoy no quedan registrados</w:t>
            </w:r>
          </w:p>
        </w:tc>
      </w:tr>
      <w:tr>
        <w:tc>
          <w:tcPr>
            <w:tcW w:w="2340" w:type="dxa"/>
          </w:tcPr>
          <w:p>
            <w:pPr/>
            <w:r>
              <w:t xml:space="preserve">C26</w:t>
            </w:r>
          </w:p>
        </w:tc>
        <w:tc>
          <w:tcPr>
            <w:tcW w:w="2340" w:type="dxa"/>
          </w:tcPr>
          <w:p>
            <w:pPr/>
            <w:r>
              <w:t xml:space="preserve">Cantidad en 0 o vacía quita la línea: borrar el campo para reescribir el número da 0 y elimina el producto. El campo acepta decimales y no se controla contra el stock hasta confirmar</w:t>
            </w:r>
          </w:p>
        </w:tc>
        <w:tc>
          <w:tcPr>
            <w:tcW w:w="2340" w:type="dxa"/>
          </w:tcPr>
          <w:p>
            <w:pPr/>
            <w:r>
              <w:t xml:space="preserve">useCarrito l.31–37; NuevaVentaPage l.143–149</w:t>
            </w:r>
          </w:p>
        </w:tc>
        <w:tc>
          <w:tcPr>
            <w:tcW w:w="2340" w:type="dxa"/>
          </w:tcPr>
          <w:p>
            <w:pPr/>
            <w:r>
              <w:t xml:space="preserve">El vendedor pierde líneas al corregir cantidades; el stock insuficiente aparece recién al confirmar</w:t>
            </w:r>
          </w:p>
        </w:tc>
      </w:tr>
      <w:tr>
        <w:tc>
          <w:tcPr>
            <w:tcW w:w="2340" w:type="dxa"/>
          </w:tcPr>
          <w:p>
            <w:pPr/>
            <w:r>
              <w:t xml:space="preserve">C27</w:t>
            </w:r>
          </w:p>
        </w:tc>
        <w:tc>
          <w:tcPr>
            <w:tcW w:w="2340" w:type="dxa"/>
          </w:tcPr>
          <w:p>
            <w:pPr/>
            <w:r>
              <w:t xml:space="preserve">La búsqueda de productos solo filtra activos si se manda activo=true; con solo search devuelve activos e inactivos. Busca por nombre y código interno, máx. 50, sin código de barras</w:t>
            </w:r>
          </w:p>
        </w:tc>
        <w:tc>
          <w:tcPr>
            <w:tcW w:w="2340" w:type="dxa"/>
          </w:tcPr>
          <w:p>
            <w:pPr/>
            <w:r>
              <w:t xml:space="preserve">catalogo controller l.41–74</w:t>
            </w:r>
          </w:p>
        </w:tc>
        <w:tc>
          <w:tcPr>
            <w:tcW w:w="2340" w:type="dxa"/>
          </w:tcPr>
          <w:p>
            <w:pPr/>
            <w:r>
              <w:rPr>
                <w:b/>
              </w:rPr>
              <w:t xml:space="preserve">Confirmado:</w:t>
            </w:r>
            <w:r>
              <w:t xml:space="preserve"> </w:t>
            </w:r>
            <w:r>
              <w:rPr>
                <w:rStyle w:val="CodeChar"/>
              </w:rPr>
              <w:t xml:space="preserve">api.buscarProductos()</w:t>
            </w:r>
            <w:r>
              <w:t xml:space="preserve"> llama a </w:t>
            </w:r>
            <w:r>
              <w:rPr>
                <w:rStyle w:val="CodeChar"/>
              </w:rPr>
              <w:t xml:space="preserve">/catalogo/productos?search=</w:t>
            </w:r>
            <w:r>
              <w:t xml:space="preserve"> sin </w:t>
            </w:r>
            <w:r>
              <w:rPr>
                <w:rStyle w:val="CodeChar"/>
              </w:rPr>
              <w:t xml:space="preserve">activo=true</w:t>
            </w:r>
            <w:r>
              <w:t xml:space="preserve"> (lib/api.ts l.99–100). El POS ofrece productos inactivos y el resultado no muestra estado ni stock, así que el vendedor no puede distinguirlos</w:t>
            </w:r>
          </w:p>
        </w:tc>
      </w:tr>
      <w:tr>
        <w:tc>
          <w:tcPr>
            <w:tcW w:w="2340" w:type="dxa"/>
          </w:tcPr>
          <w:p>
            <w:pPr/>
            <w:r>
              <w:t xml:space="preserve">C28</w:t>
            </w:r>
          </w:p>
        </w:tc>
        <w:tc>
          <w:tcPr>
            <w:tcW w:w="2340" w:type="dxa"/>
          </w:tcPr>
          <w:p>
            <w:pPr/>
            <w:r>
              <w:t xml:space="preserve">El SKU (codigoInterno) lo manda el cliente al crear el producto; el controller no lo genera. El schema y las notas §31 dicen que se genera al crear</w:t>
            </w:r>
          </w:p>
        </w:tc>
        <w:tc>
          <w:tcPr>
            <w:tcW w:w="2340" w:type="dxa"/>
          </w:tcPr>
          <w:p>
            <w:pPr/>
            <w:r>
              <w:t xml:space="preserve">catalogo controller l.108–110; schema l.368–375</w:t>
            </w:r>
          </w:p>
        </w:tc>
        <w:tc>
          <w:tcPr>
            <w:tcW w:w="2340" w:type="dxa"/>
          </w:tcPr>
          <w:p>
            <w:pPr/>
            <w:r>
              <w:t xml:space="preserve">Confirmado: CreateProductoDto solo exige un texto de al menos 1 carácter (l.21–23). Cualquier código es válido; también precios con cualquier cantidad de decimales (l.58–60) y código de barras sin control de duplicados (l.25–27)</w:t>
            </w:r>
          </w:p>
        </w:tc>
      </w:tr>
      <w:tr>
        <w:tc>
          <w:tcPr>
            <w:tcW w:w="2340" w:type="dxa"/>
          </w:tcPr>
          <w:p>
            <w:pPr/>
            <w:r>
              <w:t xml:space="preserve">C29</w:t>
            </w:r>
          </w:p>
        </w:tc>
        <w:tc>
          <w:tcPr>
            <w:tcW w:w="2340" w:type="dxa"/>
          </w:tcPr>
          <w:p>
            <w:pPr/>
            <w:r>
              <w:t xml:space="preserve">Cambiar precio, descuento o activo es un PATCH que sobrescribe el valor, con solo productos.gestionar: sin autorización, sin AuditLog y sin historial de precios</w:t>
            </w:r>
          </w:p>
        </w:tc>
        <w:tc>
          <w:tcPr>
            <w:tcW w:w="2340" w:type="dxa"/>
          </w:tcPr>
          <w:p>
            <w:pPr/>
            <w:r>
              <w:t xml:space="preserve">catalogo controller l.128–154</w:t>
            </w:r>
          </w:p>
        </w:tc>
        <w:tc>
          <w:tcPr>
            <w:tcW w:w="2340" w:type="dxa"/>
          </w:tcPr>
          <w:p>
            <w:pPr/>
            <w:r>
              <w:t xml:space="preserve">Confirma que el Asistente de local puede cambiar precios (notas §9.3) sin rastro; contradice SPEC §3.2 y RF-16</w:t>
            </w:r>
          </w:p>
        </w:tc>
      </w:tr>
    </w:tbl>
    <w:p>
      <w:pPr>
        <w:pStyle w:val="Heading2"/>
      </w:pPr>
      <w:r>
        <w:t xml:space="preserve">3. Objetivo y alcance</w:t>
      </w:r>
    </w:p>
    <w:p>
      <w:pPr/>
      <w:r>
        <w:t xml:space="preserve">El módulo permite a un usuario autorizado llevar una venta desde el carrito vacío hasta una operación cobrada, registrada y consultable.</w:t>
      </w:r>
    </w:p>
    <w:p>
      <w:pPr>
        <w:pStyle w:val="ListParagraph"/>
        <w:numPr>
          <w:ilvl w:val="0"/>
          <w:numId w:val="3"/>
        </w:numPr>
      </w:pPr>
      <w:r>
        <w:t xml:space="preserve">Iniciar una venta.</w:t>
      </w:r>
    </w:p>
    <w:p>
      <w:pPr>
        <w:pStyle w:val="ListParagraph"/>
        <w:numPr>
          <w:ilvl w:val="0"/>
          <w:numId w:val="3"/>
        </w:numPr>
      </w:pPr>
      <w:r>
        <w:t xml:space="preserve">Buscar productos.</w:t>
      </w:r>
    </w:p>
    <w:p>
      <w:pPr>
        <w:pStyle w:val="ListParagraph"/>
        <w:numPr>
          <w:ilvl w:val="0"/>
          <w:numId w:val="3"/>
        </w:numPr>
      </w:pPr>
      <w:r>
        <w:t xml:space="preserve">Incorporar productos a la venta.</w:t>
      </w:r>
    </w:p>
    <w:p>
      <w:pPr>
        <w:pStyle w:val="ListParagraph"/>
        <w:numPr>
          <w:ilvl w:val="0"/>
          <w:numId w:val="3"/>
        </w:numPr>
      </w:pPr>
      <w:r>
        <w:t xml:space="preserve">Modificar cantidades.</w:t>
      </w:r>
    </w:p>
    <w:p>
      <w:pPr>
        <w:pStyle w:val="ListParagraph"/>
        <w:numPr>
          <w:ilvl w:val="0"/>
          <w:numId w:val="3"/>
        </w:numPr>
      </w:pPr>
      <w:r>
        <w:t xml:space="preserve">Asociar un cliente, cuando corresponda.</w:t>
      </w:r>
    </w:p>
    <w:p>
      <w:pPr>
        <w:pStyle w:val="ListParagraph"/>
        <w:numPr>
          <w:ilvl w:val="0"/>
          <w:numId w:val="3"/>
        </w:numPr>
      </w:pPr>
      <w:r>
        <w:t xml:space="preserve">Calcular y visualizar el importe.</w:t>
      </w:r>
    </w:p>
    <w:p>
      <w:pPr>
        <w:pStyle w:val="ListParagraph"/>
        <w:numPr>
          <w:ilvl w:val="0"/>
          <w:numId w:val="3"/>
        </w:numPr>
      </w:pPr>
      <w:r>
        <w:t xml:space="preserve">Confirmar la venta.</w:t>
      </w:r>
    </w:p>
    <w:p>
      <w:pPr>
        <w:pStyle w:val="ListParagraph"/>
        <w:numPr>
          <w:ilvl w:val="0"/>
          <w:numId w:val="3"/>
        </w:numPr>
      </w:pPr>
      <w:r>
        <w:t xml:space="preserve">Seleccionar el medio de pago.</w:t>
      </w:r>
    </w:p>
    <w:p>
      <w:pPr>
        <w:pStyle w:val="ListParagraph"/>
        <w:numPr>
          <w:ilvl w:val="0"/>
          <w:numId w:val="3"/>
        </w:numPr>
      </w:pPr>
      <w:r>
        <w:t xml:space="preserve">Registrar el cobro.</w:t>
      </w:r>
    </w:p>
    <w:p>
      <w:pPr>
        <w:pStyle w:val="ListParagraph"/>
        <w:numPr>
          <w:ilvl w:val="0"/>
          <w:numId w:val="3"/>
        </w:numPr>
      </w:pPr>
      <w:r>
        <w:t xml:space="preserve">Determinar el estado de pago.</w:t>
      </w:r>
    </w:p>
    <w:p>
      <w:pPr>
        <w:pStyle w:val="ListParagraph"/>
        <w:numPr>
          <w:ilvl w:val="0"/>
          <w:numId w:val="3"/>
        </w:numPr>
      </w:pPr>
      <w:r>
        <w:t xml:space="preserve">Finalizar la operación.</w:t>
      </w:r>
    </w:p>
    <w:p>
      <w:pPr>
        <w:pStyle w:val="ListParagraph"/>
        <w:numPr>
          <w:ilvl w:val="0"/>
          <w:numId w:val="3"/>
        </w:numPr>
      </w:pPr>
      <w:r>
        <w:t xml:space="preserve">Conservar la venta para consulta posterior.</w:t>
      </w:r>
    </w:p>
    <w:p>
      <w:pPr/>
      <w:r>
        <w:t xml:space="preserve">Cadena funcional que la venta debe mantener trazable, aunque no todo ocurra en la misma pantalla:</w:t>
      </w:r>
    </w:p>
    <w:p>
      <w:pPr>
        <w:pStyle w:val="Code"/>
      </w:pPr>
      <w:bookmarkStart w:id="1" w:name="bongo_lang_mermaid_1"/>
      <w:bookmarkEnd w:id="1"/>
      <w:r>
        <w:t xml:space="preserve">flowchart LR</w:t>
        <w:br/>
        <w:t xml:space="preserve">    P[Productos] --&gt; V[Venta] --&gt; S[Stock]</w:t>
        <w:br/>
        <w:t xml:space="preserve">    V --&gt; CL[Cliente]</w:t>
        <w:br/>
        <w:t xml:space="preserve">    V --&gt; CO[Cobro] --&gt; CA[Caja] --&gt; H[Historial]</w:t>
      </w:r>
    </w:p>
    <w:p>
      <w:pPr/>
      <w:r>
        <w:t xml:space="preserve">La SPEC general incluye en Ventas el POS presencial, la venta mayorista y la venta online (§2.1). Este informe cubre el POS presencial; mayorista (D-01 pendiente) y online (RF-06, Mercado Pago) necesitan su propio análisis. El MVP arranca con una empresa, una caja y un depósito.</w:t>
      </w:r>
    </w:p>
    <w:p>
      <w:pPr>
        <w:pStyle w:val="Heading2"/>
      </w:pPr>
      <w:r>
        <w:t xml:space="preserve">4. Problema del AS-IS</w:t>
      </w:r>
    </w:p>
    <w:p>
      <w:pPr/>
      <w:r>
        <w:t xml:space="preserve">La pantalla actual (</w:t>
      </w:r>
      <w:r>
        <w:rPr>
          <w:rStyle w:val="CodeChar"/>
        </w:rPr>
        <w:t xml:space="preserve">NuevaVentaPage</w:t>
      </w:r>
      <w:r>
        <w:t xml:space="preserve">, notas §13 y §29) permite vender, pero el ciclo de vida de la venta no queda explícito: tras confirmar y cobrar, vuelve a Nueva venta mostrando un UUID y sin dejar claro qué quedó registrado. El saldo pendiente se calcula en la pantalla con los pagos de esa sesión; si se cierra, no hay forma visible de retomar una venta sin cobrar.</w:t>
      </w:r>
    </w:p>
    <w:p>
      <w:pPr>
        <w:pStyle w:val="Code"/>
      </w:pPr>
      <w:bookmarkStart w:id="2" w:name="bongo_lang_mermaid_2"/>
      <w:bookmarkEnd w:id="2"/>
      <w:r>
        <w:t xml:space="preserve">flowchart LR</w:t>
        <w:br/>
        <w:t xml:space="preserve">    A[Nueva venta] --&gt; B[Buscar] --&gt; C[Agregar] --&gt; D[Carrito]</w:t>
        <w:br/>
        <w:t xml:space="preserve">    D --&gt; E[Confirmar venta] --&gt; F[Registrar cobro] --&gt; A</w:t>
      </w:r>
    </w:p>
    <w:p>
      <w:pPr/>
      <w:r>
        <w:t xml:space="preserve">El flujo no es incorrecto; lo que falta es que el usuario pueda responder, al terminar, estas preguntas:</w:t>
      </w:r>
    </w:p>
    <w:p>
      <w:pPr>
        <w:pStyle w:val="ListParagraph"/>
        <w:numPr>
          <w:ilvl w:val="0"/>
          <w:numId w:val="4"/>
        </w:numPr>
      </w:pPr>
      <w:r>
        <w:t xml:space="preserve">¿La venta quedó registrada y con qué número?</w:t>
      </w:r>
    </w:p>
    <w:p>
      <w:pPr>
        <w:pStyle w:val="ListParagraph"/>
        <w:numPr>
          <w:ilvl w:val="0"/>
          <w:numId w:val="4"/>
        </w:numPr>
      </w:pPr>
      <w:r>
        <w:t xml:space="preserve">¿Se descontó stock?</w:t>
      </w:r>
    </w:p>
    <w:p>
      <w:pPr>
        <w:pStyle w:val="ListParagraph"/>
        <w:numPr>
          <w:ilvl w:val="0"/>
          <w:numId w:val="4"/>
        </w:numPr>
      </w:pPr>
      <w:r>
        <w:t xml:space="preserve">¿Se registró el cobro? ¿Quedó pagada o pendiente?</w:t>
      </w:r>
    </w:p>
    <w:p>
      <w:pPr>
        <w:pStyle w:val="ListParagraph"/>
        <w:numPr>
          <w:ilvl w:val="0"/>
          <w:numId w:val="4"/>
        </w:numPr>
      </w:pPr>
      <w:r>
        <w:t xml:space="preserve">¿Se registró en Caja?</w:t>
      </w:r>
    </w:p>
    <w:p>
      <w:pPr>
        <w:pStyle w:val="ListParagraph"/>
        <w:numPr>
          <w:ilvl w:val="0"/>
          <w:numId w:val="4"/>
        </w:numPr>
      </w:pPr>
      <w:r>
        <w:t xml:space="preserve">¿Dónde consulto la venta que acabo de hacer?</w:t>
      </w:r>
    </w:p>
    <w:p>
      <w:pPr>
        <w:pStyle w:val="ListParagraph"/>
        <w:numPr>
          <w:ilvl w:val="0"/>
          <w:numId w:val="4"/>
        </w:numPr>
      </w:pPr>
      <w:r>
        <w:t xml:space="preserve">¿Qué pasa si cierro la pantalla, si el pago falla o si el cliente paga una parte?</w:t>
      </w:r>
    </w:p>
    <w:p>
      <w:pPr/>
      <w:r>
        <w:t xml:space="preserve">Requisito derivado: </w:t>
      </w:r>
      <w:r>
        <w:rPr>
          <w:b/>
        </w:rPr>
        <w:t xml:space="preserve">iniciar una nueva venta no debe implicar perder el contexto de la anterior</w:t>
      </w:r>
      <w:r>
        <w:t xml:space="preserve">. La pantalla puede ofrecer Nueva venta de inmediato, pero antes debe mostrar el resultado, ofrecer Ver venta y dejar la operación persistida.</w:t>
      </w:r>
    </w:p>
    <w:p>
      <w:pPr>
        <w:pStyle w:val="Heading2"/>
      </w:pPr>
      <w:r>
        <w:t xml:space="preserve">5. Modelo conceptual y actores</w:t>
      </w:r>
    </w:p>
    <w:p>
      <w:pPr/>
      <w:r>
        <w:t xml:space="preserve">Una venta es una operación compuesta: identifica a un cliente, contiene líneas de productos y tiene uno o más cobros. Cliente y productos son independientes entre sí.</w:t>
      </w:r>
    </w:p>
    <w:p>
      <w:pPr>
        <w:pStyle w:val="Code"/>
      </w:pPr>
      <w:bookmarkStart w:id="3" w:name="bongo_lang_mermaid_3"/>
      <w:bookmarkEnd w:id="3"/>
      <w:r>
        <w:t xml:space="preserve">flowchart TD</w:t>
        <w:br/>
        <w:t xml:space="preserve">    V[VENTA] --&gt; CL[Cliente&lt;br/&gt;identificación]</w:t>
        <w:br/>
        <w:t xml:space="preserve">    V --&gt; L[Líneas&lt;br/&gt;producto · cantidad · precio · subtotal]</w:t>
        <w:br/>
        <w:t xml:space="preserve">    V --&gt; CO[Cobro&lt;br/&gt;medio · importe · estado]</w:t>
        <w:br/>
        <w:t xml:space="preserve">    V -.efecto.-&gt; INV[Inventario&lt;br/&gt;movimiento de stock]</w:t>
        <w:br/>
        <w:t xml:space="preserve">    CO -.efecto.-&gt; CA[Caja&lt;br/&gt;ingreso]</w:t>
        <w:br/>
        <w:t xml:space="preserve">    V -.efecto.-&gt; HC[Cliente&lt;br/&gt;historial comercial]</w:t>
        <w:br/>
        <w:t xml:space="preserve">    V -.efecto.-&gt; R[Reportes&lt;br/&gt;estadísticas]</w:t>
      </w:r>
    </w:p>
    <w:p>
      <w:pPr/>
      <w:r>
        <w:t xml:space="preserve">Las líneas llenas son composición; las punteadas, efectos sobre otros dominios cuya forma exacta define cada SPEC especializada.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Actor (SPEC §3.1, Login y roles §2)</w:t>
            </w:r>
          </w:p>
        </w:tc>
        <w:tc>
          <w:tcPr>
            <w:tcW w:w="4680" w:type="dxa"/>
            <w:shd w:val="clear" w:color="auto" w:fill="F2F2F2"/>
          </w:tcPr>
          <w:p>
            <w:pPr/>
            <w:r>
              <w:t xml:space="preserve">Qué hace en Ventas</w:t>
            </w:r>
          </w:p>
        </w:tc>
      </w:tr>
      <w:tr>
        <w:tc>
          <w:tcPr>
            <w:tcW w:w="4680" w:type="dxa"/>
          </w:tcPr>
          <w:p>
            <w:pPr/>
            <w:r>
              <w:t xml:space="preserve">Asistente de local (antes “Vendedor”)</w:t>
            </w:r>
          </w:p>
        </w:tc>
        <w:tc>
          <w:tcPr>
            <w:tcW w:w="4680" w:type="dxa"/>
          </w:tcPr>
          <w:p>
            <w:pPr/>
            <w:r>
              <w:t xml:space="preserve">Vende y cobra según sus permisos desde admin.otrarondamas.wapsell.com. Opera solo con cuenta Aprobada: invitación del dueño y legajo aprobado (DNI, CUIL, antecedentes penales)</w:t>
            </w:r>
          </w:p>
        </w:tc>
      </w:tr>
      <w:tr>
        <w:tc>
          <w:tcPr>
            <w:tcW w:w="4680" w:type="dxa"/>
          </w:tcPr>
          <w:p>
            <w:pPr/>
            <w:r>
              <w:t xml:space="preserve">Dueño (Owner)</w:t>
            </w:r>
          </w:p>
        </w:tc>
        <w:tc>
          <w:tcPr>
            <w:tcW w:w="4680" w:type="dxa"/>
          </w:tcPr>
          <w:p>
            <w:pPr/>
            <w:r>
              <w:t xml:space="preserve">Configura, consulta ventas y reportes, y autoriza las operaciones restringidas. Su legajo fija la condición ante IVA del comercio</w:t>
            </w:r>
          </w:p>
        </w:tc>
      </w:tr>
      <w:tr>
        <w:tc>
          <w:tcPr>
            <w:tcW w:w="4680" w:type="dxa"/>
          </w:tcPr>
          <w:p>
            <w:pPr/>
            <w:r>
              <w:t xml:space="preserve">Cliente mayorista</w:t>
            </w:r>
          </w:p>
        </w:tc>
        <w:tc>
          <w:tcPr>
            <w:tcW w:w="4680" w:type="dxa"/>
          </w:tcPr>
          <w:p>
            <w:pPr/>
            <w:r>
              <w:t xml:space="preserve">Comercio que compra por mayor (B2B). Es un Cliente con legajo fiscal, no un Usuario del panel. Sus pantallas propias y precios mayoristas están fuera del incremento actual</w:t>
            </w:r>
          </w:p>
        </w:tc>
      </w:tr>
      <w:tr>
        <w:tc>
          <w:tcPr>
            <w:tcW w:w="4680" w:type="dxa"/>
          </w:tcPr>
          <w:p>
            <w:pPr/>
            <w:r>
              <w:t xml:space="preserve">Cliente minorista</w:t>
            </w:r>
          </w:p>
        </w:tc>
        <w:tc>
          <w:tcPr>
            <w:tcW w:w="4680" w:type="dxa"/>
          </w:tcPr>
          <w:p>
            <w:pPr/>
            <w:r>
              <w:t xml:space="preserve">Comprador de mostrador; puede no identificarse (RF-05). En la tienda online tiene login propio</w:t>
            </w:r>
          </w:p>
        </w:tc>
      </w:tr>
    </w:tbl>
    <w:p>
      <w:pPr/>
      <w:r>
        <w:t xml:space="preserve">Los permisos son configurables por el dueño (RF-02). Una operación restringida exige permiso más autorización expresa del dueño; el mecanismo (PIN, aprobación desde la cuenta del dueño o ambos) se define en D-06, y ningún proceso automático puede autorizarse a sí mismo. El rol “Encargado” del borrador anterior no existe en la SPEC general y se retiró.</w:t>
      </w:r>
    </w:p>
    <w:p>
      <w:pPr>
        <w:pStyle w:val="Heading2"/>
      </w:pPr>
      <w:r>
        <w:t xml:space="preserve">6. Ciclo de vida y estados</w:t>
      </w:r>
    </w:p>
    <w:p>
      <w:pPr/>
      <w:r>
        <w:t xml:space="preserve">Confirmar la venta y registrar el cobro son acontecimientos distintos. La SPEC general define los estados de </w:t>
      </w:r>
      <w:r>
        <w:rPr>
          <w:b/>
        </w:rPr>
        <w:t xml:space="preserve">Pago</w:t>
      </w:r>
      <w:r>
        <w:t xml:space="preserve"> (§6.2) pero no los de </w:t>
      </w:r>
      <w:r>
        <w:rPr>
          <w:b/>
        </w:rPr>
        <w:t xml:space="preserve">Venta</w:t>
      </w:r>
      <w:r>
        <w:t xml:space="preserve">: esos siguen siendo una propuesta de este informe.</w:t>
      </w:r>
    </w:p>
    <w:p>
      <w:pPr/>
      <w:r>
        <w:rPr>
          <w:b/>
        </w:rPr>
        <w:t xml:space="preserve">Venta — propuesta, no aprobada</w:t>
      </w:r>
    </w:p>
    <w:p>
      <w:pPr>
        <w:pStyle w:val="Code"/>
      </w:pPr>
      <w:bookmarkStart w:id="4" w:name="bongo_lang_mermaid_4"/>
      <w:bookmarkEnd w:id="4"/>
      <w:r>
        <w:t xml:space="preserve">stateDiagram-v2</w:t>
        <w:br/>
        <w:t xml:space="preserve">    [*] --&gt; EN_EDICION: Nueva venta</w:t>
        <w:br/>
        <w:t xml:space="preserve">    EN_EDICION --&gt; [*]: Limpiar (nada se registra)</w:t>
        <w:br/>
        <w:t xml:space="preserve">    EN_EDICION --&gt; CONFIRMADA: Confirmar venta (≥1 línea)</w:t>
        <w:br/>
        <w:t xml:space="preserve">    CONFIRMADA --&gt; FINALIZADA: Pagos aplicados = total</w:t>
        <w:br/>
        <w:t xml:space="preserve">    CONFIRMADA --&gt; CON_SALDO: Venta a crédito o pago parcial</w:t>
        <w:br/>
        <w:t xml:space="preserve">    CON_SALDO --&gt; FINALIZADA: Se cancela el saldo</w:t>
        <w:br/>
        <w:t xml:space="preserve">    CONFIRMADA --&gt; ANULADA: Anulación autorizada</w:t>
        <w:br/>
        <w:t xml:space="preserve">    FINALIZADA --&gt; ANULADA: Anulación autorizada</w:t>
      </w:r>
    </w:p>
    <w:p>
      <w:pPr/>
      <w:r>
        <w:t xml:space="preserve">ANULADA no borra la venta: es una operación vinculada que conserva el registro original (INV-02). Una devolución tampoco cambia el estado de la venta; genera su propia operación que referencia la venta (INV-11).</w:t>
      </w:r>
    </w:p>
    <w:p>
      <w:pPr/>
      <w:r>
        <w:rPr>
          <w:b/>
        </w:rPr>
        <w:t xml:space="preserve">Pago — SPEC §6.2</w:t>
      </w:r>
      <w:r>
        <w:t xml:space="preserve">, uno por cada medio usado en la venta:</w:t>
      </w:r>
    </w:p>
    <w:p>
      <w:pPr>
        <w:pStyle w:val="Code"/>
      </w:pPr>
      <w:bookmarkStart w:id="5" w:name="bongo_lang_mermaid_5"/>
      <w:bookmarkEnd w:id="5"/>
      <w:r>
        <w:t xml:space="preserve">stateDiagram-v2</w:t>
        <w:br/>
        <w:t xml:space="preserve">    [*] --&gt; PENDIENTE</w:t>
        <w:br/>
        <w:t xml:space="preserve">    PENDIENTE --&gt; EN_PROCESO</w:t>
        <w:br/>
        <w:t xml:space="preserve">    EN_PROCESO --&gt; APROBADO</w:t>
        <w:br/>
        <w:t xml:space="preserve">    EN_PROCESO --&gt; RECHAZADO</w:t>
        <w:br/>
        <w:t xml:space="preserve">    PENDIENTE --&gt; CANCELADO</w:t>
        <w:br/>
        <w:t xml:space="preserve">    APROBADO --&gt; REEMBOLSADO_PARCIAL</w:t>
        <w:br/>
        <w:t xml:space="preserve">    APROBADO --&gt; REEMBOLSADO_TOTAL</w:t>
      </w:r>
    </w:p>
    <w:p>
      <w:pPr/>
      <w:r>
        <w:t xml:space="preserve">“Parcial” no es un estado de pago sino del saldo de la venta: total menos pagos APROBADOS. Hoy solo existe el estado de venta CONFIRMADA, y los pagos manuales nacen APROBADOS sin pasar por EN_PROCESO (notas §12.1); EN_PROCESO queda reservado para pasarelas como Mercado Pago. Los estados CON_SALDO, FINALIZADA y ANULADA del diagrama son propuesta: hoy una venta sin cobrar no se distingue de una cobrada salvo sumando sus pagos.</w:t>
      </w:r>
    </w:p>
    <w:p>
      <w:pPr>
        <w:pStyle w:val="Heading2"/>
      </w:pPr>
      <w:r>
        <w:t xml:space="preserve">7. Comportamiento por etapa</w:t>
      </w:r>
    </w:p>
    <w:p>
      <w:pPr/>
      <w:r>
        <w:t xml:space="preserve">Cada etapa de construcción de la venta, contrastada con la SPEC general y con las pantallas.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Etapa</w:t>
            </w:r>
          </w:p>
        </w:tc>
        <w:tc>
          <w:tcPr>
            <w:tcW w:w="2340" w:type="dxa"/>
            <w:shd w:val="clear" w:color="auto" w:fill="F2F2F2"/>
          </w:tcPr>
          <w:p>
            <w:pPr/>
            <w:r>
              <w:t xml:space="preserve">Comportamiento esperado</w:t>
            </w:r>
          </w:p>
        </w:tc>
        <w:tc>
          <w:tcPr>
            <w:tcW w:w="2340" w:type="dxa"/>
            <w:shd w:val="clear" w:color="auto" w:fill="F2F2F2"/>
          </w:tcPr>
          <w:p>
            <w:pPr/>
            <w:r>
              <w:t xml:space="preserve">Implementado hoy (notas)</w:t>
            </w:r>
          </w:p>
        </w:tc>
        <w:tc>
          <w:tcPr>
            <w:tcW w:w="2340" w:type="dxa"/>
            <w:shd w:val="clear" w:color="auto" w:fill="F2F2F2"/>
          </w:tcPr>
          <w:p>
            <w:pPr/>
            <w:r>
              <w:t xml:space="preserve">Queda abierto</w:t>
            </w:r>
          </w:p>
        </w:tc>
      </w:tr>
      <w:tr>
        <w:tc>
          <w:tcPr>
            <w:tcW w:w="2340" w:type="dxa"/>
          </w:tcPr>
          <w:p>
            <w:pPr/>
            <w:r>
              <w:t xml:space="preserve">Búsqueda</w:t>
            </w:r>
          </w:p>
        </w:tc>
        <w:tc>
          <w:tcPr>
            <w:tcW w:w="2340" w:type="dxa"/>
          </w:tcPr>
          <w:p>
            <w:pPr/>
            <w:r>
              <w:t xml:space="preserve">Por SKU, código de barras, código de origen, nombre, marca, categoría o presentación; filtro Familia → Subfamilia (SPEC RF-05, Catálogo §8.1)</w:t>
            </w:r>
          </w:p>
        </w:tc>
        <w:tc>
          <w:tcPr>
            <w:tcW w:w="2340" w:type="dxa"/>
          </w:tcPr>
          <w:p>
            <w:pPr/>
            <w:r>
              <w:t xml:space="preserve">Nombre o código interno, máx. 50 resultados. Sin código de barras: no hay ninguno cargado</w:t>
            </w:r>
          </w:p>
        </w:tc>
        <w:tc>
          <w:tcPr>
            <w:tcW w:w="2340" w:type="dxa"/>
          </w:tcPr>
          <w:p>
            <w:pPr/>
            <w:r>
              <w:t xml:space="preserve">Carga de códigos de barras reales; modelo de lector (D-14)</w:t>
            </w:r>
          </w:p>
        </w:tc>
      </w:tr>
      <w:tr>
        <w:tc>
          <w:tcPr>
            <w:tcW w:w="2340" w:type="dxa"/>
          </w:tcPr>
          <w:p>
            <w:pPr/>
            <w:r>
              <w:t xml:space="preserve">Escaneo</w:t>
            </w:r>
          </w:p>
        </w:tc>
        <w:tc>
          <w:tcPr>
            <w:tcW w:w="2340" w:type="dxa"/>
          </w:tcPr>
          <w:p>
            <w:pPr/>
            <w:r>
              <w:t xml:space="preserve">Reconocido: agrega SKU y presentación. No reconocido: informa, no crea, no toca stock (Catálogo §8.3)</w:t>
            </w:r>
          </w:p>
        </w:tc>
        <w:tc>
          <w:tcPr>
            <w:tcW w:w="2340" w:type="dxa"/>
          </w:tcPr>
          <w:p>
            <w:pPr/>
            <w:r>
              <w:t xml:space="preserve">No implementado</w:t>
            </w:r>
          </w:p>
        </w:tc>
        <w:tc>
          <w:tcPr>
            <w:tcW w:w="2340" w:type="dxa"/>
          </w:tcPr>
          <w:p>
            <w:pPr/>
            <w:r>
              <w:t xml:space="preserve">Quién vincula un código nuevo</w:t>
            </w:r>
          </w:p>
        </w:tc>
      </w:tr>
      <w:tr>
        <w:tc>
          <w:tcPr>
            <w:tcW w:w="2340" w:type="dxa"/>
          </w:tcPr>
          <w:p>
            <w:pPr/>
            <w:r>
              <w:t xml:space="preserve">Presentación</w:t>
            </w:r>
          </w:p>
        </w:tc>
        <w:tc>
          <w:tcPr>
            <w:tcW w:w="2340" w:type="dxa"/>
          </w:tcPr>
          <w:p>
            <w:pPr/>
            <w:r>
              <w:t xml:space="preserve">Cada línea registra la presentación vendida; sin conversión configurada no se calcula (D-08)</w:t>
            </w:r>
          </w:p>
        </w:tc>
        <w:tc>
          <w:tcPr>
            <w:tcW w:w="2340" w:type="dxa"/>
          </w:tcPr>
          <w:p>
            <w:pPr/>
            <w:r>
              <w:t xml:space="preserve">Venta por producto; los 4.342 productos tienen unidad base UNIDAD</w:t>
            </w:r>
          </w:p>
        </w:tc>
        <w:tc>
          <w:tcPr>
            <w:tcW w:w="2340" w:type="dxa"/>
          </w:tcPr>
          <w:p>
            <w:pPr/>
            <w:r>
              <w:t xml:space="preserve">Presentaciones reales</w:t>
            </w:r>
          </w:p>
        </w:tc>
      </w:tr>
      <w:tr>
        <w:tc>
          <w:tcPr>
            <w:tcW w:w="2340" w:type="dxa"/>
          </w:tcPr>
          <w:p>
            <w:pPr/>
            <w:r>
              <w:t xml:space="preserve">Producto repetido</w:t>
            </w:r>
          </w:p>
        </w:tc>
        <w:tc>
          <w:tcPr>
            <w:tcW w:w="2340" w:type="dxa"/>
          </w:tcPr>
          <w:p>
            <w:pPr/>
            <w:r>
              <w:t xml:space="preserve">Suma cantidad a la línea del mismo SKU</w:t>
            </w:r>
          </w:p>
        </w:tc>
        <w:tc>
          <w:tcPr>
            <w:tcW w:w="2340" w:type="dxa"/>
          </w:tcPr>
          <w:p>
            <w:pPr/>
            <w:r>
              <w:t xml:space="preserve">La pantalla suma 1 a la línea existente; la API no agrupa (C9)</w:t>
            </w:r>
          </w:p>
        </w:tc>
        <w:tc>
          <w:tcPr>
            <w:tcW w:w="2340" w:type="dxa"/>
          </w:tcPr>
          <w:p>
            <w:pPr/>
            <w:r>
              <w:t xml:space="preserve">Aprobación</w:t>
            </w:r>
          </w:p>
        </w:tc>
      </w:tr>
      <w:tr>
        <w:tc>
          <w:tcPr>
            <w:tcW w:w="2340" w:type="dxa"/>
          </w:tcPr>
          <w:p>
            <w:pPr/>
            <w:r>
              <w:t xml:space="preserve">Cantidad y stock</w:t>
            </w:r>
          </w:p>
        </w:tc>
        <w:tc>
          <w:tcPr>
            <w:tcW w:w="2340" w:type="dxa"/>
          </w:tcPr>
          <w:p>
            <w:pPr/>
            <w:r>
              <w:t xml:space="preserve">Stock nunca negativo; excepción solo con autorización (SPEC RF-11, INV-06)</w:t>
            </w:r>
          </w:p>
        </w:tc>
        <w:tc>
          <w:tcPr>
            <w:tcW w:w="2340" w:type="dxa"/>
          </w:tcPr>
          <w:p>
            <w:pPr/>
            <w:r>
              <w:t xml:space="preserve">Rechazo 400 y se revierte toda la venta; sin excepción posible</w:t>
            </w:r>
          </w:p>
        </w:tc>
        <w:tc>
          <w:tcPr>
            <w:tcW w:w="2340" w:type="dxa"/>
          </w:tcPr>
          <w:p>
            <w:pPr/>
            <w:r>
              <w:t xml:space="preserve">Si se habilita la excepción autorizada</w:t>
            </w:r>
          </w:p>
        </w:tc>
      </w:tr>
      <w:tr>
        <w:tc>
          <w:tcPr>
            <w:tcW w:w="2340" w:type="dxa"/>
          </w:tcPr>
          <w:p>
            <w:pPr/>
            <w:r>
              <w:t xml:space="preserve">Lote</w:t>
            </w:r>
          </w:p>
        </w:tc>
        <w:tc>
          <w:tcPr>
            <w:tcW w:w="2340" w:type="dxa"/>
          </w:tcPr>
          <w:p>
            <w:pPr/>
            <w:r>
              <w:t xml:space="preserve">Lote identificado por línea; vencido no se vende (D-09, INV-07)</w:t>
            </w:r>
          </w:p>
        </w:tc>
        <w:tc>
          <w:tcPr>
            <w:tcW w:w="2340" w:type="dxa"/>
          </w:tcPr>
          <w:p>
            <w:pPr/>
            <w:r>
              <w:t xml:space="preserve">Lote elegido automáticamente, el que vence antes primero. Vencido </w:t>
            </w:r>
            <w:r>
              <w:rPr>
                <w:b/>
              </w:rPr>
              <w:t xml:space="preserve">se vende</w:t>
            </w:r>
            <w:r>
              <w:t xml:space="preserve"> con advertencia y queda marcado</w:t>
            </w:r>
          </w:p>
        </w:tc>
        <w:tc>
          <w:tcPr>
            <w:tcW w:w="2340" w:type="dxa"/>
          </w:tcPr>
          <w:p>
            <w:pPr/>
            <w:r>
              <w:t xml:space="preserve">Contradicción SPEC vs decisión del dueño (hallazgo 3)</w:t>
            </w:r>
          </w:p>
        </w:tc>
      </w:tr>
      <w:tr>
        <w:tc>
          <w:tcPr>
            <w:tcW w:w="2340" w:type="dxa"/>
          </w:tcPr>
          <w:p>
            <w:pPr/>
            <w:r>
              <w:t xml:space="preserve">Cliente</w:t>
            </w:r>
          </w:p>
        </w:tc>
        <w:tc>
          <w:tcPr>
            <w:tcW w:w="2340" w:type="dxa"/>
          </w:tcPr>
          <w:p>
            <w:pPr/>
            <w:r>
              <w:t xml:space="preserve">Opcional; obligatorio para cuenta corriente o mayorista</w:t>
            </w:r>
          </w:p>
        </w:tc>
        <w:tc>
          <w:tcPr>
            <w:tcW w:w="2340" w:type="dxa"/>
          </w:tcPr>
          <w:p>
            <w:pPr/>
            <w:r>
              <w:t xml:space="preserve">Opcional, con buscador</w:t>
            </w:r>
          </w:p>
        </w:tc>
        <w:tc>
          <w:tcPr>
            <w:tcW w:w="2340" w:type="dxa"/>
          </w:tcPr>
          <w:p>
            <w:pPr/>
            <w:r>
              <w:t xml:space="preserve">Alta rápida desde Nueva venta</w:t>
            </w:r>
          </w:p>
        </w:tc>
      </w:tr>
      <w:tr>
        <w:tc>
          <w:tcPr>
            <w:tcW w:w="2340" w:type="dxa"/>
          </w:tcPr>
          <w:p>
            <w:pPr/>
            <w:r>
              <w:t xml:space="preserve">Precio</w:t>
            </w:r>
          </w:p>
        </w:tc>
        <w:tc>
          <w:tcPr>
            <w:tcW w:w="2340" w:type="dxa"/>
          </w:tcPr>
          <w:p>
            <w:pPr/>
            <w:r>
              <w:t xml:space="preserve">Minorista por defecto; mayorista por regla (D-01)</w:t>
            </w:r>
          </w:p>
        </w:tc>
        <w:tc>
          <w:tcPr>
            <w:tcW w:w="2340" w:type="dxa"/>
          </w:tcPr>
          <w:p>
            <w:pPr/>
            <w:r>
              <w:t xml:space="preserve">Siempre </w:t>
            </w:r>
            <w:r>
              <w:rPr>
                <w:rStyle w:val="CodeChar"/>
              </w:rPr>
              <w:t xml:space="preserve">precioMinorista</w:t>
            </w:r>
            <w:r>
              <w:t xml:space="preserve">, también en canal mayorista</w:t>
            </w:r>
          </w:p>
        </w:tc>
        <w:tc>
          <w:tcPr>
            <w:tcW w:w="2340" w:type="dxa"/>
          </w:tcPr>
          <w:p>
            <w:pPr/>
            <w:r>
              <w:t xml:space="preserve">Reglas mayoristas</w:t>
            </w:r>
          </w:p>
        </w:tc>
      </w:tr>
      <w:tr>
        <w:tc>
          <w:tcPr>
            <w:tcW w:w="2340" w:type="dxa"/>
          </w:tcPr>
          <w:p>
            <w:pPr/>
            <w:r>
              <w:t xml:space="preserve">Descuento automático</w:t>
            </w:r>
          </w:p>
        </w:tc>
        <w:tc>
          <w:tcPr>
            <w:tcW w:w="2340" w:type="dxa"/>
          </w:tcPr>
          <w:p>
            <w:pPr/>
            <w:r>
              <w:t xml:space="preserve">Configurado, sin autorización por venta (D-02)</w:t>
            </w:r>
          </w:p>
        </w:tc>
        <w:tc>
          <w:tcPr>
            <w:tcW w:w="2340" w:type="dxa"/>
          </w:tcPr>
          <w:p>
            <w:pPr/>
            <w:r>
              <w:t xml:space="preserve">Por nivel de fidelidad del cliente, calculado con el historial previo a la venta</w:t>
            </w:r>
          </w:p>
        </w:tc>
        <w:tc>
          <w:tcPr>
            <w:tcW w:w="2340" w:type="dxa"/>
          </w:tcPr>
          <w:p>
            <w:pPr/>
            <w:r>
              <w:t xml:space="preserve">—</w:t>
            </w:r>
          </w:p>
        </w:tc>
      </w:tr>
      <w:tr>
        <w:tc>
          <w:tcPr>
            <w:tcW w:w="2340" w:type="dxa"/>
          </w:tcPr>
          <w:p>
            <w:pPr/>
            <w:r>
              <w:t xml:space="preserve">Descuento manual</w:t>
            </w:r>
          </w:p>
        </w:tc>
        <w:tc>
          <w:tcPr>
            <w:tcW w:w="2340" w:type="dxa"/>
          </w:tcPr>
          <w:p>
            <w:pPr/>
            <w:r>
              <w:t xml:space="preserve">Fuera de regla: con autorización del dueño (SPEC §3.2)</w:t>
            </w:r>
          </w:p>
        </w:tc>
        <w:tc>
          <w:tcPr>
            <w:tcW w:w="2340" w:type="dxa"/>
          </w:tcPr>
          <w:p>
            <w:pPr/>
            <w:r>
              <w:t xml:space="preserve">Monto absoluto por línea, sin tope, sin permiso ni autorización; puede dejar la línea en negativo (C1, C2)</w:t>
            </w:r>
          </w:p>
        </w:tc>
        <w:tc>
          <w:tcPr>
            <w:tcW w:w="2340" w:type="dxa"/>
          </w:tcPr>
          <w:p>
            <w:pPr/>
            <w:r>
              <w:t xml:space="preserve">Tope, permiso y autorización</w:t>
            </w:r>
          </w:p>
        </w:tc>
      </w:tr>
      <w:tr>
        <w:tc>
          <w:tcPr>
            <w:tcW w:w="2340" w:type="dxa"/>
          </w:tcPr>
          <w:p>
            <w:pPr/>
            <w:r>
              <w:t xml:space="preserve">Venta vacía</w:t>
            </w:r>
          </w:p>
        </w:tc>
        <w:tc>
          <w:tcPr>
            <w:tcW w:w="2340" w:type="dxa"/>
          </w:tcPr>
          <w:p>
            <w:pPr/>
            <w:r>
              <w:t xml:space="preserve">Confirmar no disponible</w:t>
            </w:r>
          </w:p>
        </w:tc>
        <w:tc>
          <w:tcPr>
            <w:tcW w:w="2340" w:type="dxa"/>
          </w:tcPr>
          <w:p>
            <w:pPr/>
            <w:r>
              <w:t xml:space="preserve">La API exige al menos 1 ítem</w:t>
            </w:r>
          </w:p>
        </w:tc>
        <w:tc>
          <w:tcPr>
            <w:tcW w:w="2340" w:type="dxa"/>
          </w:tcPr>
          <w:p>
            <w:pPr/>
            <w:r>
              <w:t xml:space="preserve">—</w:t>
            </w:r>
          </w:p>
        </w:tc>
      </w:tr>
      <w:tr>
        <w:tc>
          <w:tcPr>
            <w:tcW w:w="2340" w:type="dxa"/>
          </w:tcPr>
          <w:p>
            <w:pPr/>
            <w:r>
              <w:t xml:space="preserve">Confirmación</w:t>
            </w:r>
          </w:p>
        </w:tc>
        <w:tc>
          <w:tcPr>
            <w:tcW w:w="2340" w:type="dxa"/>
          </w:tcPr>
          <w:p>
            <w:pPr/>
            <w:r>
              <w:t xml:space="preserve">Fija líneas, precios e importe; registra responsable; asigna número; inicia cobro</w:t>
            </w:r>
          </w:p>
        </w:tc>
        <w:tc>
          <w:tcPr>
            <w:tcW w:w="2340" w:type="dxa"/>
          </w:tcPr>
          <w:p>
            <w:pPr/>
            <w:r>
              <w:t xml:space="preserve">Congela precio, calcula total en servidor, descuenta stock</w:t>
            </w:r>
          </w:p>
        </w:tc>
        <w:tc>
          <w:tcPr>
            <w:tcW w:w="2340" w:type="dxa"/>
          </w:tcPr>
          <w:p>
            <w:pPr/>
            <w:r>
              <w:t xml:space="preserve">Número comercial: requiere campo nuevo en Venta (C22)</w:t>
            </w:r>
          </w:p>
        </w:tc>
      </w:tr>
      <w:tr>
        <w:tc>
          <w:tcPr>
            <w:tcW w:w="2340" w:type="dxa"/>
          </w:tcPr>
          <w:p>
            <w:pPr/>
            <w:r>
              <w:t xml:space="preserve">Redondeo</w:t>
            </w:r>
          </w:p>
        </w:tc>
        <w:tc>
          <w:tcPr>
            <w:tcW w:w="2340" w:type="dxa"/>
          </w:tcPr>
          <w:p>
            <w:pPr/>
            <w:r>
              <w:t xml:space="preserve">Importes a 2 decimales</w:t>
            </w:r>
          </w:p>
        </w:tc>
        <w:tc>
          <w:tcPr>
            <w:tcW w:w="2340" w:type="dxa"/>
          </w:tcPr>
          <w:p>
            <w:pPr/>
            <w:r>
              <w:t xml:space="preserve">Los precios tienen 3 decimales (ej. $1.674,746) y el total del POS también</w:t>
            </w:r>
          </w:p>
        </w:tc>
        <w:tc>
          <w:tcPr>
            <w:tcW w:w="2340" w:type="dxa"/>
          </w:tcPr>
          <w:p>
            <w:pPr/>
            <w:r>
              <w:t xml:space="preserve">Regla de redondeo del POS</w:t>
            </w:r>
          </w:p>
        </w:tc>
      </w:tr>
    </w:tbl>
    <w:p>
      <w:pPr/>
      <w:r>
        <w:t xml:space="preserve">Precio entre búsqueda y confirmación: la implementación ya aplica de hecho la </w:t>
      </w:r>
      <w:r>
        <w:rPr>
          <w:b/>
        </w:rPr>
        <w:t xml:space="preserve">alternativa A</w:t>
      </w:r>
      <w:r>
        <w:t xml:space="preserve"> (el servidor toma el precio vigente al confirmar y el del carrito es informativo); por eso la pantalla actual avisa que “el precio final lo confirma el servidor”. Lo que falta es que la SPEC la apruebe y definir qué ve el vendedor si el precio cambió:</w:t>
      </w:r>
    </w:p>
    <w:p>
      <w:pPr>
        <w:pStyle w:val="ListParagraph"/>
        <w:numPr>
          <w:ilvl w:val="0"/>
          <w:numId w:val="5"/>
        </w:numPr>
      </w:pPr>
      <w:r>
        <w:rPr>
          <w:b/>
        </w:rPr>
        <w:t xml:space="preserve">A (implementada).</w:t>
      </w:r>
      <w:r>
        <w:t xml:space="preserve"> El servidor recalcula y confirma con el precio vigente, sin avisar.</w:t>
      </w:r>
    </w:p>
    <w:p>
      <w:pPr>
        <w:pStyle w:val="ListParagraph"/>
        <w:numPr>
          <w:ilvl w:val="0"/>
          <w:numId w:val="5"/>
        </w:numPr>
      </w:pPr>
      <w:r>
        <w:rPr>
          <w:b/>
        </w:rPr>
        <w:t xml:space="preserve">B.</w:t>
      </w:r>
      <w:r>
        <w:t xml:space="preserve"> El servidor recalcula y rechaza si hay diferencia.</w:t>
      </w:r>
    </w:p>
    <w:p>
      <w:pPr>
        <w:pStyle w:val="ListParagraph"/>
        <w:numPr>
          <w:ilvl w:val="0"/>
          <w:numId w:val="5"/>
        </w:numPr>
      </w:pPr>
      <w:r>
        <w:rPr>
          <w:b/>
        </w:rPr>
        <w:t xml:space="preserve">C.</w:t>
      </w:r>
      <w:r>
        <w:t xml:space="preserve"> El sistema muestra la diferencia y pide confirmación al vendedor.</w:t>
      </w:r>
    </w:p>
    <w:p>
      <w:pPr>
        <w:pStyle w:val="ListParagraph"/>
        <w:numPr>
          <w:ilvl w:val="0"/>
          <w:numId w:val="5"/>
        </w:numPr>
      </w:pPr>
      <w:r>
        <w:rPr>
          <w:b/>
        </w:rPr>
        <w:t xml:space="preserve">D.</w:t>
      </w:r>
      <w:r>
        <w:t xml:space="preserve"> El precio queda congelado desde que se agrega al carrito.</w:t>
      </w:r>
    </w:p>
    <w:p>
      <w:pPr>
        <w:pStyle w:val="Heading2"/>
      </w:pPr>
      <w:r>
        <w:t xml:space="preserve">8. Cobro</w:t>
      </w:r>
    </w:p>
    <w:p>
      <w:pPr/>
      <w:r>
        <w:t xml:space="preserve">Una venta puede cobrarse con varios pagos de distinto medio y la suma debe cuadrar con el total (RF-05, RF-08, INV-05). El backend ya lo permite: se registran pagos sucesivos hasta saldo cero y nunca se excede el total (notas §12). El </w:t>
      </w:r>
      <w:r>
        <w:rPr>
          <w:b/>
        </w:rPr>
        <w:t xml:space="preserve">rediseño</w:t>
      </w:r>
      <w:r>
        <w:t xml:space="preserve"> propuesto, en cambio, solo deja elegir un medio por venta: si se implementa tal cual, retrocede respecto de lo que ya funciona.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Medio</w:t>
            </w:r>
          </w:p>
        </w:tc>
        <w:tc>
          <w:tcPr>
            <w:tcW w:w="2340" w:type="dxa"/>
            <w:shd w:val="clear" w:color="auto" w:fill="F2F2F2"/>
          </w:tcPr>
          <w:p>
            <w:pPr/>
            <w:r>
              <w:t xml:space="preserve">Rediseño propuesto</w:t>
            </w:r>
          </w:p>
        </w:tc>
        <w:tc>
          <w:tcPr>
            <w:tcW w:w="2340" w:type="dxa"/>
            <w:shd w:val="clear" w:color="auto" w:fill="F2F2F2"/>
          </w:tcPr>
          <w:p>
            <w:pPr/>
            <w:r>
              <w:t xml:space="preserve">Implementado hoy (notas)</w:t>
            </w:r>
          </w:p>
        </w:tc>
        <w:tc>
          <w:tcPr>
            <w:tcW w:w="2340" w:type="dxa"/>
            <w:shd w:val="clear" w:color="auto" w:fill="F2F2F2"/>
          </w:tcPr>
          <w:p>
            <w:pPr/>
            <w:r>
              <w:t xml:space="preserve">Verificación</w:t>
            </w:r>
          </w:p>
        </w:tc>
      </w:tr>
      <w:tr>
        <w:tc>
          <w:tcPr>
            <w:tcW w:w="2340" w:type="dxa"/>
          </w:tcPr>
          <w:p>
            <w:pPr/>
            <w:r>
              <w:t xml:space="preserve">Efectivo</w:t>
            </w:r>
          </w:p>
        </w:tc>
        <w:tc>
          <w:tcPr>
            <w:tcW w:w="2340" w:type="dxa"/>
          </w:tcPr>
          <w:p>
            <w:pPr/>
            <w:r>
              <w:t xml:space="preserve">Total, monto recibido, montos rápidos, vuelto</w:t>
            </w:r>
          </w:p>
        </w:tc>
        <w:tc>
          <w:tcPr>
            <w:tcW w:w="2340" w:type="dxa"/>
          </w:tcPr>
          <w:p>
            <w:pPr/>
            <w:r>
              <w:t xml:space="preserve">Pago APROBADO; movimiento de caja solo si hay caja abierta</w:t>
            </w:r>
          </w:p>
        </w:tc>
        <w:tc>
          <w:tcPr>
            <w:tcW w:w="2340" w:type="dxa"/>
          </w:tcPr>
          <w:p>
            <w:pPr/>
            <w:r>
              <w:t xml:space="preserve">Inmediata</w:t>
            </w:r>
          </w:p>
        </w:tc>
      </w:tr>
      <w:tr>
        <w:tc>
          <w:tcPr>
            <w:tcW w:w="2340" w:type="dxa"/>
          </w:tcPr>
          <w:p>
            <w:pPr/>
            <w:r>
              <w:t xml:space="preserve">Transferencia alias/CBU</w:t>
            </w:r>
          </w:p>
        </w:tc>
        <w:tc>
          <w:tcPr>
            <w:tcW w:w="2340" w:type="dxa"/>
          </w:tcPr>
          <w:p>
            <w:pPr/>
            <w:r>
              <w:t xml:space="preserve">Titular, alias, CBU/CVU, instrucciones</w:t>
            </w:r>
          </w:p>
        </w:tc>
        <w:tc>
          <w:tcPr>
            <w:tcW w:w="2340" w:type="dxa"/>
          </w:tcPr>
          <w:p>
            <w:pPr/>
            <w:r>
              <w:t xml:space="preserve">Pago APROBADO al registrarlo</w:t>
            </w:r>
          </w:p>
        </w:tc>
        <w:tc>
          <w:tcPr>
            <w:tcW w:w="2340" w:type="dxa"/>
          </w:tcPr>
          <w:p>
            <w:pPr/>
            <w:r>
              <w:t xml:space="preserve">Manual por el operador (D-04)</w:t>
            </w:r>
          </w:p>
        </w:tc>
      </w:tr>
      <w:tr>
        <w:tc>
          <w:tcPr>
            <w:tcW w:w="2340" w:type="dxa"/>
          </w:tcPr>
          <w:p>
            <w:pPr/>
            <w:r>
              <w:t xml:space="preserve">QR</w:t>
            </w:r>
          </w:p>
        </w:tc>
        <w:tc>
          <w:tcPr>
            <w:tcW w:w="2340" w:type="dxa"/>
          </w:tcPr>
          <w:p>
            <w:pPr/>
            <w:r>
              <w:t xml:space="preserve">QR, total, instrucciones</w:t>
            </w:r>
          </w:p>
        </w:tc>
        <w:tc>
          <w:tcPr>
            <w:tcW w:w="2340" w:type="dxa"/>
          </w:tcPr>
          <w:p>
            <w:pPr/>
            <w:r>
              <w:t xml:space="preserve">Pago APROBADO al registrarlo</w:t>
            </w:r>
          </w:p>
        </w:tc>
        <w:tc>
          <w:tcPr>
            <w:tcW w:w="2340" w:type="dxa"/>
          </w:tcPr>
          <w:p>
            <w:pPr/>
            <w:r>
              <w:t xml:space="preserve">Manual salvo QR integrado (D-04)</w:t>
            </w:r>
          </w:p>
        </w:tc>
      </w:tr>
      <w:tr>
        <w:tc>
          <w:tcPr>
            <w:tcW w:w="2340" w:type="dxa"/>
          </w:tcPr>
          <w:p>
            <w:pPr/>
            <w:r>
              <w:t xml:space="preserve">Mercado Pago</w:t>
            </w:r>
          </w:p>
        </w:tc>
        <w:tc>
          <w:tcPr>
            <w:tcW w:w="2340" w:type="dxa"/>
          </w:tcPr>
          <w:p>
            <w:pPr/>
            <w:r>
              <w:t xml:space="preserve">No existe</w:t>
            </w:r>
          </w:p>
        </w:tc>
        <w:tc>
          <w:tcPr>
            <w:tcW w:w="2340" w:type="dxa"/>
          </w:tcPr>
          <w:p>
            <w:pPr/>
            <w:r>
              <w:t xml:space="preserve">Rechazado por la API hasta definir D-03</w:t>
            </w:r>
          </w:p>
        </w:tc>
        <w:tc>
          <w:tcPr>
            <w:tcW w:w="2340" w:type="dxa"/>
          </w:tcPr>
          <w:p>
            <w:pPr/>
            <w:r>
              <w:t xml:space="preserve">Por la pasarela, nunca por el navegador (§6.2)</w:t>
            </w:r>
          </w:p>
        </w:tc>
      </w:tr>
      <w:tr>
        <w:tc>
          <w:tcPr>
            <w:tcW w:w="2340" w:type="dxa"/>
          </w:tcPr>
          <w:p>
            <w:pPr/>
            <w:r>
              <w:t xml:space="preserve">Cuenta corriente</w:t>
            </w:r>
          </w:p>
        </w:tc>
        <w:tc>
          <w:tcPr>
            <w:tcW w:w="2340" w:type="dxa"/>
          </w:tcPr>
          <w:p>
            <w:pPr/>
            <w:r>
              <w:t xml:space="preserve">No existe</w:t>
            </w:r>
          </w:p>
        </w:tc>
        <w:tc>
          <w:tcPr>
            <w:tcW w:w="2340" w:type="dxa"/>
          </w:tcPr>
          <w:p>
            <w:pPr/>
            <w:r>
              <w:t xml:space="preserve">No implementada: modelo </w:t>
            </w:r>
            <w:r>
              <w:rPr>
                <w:rStyle w:val="CodeChar"/>
              </w:rPr>
              <w:t xml:space="preserve">Deuda</w:t>
            </w:r>
            <w:r>
              <w:t xml:space="preserve"> sin uso</w:t>
            </w:r>
          </w:p>
        </w:tc>
        <w:tc>
          <w:tcPr>
            <w:tcW w:w="2340" w:type="dxa"/>
          </w:tcPr>
          <w:p>
            <w:pPr/>
            <w:r>
              <w:t xml:space="preserve">Requiere cliente y límite (RF-10)</w:t>
            </w:r>
          </w:p>
        </w:tc>
      </w:tr>
    </w:tbl>
    <w:p>
      <w:pPr/>
      <w:r>
        <w:t xml:space="preserve">En efectivo, el pago aplicado a la venta es el total, no el monto recibido: lo aplicado no puede exceder el importe (INV-04). El vuelto es un cálculo para el vendedor.</w:t>
      </w:r>
    </w:p>
    <w:p>
      <w:pPr>
        <w:pStyle w:val="Code"/>
      </w:pPr>
      <w:bookmarkStart w:id="6" w:name="bongo_lang_latex_6"/>
      <w:bookmarkEnd w:id="6"/>
      <w:r>
        <w:t xml:space="preserve">\text{Vuelto} = \text{Monto recibido} - \text{Importe aplicado en efectivo}</w:t>
      </w:r>
    </w:p>
    <w:p>
      <w:pPr/>
      <w:r>
        <w:t xml:space="preserve">Ejemplo de pago mixto sobre un total de $18.146,71: $10.000,00 por transferencia + $8.146,71 en efectivo; el cliente entrega $10.000,00 y recibe $1.853,29 de vuelto.</w:t>
      </w:r>
    </w:p>
    <w:p>
      <w:pPr/>
      <w:r>
        <w:t xml:space="preserve">Mostrar los datos de pago y verificar el ingreso son funciones distintas. Para medios no integrados la SPEC acepta el registro manual del operador (D-04): Confirmar pago en una transferencia es válido si queda asentado quién lo verificó y cuándo, y si el cobro entra en la conciliación (RF-08). La pantalla ya advierte “No confirmes la venta hasta verificar que el dinero haya ingresado”.</w:t>
      </w:r>
    </w:p>
    <w:p>
      <w:pPr/>
      <w:r>
        <w:t xml:space="preserve">Una venta cobrada debe comunicar dos cosas: venta FINALIZADA y pagos APROBADOS con saldo $0,00. Si queda saldo (crédito o pago parcial), la venta sigue visible en historial, cliente, caja y detalle.</w:t>
      </w:r>
    </w:p>
    <w:p>
      <w:pPr/>
      <w:r>
        <w:t xml:space="preserve">Cada pago guarda su origen (manual o adaptador) y, si viene de un proveedor como Mercado Pago, su identificador externo, para que una notificación repetida no genere un pago duplicado (D-03, D-04, INV-13). Cuando un cobro cancela deuda de cuenta corriente, su aplicación a cada deuda se registra explícitamente; sin regla definida, el sistema pide al dueño que elija (D-16).</w:t>
      </w:r>
    </w:p>
    <w:p>
      <w:pPr>
        <w:pStyle w:val="Heading2"/>
      </w:pPr>
      <w:r>
        <w:t xml:space="preserve">9. Finalización, comprobante e historial</w:t>
      </w:r>
    </w:p>
    <w:p>
      <w:pPr/>
      <w:r>
        <w:t xml:space="preserve">Al completar el cobro, el sistema muestra el resultado antes de habilitar la siguiente venta. La pantalla “¡Venta confirmada!” ya cubre número, fecha y hora, cliente, medio, estado, productos, totales y tres acciones. La SPEC exige además </w:t>
      </w:r>
      <w:r>
        <w:rPr>
          <w:b/>
        </w:rPr>
        <w:t xml:space="preserve">comprobante interno e impresión de ticket</w:t>
      </w:r>
      <w:r>
        <w:t xml:space="preserve"> (RF-05); no es factura fiscal, que queda fuera del MVP (§2.2). El modelo de impresora está pendiente (D-14).</w:t>
      </w:r>
    </w:p>
    <w:p>
      <w:pPr>
        <w:pStyle w:val="Code"/>
      </w:pPr>
      <w:bookmarkStart w:id="7" w:name="bongo_lang_mermaid_7"/>
      <w:bookmarkEnd w:id="7"/>
      <w:r>
        <w:t xml:space="preserve">flowchart LR</w:t>
        <w:br/>
        <w:t xml:space="preserve">    A[Confirmar pago] --&gt; B[Venta finalizada]</w:t>
        <w:br/>
        <w:t xml:space="preserve">    B --&gt; C[Resultado visible]</w:t>
        <w:br/>
        <w:t xml:space="preserve">    C --&gt; D[Venta persistida]</w:t>
        <w:br/>
        <w:t xml:space="preserve">    D --&gt; E[Nueva venta]</w:t>
        <w:br/>
        <w:t xml:space="preserve">    C --&gt; F[Ver venta]</w:t>
        <w:br/>
        <w:t xml:space="preserve">    C --&gt; G[Comprobante]</w:t>
      </w:r>
    </w:p>
    <w:p>
      <w:pPr/>
      <w:r>
        <w:t xml:space="preserve">Una venta finalizada debe seguir consultable sin depender de recordar su número ni de mantener abierta la pantalla.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Vista</w:t>
            </w:r>
          </w:p>
        </w:tc>
        <w:tc>
          <w:tcPr>
            <w:tcW w:w="4680" w:type="dxa"/>
            <w:shd w:val="clear" w:color="auto" w:fill="F2F2F2"/>
          </w:tcPr>
          <w:p>
            <w:pPr/>
            <w:r>
              <w:t xml:space="preserve">Contenido mínimo</w:t>
            </w:r>
          </w:p>
        </w:tc>
      </w:tr>
      <w:tr>
        <w:tc>
          <w:tcPr>
            <w:tcW w:w="4680" w:type="dxa"/>
          </w:tcPr>
          <w:p>
            <w:pPr/>
            <w:r>
              <w:t xml:space="preserve">Historial (lista)</w:t>
            </w:r>
          </w:p>
        </w:tc>
        <w:tc>
          <w:tcPr>
            <w:tcW w:w="4680" w:type="dxa"/>
          </w:tcPr>
          <w:p>
            <w:pPr/>
            <w:r>
              <w:t xml:space="preserve">Número, fecha/hora, cliente, total, estado de venta, saldo, medios de pago, usuario responsable</w:t>
            </w:r>
          </w:p>
        </w:tc>
      </w:tr>
      <w:tr>
        <w:tc>
          <w:tcPr>
            <w:tcW w:w="4680" w:type="dxa"/>
          </w:tcPr>
          <w:p>
            <w:pPr/>
            <w:r>
              <w:t xml:space="preserve">Detalle — cabecera</w:t>
            </w:r>
          </w:p>
        </w:tc>
        <w:tc>
          <w:tcPr>
            <w:tcW w:w="4680" w:type="dxa"/>
          </w:tcPr>
          <w:p>
            <w:pPr/>
            <w:r>
              <w:t xml:space="preserve">Número, fecha, cliente, usuario responsable, turno de caja</w:t>
            </w:r>
          </w:p>
        </w:tc>
      </w:tr>
      <w:tr>
        <w:tc>
          <w:tcPr>
            <w:tcW w:w="4680" w:type="dxa"/>
          </w:tcPr>
          <w:p>
            <w:pPr/>
            <w:r>
              <w:t xml:space="preserve">Detalle — productos</w:t>
            </w:r>
          </w:p>
        </w:tc>
        <w:tc>
          <w:tcPr>
            <w:tcW w:w="4680" w:type="dxa"/>
          </w:tcPr>
          <w:p>
            <w:pPr/>
            <w:r>
              <w:t xml:space="preserve">Líneas con SKU, presentación, lote si aplica, cantidad y precio al momento de la venta (INV-12, D-09); subtotal, descuentos, total</w:t>
            </w:r>
          </w:p>
        </w:tc>
      </w:tr>
      <w:tr>
        <w:tc>
          <w:tcPr>
            <w:tcW w:w="4680" w:type="dxa"/>
          </w:tcPr>
          <w:p>
            <w:pPr/>
            <w:r>
              <w:t xml:space="preserve">Detalle — cobro</w:t>
            </w:r>
          </w:p>
        </w:tc>
        <w:tc>
          <w:tcPr>
            <w:tcW w:w="4680" w:type="dxa"/>
          </w:tcPr>
          <w:p>
            <w:pPr/>
            <w:r>
              <w:t xml:space="preserve">Un renglón por pago: medio, importe, estado, operador; saldo pendiente</w:t>
            </w:r>
          </w:p>
        </w:tc>
      </w:tr>
      <w:tr>
        <w:tc>
          <w:tcPr>
            <w:tcW w:w="4680" w:type="dxa"/>
          </w:tcPr>
          <w:p>
            <w:pPr/>
            <w:r>
              <w:t xml:space="preserve">Detalle — trazabilidad</w:t>
            </w:r>
          </w:p>
        </w:tc>
        <w:tc>
          <w:tcPr>
            <w:tcW w:w="4680" w:type="dxa"/>
          </w:tcPr>
          <w:p>
            <w:pPr/>
            <w:r>
              <w:t xml:space="preserve">Creada, confirmada, cobrada; anulaciones y devoluciones vinculadas; autorizaciones del dueño (RF-16)</w:t>
            </w:r>
          </w:p>
        </w:tc>
      </w:tr>
    </w:tbl>
    <w:p>
      <w:pPr/>
      <w:r>
        <w:t xml:space="preserve">La venta nunca se elimina (INV-02): corregir una venta confirmada es anularla o devolverla con una operación vinculada, autorizada y auditada.</w:t>
      </w:r>
    </w:p>
    <w:p>
      <w:pPr>
        <w:pStyle w:val="Heading2"/>
      </w:pPr>
      <w:r>
        <w:t xml:space="preserve">10. Integraciones</w:t>
      </w:r>
    </w:p>
    <w:p>
      <w:pPr/>
      <w:r>
        <w:t xml:space="preserve">La venta produce efectos en cinco dominios. La SPEC general fija la mayoría de las reglas; lo que queda abierto es sobre todo el momento en que ocurre cada efecto.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Dominio</w:t>
            </w:r>
          </w:p>
        </w:tc>
        <w:tc>
          <w:tcPr>
            <w:tcW w:w="2340" w:type="dxa"/>
            <w:shd w:val="clear" w:color="auto" w:fill="F2F2F2"/>
          </w:tcPr>
          <w:p>
            <w:pPr/>
            <w:r>
              <w:t xml:space="preserve">Qué fija la SPEC</w:t>
            </w:r>
          </w:p>
        </w:tc>
        <w:tc>
          <w:tcPr>
            <w:tcW w:w="2340" w:type="dxa"/>
            <w:shd w:val="clear" w:color="auto" w:fill="F2F2F2"/>
          </w:tcPr>
          <w:p>
            <w:pPr/>
            <w:r>
              <w:t xml:space="preserve">Implementado hoy (notas)</w:t>
            </w:r>
          </w:p>
        </w:tc>
        <w:tc>
          <w:tcPr>
            <w:tcW w:w="2340" w:type="dxa"/>
            <w:shd w:val="clear" w:color="auto" w:fill="F2F2F2"/>
          </w:tcPr>
          <w:p>
            <w:pPr/>
            <w:r>
              <w:t xml:space="preserve">Decisión abierta</w:t>
            </w:r>
          </w:p>
        </w:tc>
      </w:tr>
      <w:tr>
        <w:tc>
          <w:tcPr>
            <w:tcW w:w="2340" w:type="dxa"/>
          </w:tcPr>
          <w:p>
            <w:pPr/>
            <w:r>
              <w:t xml:space="preserve">Inventario</w:t>
            </w:r>
          </w:p>
        </w:tc>
        <w:tc>
          <w:tcPr>
            <w:tcW w:w="2340" w:type="dxa"/>
          </w:tcPr>
          <w:p>
            <w:pPr/>
            <w:r>
              <w:t xml:space="preserve">Stock actualizado por ventas; movimientos inmutables y compensatorios (RF-11); nunca negativo (INV-06)</w:t>
            </w:r>
          </w:p>
        </w:tc>
        <w:tc>
          <w:tcPr>
            <w:tcW w:w="2340" w:type="dxa"/>
          </w:tcPr>
          <w:p>
            <w:pPr/>
            <w:r>
              <w:t xml:space="preserve">Descuento al </w:t>
            </w:r>
            <w:r>
              <w:rPr>
                <w:b/>
              </w:rPr>
              <w:t xml:space="preserve">confirmar la venta</w:t>
            </w:r>
            <w:r>
              <w:t xml:space="preserve"> (opción A), por lotes, con movimiento “Salida / Venta” que referencia la venta. Único mecanismo de descuento, compartido con pedidos online</w:t>
            </w:r>
          </w:p>
        </w:tc>
        <w:tc>
          <w:tcPr>
            <w:tcW w:w="2340" w:type="dxa"/>
          </w:tcPr>
          <w:p>
            <w:pPr/>
            <w:r>
              <w:t xml:space="preserve">Aprobar la opción A en la SPEC; qué pasa con el stock de una venta que nunca se cobra</w:t>
            </w:r>
          </w:p>
        </w:tc>
      </w:tr>
      <w:tr>
        <w:tc>
          <w:tcPr>
            <w:tcW w:w="2340" w:type="dxa"/>
          </w:tcPr>
          <w:p>
            <w:pPr/>
            <w:r>
              <w:t xml:space="preserve">Caja</w:t>
            </w:r>
          </w:p>
        </w:tc>
        <w:tc>
          <w:tcPr>
            <w:tcW w:w="2340" w:type="dxa"/>
          </w:tcPr>
          <w:p>
            <w:pPr/>
            <w:r>
              <w:t xml:space="preserve">Cobros de ventas separados de deudas, gastos y fondo fijo (RF-09)</w:t>
            </w:r>
          </w:p>
        </w:tc>
        <w:tc>
          <w:tcPr>
            <w:tcW w:w="2340" w:type="dxa"/>
          </w:tcPr>
          <w:p>
            <w:pPr/>
            <w:r>
              <w:t xml:space="preserve">Movimiento “Venta” por cada pago en efectivo, solo con caja abierta. El arqueo suma esos movimientos</w:t>
            </w:r>
          </w:p>
        </w:tc>
        <w:tc>
          <w:tcPr>
            <w:tcW w:w="2340" w:type="dxa"/>
          </w:tcPr>
          <w:p>
            <w:pPr/>
            <w:r>
              <w:t xml:space="preserve">Si se bloquea vender o cobrar efectivo con la caja cerrada</w:t>
            </w:r>
          </w:p>
        </w:tc>
      </w:tr>
      <w:tr>
        <w:tc>
          <w:tcPr>
            <w:tcW w:w="2340" w:type="dxa"/>
          </w:tcPr>
          <w:p>
            <w:pPr/>
            <w:r>
              <w:t xml:space="preserve">Clientes</w:t>
            </w:r>
          </w:p>
        </w:tc>
        <w:tc>
          <w:tcPr>
            <w:tcW w:w="2340" w:type="dxa"/>
          </w:tcPr>
          <w:p>
            <w:pPr/>
            <w:r>
              <w:t xml:space="preserve">Cuenta corriente con límite y plazo (RF-10); imputación explícita (D-16)</w:t>
            </w:r>
          </w:p>
        </w:tc>
        <w:tc>
          <w:tcPr>
            <w:tcW w:w="2340" w:type="dxa"/>
          </w:tcPr>
          <w:p>
            <w:pPr/>
            <w:r>
              <w:t xml:space="preserve">Cliente opcional; nivel de fidelidad calculado con ventas y pedidos confirmados. Sin cuenta corriente</w:t>
            </w:r>
          </w:p>
        </w:tc>
        <w:tc>
          <w:tcPr>
            <w:tcW w:w="2340" w:type="dxa"/>
          </w:tcPr>
          <w:p>
            <w:pPr/>
            <w:r>
              <w:t xml:space="preserve">Cuándo se implementa RF-10</w:t>
            </w:r>
          </w:p>
        </w:tc>
      </w:tr>
      <w:tr>
        <w:tc>
          <w:tcPr>
            <w:tcW w:w="2340" w:type="dxa"/>
          </w:tcPr>
          <w:p>
            <w:pPr/>
            <w:r>
              <w:t xml:space="preserve">Reportes</w:t>
            </w:r>
          </w:p>
        </w:tc>
        <w:tc>
          <w:tcPr>
            <w:tcW w:w="2340" w:type="dxa"/>
          </w:tcPr>
          <w:p>
            <w:pPr/>
            <w:r>
              <w:t xml:space="preserve">Ventas, caja, stock, deudas; conciliación (RF-15)</w:t>
            </w:r>
          </w:p>
        </w:tc>
        <w:tc>
          <w:tcPr>
            <w:tcW w:w="2340" w:type="dxa"/>
          </w:tcPr>
          <w:p>
            <w:pPr/>
            <w:r>
              <w:t xml:space="preserve">Deben sumar </w:t>
            </w:r>
            <w:r>
              <w:rPr>
                <w:rStyle w:val="CodeChar"/>
              </w:rPr>
              <w:t xml:space="preserve">Venta</w:t>
            </w:r>
            <w:r>
              <w:t xml:space="preserve"> (POS) y </w:t>
            </w:r>
            <w:r>
              <w:rPr>
                <w:rStyle w:val="CodeChar"/>
              </w:rPr>
              <w:t xml:space="preserve">Pedido</w:t>
            </w:r>
            <w:r>
              <w:t xml:space="preserve"> confirmado (online), que son modelos distintos. Costo = precio como placeholder en todo el catálogo</w:t>
            </w:r>
          </w:p>
        </w:tc>
        <w:tc>
          <w:tcPr>
            <w:tcW w:w="2340" w:type="dxa"/>
          </w:tcPr>
          <w:p>
            <w:pPr/>
            <w:r>
              <w:t xml:space="preserve">Ganancias bloqueadas hasta D-18 y costos reales</w:t>
            </w:r>
          </w:p>
        </w:tc>
      </w:tr>
      <w:tr>
        <w:tc>
          <w:tcPr>
            <w:tcW w:w="2340" w:type="dxa"/>
          </w:tcPr>
          <w:p>
            <w:pPr/>
            <w:r>
              <w:t xml:space="preserve">Auditoría</w:t>
            </w:r>
          </w:p>
        </w:tc>
        <w:tc>
          <w:tcPr>
            <w:tcW w:w="2340" w:type="dxa"/>
          </w:tcPr>
          <w:p>
            <w:pPr/>
            <w:r>
              <w:t xml:space="preserve">Registro de ventas, cobros, anulaciones y autorizaciones (RF-16)</w:t>
            </w:r>
          </w:p>
        </w:tc>
        <w:tc>
          <w:tcPr>
            <w:tcW w:w="2340" w:type="dxa"/>
          </w:tcPr>
          <w:p>
            <w:pPr/>
            <w:r>
              <w:t xml:space="preserve">Autorizaciones con trazabilidad completa; </w:t>
            </w:r>
            <w:r>
              <w:rPr>
                <w:rStyle w:val="CodeChar"/>
              </w:rPr>
              <w:t xml:space="preserve">AuditLog</w:t>
            </w:r>
            <w:r>
              <w:t xml:space="preserve"> modelado</w:t>
            </w:r>
          </w:p>
        </w:tc>
        <w:tc>
          <w:tcPr>
            <w:tcW w:w="2340" w:type="dxa"/>
          </w:tcPr>
          <w:p>
            <w:pPr/>
            <w:r>
              <w:t xml:space="preserve">Cobertura de auditoría en ventas</w:t>
            </w:r>
          </w:p>
        </w:tc>
      </w:tr>
    </w:tbl>
    <w:p>
      <w:pPr/>
      <w:r>
        <w:t xml:space="preserve">El dashboard debe consumir datos consolidados del módulo, no duplicar la lógica de cálculo. Tiene que responder: cuánto vendí, cuántas operaciones hice, cuál fue el ticket promedio, qué productos vendí y cómo evolucionaron las ventas.</w:t>
      </w:r>
    </w:p>
    <w:p>
      <w:pPr>
        <w:pStyle w:val="Heading2"/>
      </w:pPr>
      <w:r>
        <w:t xml:space="preserve">11. Requisitos funcionales</w:t>
      </w:r>
    </w:p>
    <w:p>
      <w:pPr/>
      <w:r>
        <w:t xml:space="preserve">34 requisitos propuestos, cada uno trazado a la SPEC general o a sus complementarios. Los 23 originales conservan su ID; los 8 que exige la SPEC general van de RF-VTA-24 a 31, y los 3 que agregan los complementarios, de RF-VTA-32 a 34. Ningún ID es canónico hasta incorporarse al sistema documental.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Requisito</w:t>
            </w:r>
          </w:p>
        </w:tc>
        <w:tc>
          <w:tcPr>
            <w:tcW w:w="1560" w:type="dxa"/>
            <w:shd w:val="clear" w:color="auto" w:fill="F2F2F2"/>
          </w:tcPr>
          <w:p>
            <w:pPr/>
            <w:r>
              <w:t xml:space="preserve">Fuente</w:t>
            </w:r>
          </w:p>
        </w:tc>
        <w:tc>
          <w:tcPr>
            <w:tcW w:w="1560" w:type="dxa"/>
            <w:shd w:val="clear" w:color="auto" w:fill="F2F2F2"/>
          </w:tcPr>
          <w:p>
            <w:pPr/>
            <w:r>
              <w:t xml:space="preserve">Implementado (notas)</w:t>
            </w:r>
          </w:p>
        </w:tc>
        <w:tc>
          <w:tcPr>
            <w:tcW w:w="1560" w:type="dxa"/>
            <w:shd w:val="clear" w:color="auto" w:fill="F2F2F2"/>
          </w:tcPr>
          <w:p>
            <w:pPr/>
            <w:r>
              <w:t xml:space="preserve">Rediseño</w:t>
            </w:r>
          </w:p>
        </w:tc>
        <w:tc>
          <w:tcPr>
            <w:tcW w:w="1560" w:type="dxa"/>
            <w:shd w:val="clear" w:color="auto" w:fill="F2F2F2"/>
          </w:tcPr>
          <w:p>
            <w:pPr/>
            <w:r>
              <w:t xml:space="preserve">Criterio de aceptación (borrador)</w:t>
            </w:r>
          </w:p>
        </w:tc>
      </w:tr>
      <w:tr>
        <w:tc>
          <w:tcPr>
            <w:tcW w:w="1560" w:type="dxa"/>
          </w:tcPr>
          <w:p>
            <w:pPr/>
            <w:r>
              <w:t xml:space="preserve">RF-VTA-01</w:t>
            </w:r>
          </w:p>
        </w:tc>
        <w:tc>
          <w:tcPr>
            <w:tcW w:w="1560" w:type="dxa"/>
          </w:tcPr>
          <w:p>
            <w:pPr/>
            <w:r>
              <w:t xml:space="preserve">Iniciar una nueva venta</w:t>
            </w:r>
          </w:p>
        </w:tc>
        <w:tc>
          <w:tcPr>
            <w:tcW w:w="1560" w:type="dxa"/>
          </w:tcPr>
          <w:p>
            <w:pPr/>
            <w:r>
              <w:t xml:space="preserve">RF-05</w:t>
            </w:r>
          </w:p>
        </w:tc>
        <w:tc>
          <w:tcPr>
            <w:tcW w:w="1560" w:type="dxa"/>
          </w:tcPr>
          <w:p>
            <w:pPr/>
            <w:r>
              <w:t xml:space="preserve">Sí</w:t>
            </w:r>
          </w:p>
        </w:tc>
        <w:tc>
          <w:tcPr>
            <w:tcW w:w="1560" w:type="dxa"/>
          </w:tcPr>
          <w:p>
            <w:pPr/>
            <w:r>
              <w:t xml:space="preserve">Sí</w:t>
            </w:r>
          </w:p>
        </w:tc>
        <w:tc>
          <w:tcPr>
            <w:tcW w:w="1560" w:type="dxa"/>
          </w:tcPr>
          <w:p>
            <w:pPr/>
            <w:r>
              <w:t xml:space="preserve">Carrito vacío con total $0,00</w:t>
            </w:r>
          </w:p>
        </w:tc>
      </w:tr>
      <w:tr>
        <w:tc>
          <w:tcPr>
            <w:tcW w:w="1560" w:type="dxa"/>
          </w:tcPr>
          <w:p>
            <w:pPr/>
            <w:r>
              <w:t xml:space="preserve">RF-VTA-02</w:t>
            </w:r>
          </w:p>
        </w:tc>
        <w:tc>
          <w:tcPr>
            <w:tcW w:w="1560" w:type="dxa"/>
          </w:tcPr>
          <w:p>
            <w:pPr/>
            <w:r>
              <w:t xml:space="preserve">Buscar por nombre o código</w:t>
            </w:r>
          </w:p>
        </w:tc>
        <w:tc>
          <w:tcPr>
            <w:tcW w:w="1560" w:type="dxa"/>
          </w:tcPr>
          <w:p>
            <w:pPr/>
            <w:r>
              <w:t xml:space="preserve">RF-05</w:t>
            </w:r>
          </w:p>
        </w:tc>
        <w:tc>
          <w:tcPr>
            <w:tcW w:w="1560" w:type="dxa"/>
          </w:tcPr>
          <w:p>
            <w:pPr/>
            <w:r>
              <w:t xml:space="preserve">Sí (máx. 50)</w:t>
            </w:r>
          </w:p>
        </w:tc>
        <w:tc>
          <w:tcPr>
            <w:tcW w:w="1560" w:type="dxa"/>
          </w:tcPr>
          <w:p>
            <w:pPr/>
            <w:r>
              <w:t xml:space="preserve">Sí</w:t>
            </w:r>
          </w:p>
        </w:tc>
        <w:tc>
          <w:tcPr>
            <w:tcW w:w="1560" w:type="dxa"/>
          </w:tcPr>
          <w:p>
            <w:pPr/>
            <w:r>
              <w:t xml:space="preserve">“lay” devuelve productos que lo contienen</w:t>
            </w:r>
          </w:p>
        </w:tc>
      </w:tr>
      <w:tr>
        <w:tc>
          <w:tcPr>
            <w:tcW w:w="1560" w:type="dxa"/>
          </w:tcPr>
          <w:p>
            <w:pPr/>
            <w:r>
              <w:t xml:space="preserve">RF-VTA-03</w:t>
            </w:r>
          </w:p>
        </w:tc>
        <w:tc>
          <w:tcPr>
            <w:tcW w:w="1560" w:type="dxa"/>
          </w:tcPr>
          <w:p>
            <w:pPr/>
            <w:r>
              <w:t xml:space="preserve">Agregar productos</w:t>
            </w:r>
          </w:p>
        </w:tc>
        <w:tc>
          <w:tcPr>
            <w:tcW w:w="1560" w:type="dxa"/>
          </w:tcPr>
          <w:p>
            <w:pPr/>
            <w:r>
              <w:t xml:space="preserve">RF-05</w:t>
            </w:r>
          </w:p>
        </w:tc>
        <w:tc>
          <w:tcPr>
            <w:tcW w:w="1560" w:type="dxa"/>
          </w:tcPr>
          <w:p>
            <w:pPr/>
            <w:r>
              <w:t xml:space="preserve">Sí</w:t>
            </w:r>
          </w:p>
        </w:tc>
        <w:tc>
          <w:tcPr>
            <w:tcW w:w="1560" w:type="dxa"/>
          </w:tcPr>
          <w:p>
            <w:pPr/>
            <w:r>
              <w:t xml:space="preserve">Sí</w:t>
            </w:r>
          </w:p>
        </w:tc>
        <w:tc>
          <w:tcPr>
            <w:tcW w:w="1560" w:type="dxa"/>
          </w:tcPr>
          <w:p>
            <w:pPr/>
            <w:r>
              <w:t xml:space="preserve">Crea la línea con cantidad 1</w:t>
            </w:r>
          </w:p>
        </w:tc>
      </w:tr>
      <w:tr>
        <w:tc>
          <w:tcPr>
            <w:tcW w:w="1560" w:type="dxa"/>
          </w:tcPr>
          <w:p>
            <w:pPr/>
            <w:r>
              <w:t xml:space="preserve">RF-VTA-04</w:t>
            </w:r>
          </w:p>
        </w:tc>
        <w:tc>
          <w:tcPr>
            <w:tcW w:w="1560" w:type="dxa"/>
          </w:tcPr>
          <w:p>
            <w:pPr/>
            <w:r>
              <w:t xml:space="preserve">Modificar cantidades</w:t>
            </w:r>
          </w:p>
        </w:tc>
        <w:tc>
          <w:tcPr>
            <w:tcW w:w="1560" w:type="dxa"/>
          </w:tcPr>
          <w:p>
            <w:pPr/>
            <w:r>
              <w:t xml:space="preserve">RF-05</w:t>
            </w:r>
          </w:p>
        </w:tc>
        <w:tc>
          <w:tcPr>
            <w:tcW w:w="1560" w:type="dxa"/>
          </w:tcPr>
          <w:p>
            <w:pPr/>
            <w:r>
              <w:t xml:space="preserve">Sí</w:t>
            </w:r>
          </w:p>
        </w:tc>
        <w:tc>
          <w:tcPr>
            <w:tcW w:w="1560" w:type="dxa"/>
          </w:tcPr>
          <w:p>
            <w:pPr/>
            <w:r>
              <w:t xml:space="preserve">Sí</w:t>
            </w:r>
          </w:p>
        </w:tc>
        <w:tc>
          <w:tcPr>
            <w:tcW w:w="1560" w:type="dxa"/>
          </w:tcPr>
          <w:p>
            <w:pPr/>
            <w:r>
              <w:t xml:space="preserve">+ / − recalculan subtotal y total</w:t>
            </w:r>
          </w:p>
        </w:tc>
      </w:tr>
      <w:tr>
        <w:tc>
          <w:tcPr>
            <w:tcW w:w="1560" w:type="dxa"/>
          </w:tcPr>
          <w:p>
            <w:pPr/>
            <w:r>
              <w:t xml:space="preserve">RF-VTA-05</w:t>
            </w:r>
          </w:p>
        </w:tc>
        <w:tc>
          <w:tcPr>
            <w:tcW w:w="1560" w:type="dxa"/>
          </w:tcPr>
          <w:p>
            <w:pPr/>
            <w:r>
              <w:t xml:space="preserve">Quitar productos antes de confirmar</w:t>
            </w:r>
          </w:p>
        </w:tc>
        <w:tc>
          <w:tcPr>
            <w:tcW w:w="1560" w:type="dxa"/>
          </w:tcPr>
          <w:p>
            <w:pPr/>
            <w:r>
              <w:t xml:space="preserve">—</w:t>
            </w:r>
          </w:p>
        </w:tc>
        <w:tc>
          <w:tcPr>
            <w:tcW w:w="1560" w:type="dxa"/>
          </w:tcPr>
          <w:p>
            <w:pPr/>
            <w:r>
              <w:t xml:space="preserve">Sí</w:t>
            </w:r>
          </w:p>
        </w:tc>
        <w:tc>
          <w:tcPr>
            <w:tcW w:w="1560" w:type="dxa"/>
          </w:tcPr>
          <w:p>
            <w:pPr/>
            <w:r>
              <w:t xml:space="preserve">Sí</w:t>
            </w:r>
          </w:p>
        </w:tc>
        <w:tc>
          <w:tcPr>
            <w:tcW w:w="1560" w:type="dxa"/>
          </w:tcPr>
          <w:p>
            <w:pPr/>
            <w:r>
              <w:t xml:space="preserve">La línea desaparece y el total se recalcula</w:t>
            </w:r>
          </w:p>
        </w:tc>
      </w:tr>
      <w:tr>
        <w:tc>
          <w:tcPr>
            <w:tcW w:w="1560" w:type="dxa"/>
          </w:tcPr>
          <w:p>
            <w:pPr/>
            <w:r>
              <w:t xml:space="preserve">RF-VTA-06</w:t>
            </w:r>
          </w:p>
        </w:tc>
        <w:tc>
          <w:tcPr>
            <w:tcW w:w="1560" w:type="dxa"/>
          </w:tcPr>
          <w:p>
            <w:pPr/>
            <w:r>
              <w:t xml:space="preserve">Subtotal por línea</w:t>
            </w:r>
          </w:p>
        </w:tc>
        <w:tc>
          <w:tcPr>
            <w:tcW w:w="1560" w:type="dxa"/>
          </w:tcPr>
          <w:p>
            <w:pPr/>
            <w:r>
              <w:t xml:space="preserve">RF-05</w:t>
            </w:r>
          </w:p>
        </w:tc>
        <w:tc>
          <w:tcPr>
            <w:tcW w:w="1560" w:type="dxa"/>
          </w:tcPr>
          <w:p>
            <w:pPr/>
            <w:r>
              <w:t xml:space="preserve">Sí</w:t>
            </w:r>
          </w:p>
        </w:tc>
        <w:tc>
          <w:tcPr>
            <w:tcW w:w="1560" w:type="dxa"/>
          </w:tcPr>
          <w:p>
            <w:pPr/>
            <w:r>
              <w:t xml:space="preserve">Sí</w:t>
            </w:r>
          </w:p>
        </w:tc>
        <w:tc>
          <w:tcPr>
            <w:tcW w:w="1560" w:type="dxa"/>
          </w:tcPr>
          <w:p>
            <w:pPr/>
            <w:r>
              <w:t xml:space="preserve">Subtotal = unitario × cantidad</w:t>
            </w:r>
          </w:p>
        </w:tc>
      </w:tr>
      <w:tr>
        <w:tc>
          <w:tcPr>
            <w:tcW w:w="1560" w:type="dxa"/>
          </w:tcPr>
          <w:p>
            <w:pPr/>
            <w:r>
              <w:t xml:space="preserve">RF-VTA-07</w:t>
            </w:r>
          </w:p>
        </w:tc>
        <w:tc>
          <w:tcPr>
            <w:tcW w:w="1560" w:type="dxa"/>
          </w:tcPr>
          <w:p>
            <w:pPr/>
            <w:r>
              <w:t xml:space="preserve">Total de la venta</w:t>
            </w:r>
          </w:p>
        </w:tc>
        <w:tc>
          <w:tcPr>
            <w:tcW w:w="1560" w:type="dxa"/>
          </w:tcPr>
          <w:p>
            <w:pPr/>
            <w:r>
              <w:t xml:space="preserve">RF-05</w:t>
            </w:r>
          </w:p>
        </w:tc>
        <w:tc>
          <w:tcPr>
            <w:tcW w:w="1560" w:type="dxa"/>
          </w:tcPr>
          <w:p>
            <w:pPr/>
            <w:r>
              <w:t xml:space="preserve">Sí, en servidor</w:t>
            </w:r>
          </w:p>
        </w:tc>
        <w:tc>
          <w:tcPr>
            <w:tcW w:w="1560" w:type="dxa"/>
          </w:tcPr>
          <w:p>
            <w:pPr/>
            <w:r>
              <w:t xml:space="preserve">Con error</w:t>
            </w:r>
          </w:p>
        </w:tc>
        <w:tc>
          <w:tcPr>
            <w:tcW w:w="1560" w:type="dxa"/>
          </w:tcPr>
          <w:p>
            <w:pPr/>
            <w:r>
              <w:t xml:space="preserve">Total = suma exacta de las líneas</w:t>
            </w:r>
          </w:p>
        </w:tc>
      </w:tr>
      <w:tr>
        <w:tc>
          <w:tcPr>
            <w:tcW w:w="1560" w:type="dxa"/>
          </w:tcPr>
          <w:p>
            <w:pPr/>
            <w:r>
              <w:t xml:space="preserve">RF-VTA-08</w:t>
            </w:r>
          </w:p>
        </w:tc>
        <w:tc>
          <w:tcPr>
            <w:tcW w:w="1560" w:type="dxa"/>
          </w:tcPr>
          <w:p>
            <w:pPr/>
            <w:r>
              <w:t xml:space="preserve">Impedir confirmar sin productos</w:t>
            </w:r>
          </w:p>
        </w:tc>
        <w:tc>
          <w:tcPr>
            <w:tcW w:w="1560" w:type="dxa"/>
          </w:tcPr>
          <w:p>
            <w:pPr/>
            <w:r>
              <w:t xml:space="preserve">—</w:t>
            </w:r>
          </w:p>
        </w:tc>
        <w:tc>
          <w:tcPr>
            <w:tcW w:w="1560" w:type="dxa"/>
          </w:tcPr>
          <w:p>
            <w:pPr/>
            <w:r>
              <w:t xml:space="preserve">Sí</w:t>
            </w:r>
          </w:p>
        </w:tc>
        <w:tc>
          <w:tcPr>
            <w:tcW w:w="1560" w:type="dxa"/>
          </w:tcPr>
          <w:p>
            <w:pPr/>
            <w:r>
              <w:t xml:space="preserve">Sí</w:t>
            </w:r>
          </w:p>
        </w:tc>
        <w:tc>
          <w:tcPr>
            <w:tcW w:w="1560" w:type="dxa"/>
          </w:tcPr>
          <w:p>
            <w:pPr/>
            <w:r>
              <w:t xml:space="preserve">0 líneas: no se confirma</w:t>
            </w:r>
          </w:p>
        </w:tc>
      </w:tr>
      <w:tr>
        <w:tc>
          <w:tcPr>
            <w:tcW w:w="1560" w:type="dxa"/>
          </w:tcPr>
          <w:p>
            <w:pPr/>
            <w:r>
              <w:t xml:space="preserve">RF-VTA-09</w:t>
            </w:r>
          </w:p>
        </w:tc>
        <w:tc>
          <w:tcPr>
            <w:tcW w:w="1560" w:type="dxa"/>
          </w:tcPr>
          <w:p>
            <w:pPr/>
            <w:r>
              <w:t xml:space="preserve">Cliente opcional</w:t>
            </w:r>
          </w:p>
        </w:tc>
        <w:tc>
          <w:tcPr>
            <w:tcW w:w="1560" w:type="dxa"/>
          </w:tcPr>
          <w:p>
            <w:pPr/>
            <w:r>
              <w:t xml:space="preserve">RF-05, RF-10</w:t>
            </w:r>
          </w:p>
        </w:tc>
        <w:tc>
          <w:tcPr>
            <w:tcW w:w="1560" w:type="dxa"/>
          </w:tcPr>
          <w:p>
            <w:pPr/>
            <w:r>
              <w:t xml:space="preserve">Sí</w:t>
            </w:r>
          </w:p>
        </w:tc>
        <w:tc>
          <w:tcPr>
            <w:tcW w:w="1560" w:type="dxa"/>
          </w:tcPr>
          <w:p>
            <w:pPr/>
            <w:r>
              <w:t xml:space="preserve">Sí</w:t>
            </w:r>
          </w:p>
        </w:tc>
        <w:tc>
          <w:tcPr>
            <w:tcW w:w="1560" w:type="dxa"/>
          </w:tcPr>
          <w:p>
            <w:pPr/>
            <w:r>
              <w:t xml:space="preserve">Sin cliente: Consumidor final</w:t>
            </w:r>
          </w:p>
        </w:tc>
      </w:tr>
      <w:tr>
        <w:tc>
          <w:tcPr>
            <w:tcW w:w="1560" w:type="dxa"/>
          </w:tcPr>
          <w:p>
            <w:pPr/>
            <w:r>
              <w:t xml:space="preserve">RF-VTA-10</w:t>
            </w:r>
          </w:p>
        </w:tc>
        <w:tc>
          <w:tcPr>
            <w:tcW w:w="1560" w:type="dxa"/>
          </w:tcPr>
          <w:p>
            <w:pPr/>
            <w:r>
              <w:t xml:space="preserve">Precio aplicable según reglas</w:t>
            </w:r>
          </w:p>
        </w:tc>
        <w:tc>
          <w:tcPr>
            <w:tcW w:w="1560" w:type="dxa"/>
          </w:tcPr>
          <w:p>
            <w:pPr/>
            <w:r>
              <w:t xml:space="preserve">RF-04, D-01, INV-12</w:t>
            </w:r>
          </w:p>
        </w:tc>
        <w:tc>
          <w:tcPr>
            <w:tcW w:w="1560" w:type="dxa"/>
          </w:tcPr>
          <w:p>
            <w:pPr/>
            <w:r>
              <w:t xml:space="preserve">Parcial: siempre minorista</w:t>
            </w:r>
          </w:p>
        </w:tc>
        <w:tc>
          <w:tcPr>
            <w:tcW w:w="1560" w:type="dxa"/>
          </w:tcPr>
          <w:p>
            <w:pPr/>
            <w:r>
              <w:t xml:space="preserve">Parcial</w:t>
            </w:r>
          </w:p>
        </w:tc>
        <w:tc>
          <w:tcPr>
            <w:tcW w:w="1560" w:type="dxa"/>
          </w:tcPr>
          <w:p>
            <w:pPr/>
            <w:r>
              <w:t xml:space="preserve">Sin regla mayorista aplica minorista</w:t>
            </w:r>
          </w:p>
        </w:tc>
      </w:tr>
      <w:tr>
        <w:tc>
          <w:tcPr>
            <w:tcW w:w="1560" w:type="dxa"/>
          </w:tcPr>
          <w:p>
            <w:pPr/>
            <w:r>
              <w:t xml:space="preserve">RF-VTA-11</w:t>
            </w:r>
          </w:p>
        </w:tc>
        <w:tc>
          <w:tcPr>
            <w:tcW w:w="1560" w:type="dxa"/>
          </w:tcPr>
          <w:p>
            <w:pPr/>
            <w:r>
              <w:t xml:space="preserve">Identificador de venta</w:t>
            </w:r>
          </w:p>
        </w:tc>
        <w:tc>
          <w:tcPr>
            <w:tcW w:w="1560" w:type="dxa"/>
          </w:tcPr>
          <w:p>
            <w:pPr/>
            <w:r>
              <w:t xml:space="preserve">RF-01</w:t>
            </w:r>
          </w:p>
        </w:tc>
        <w:tc>
          <w:tcPr>
            <w:tcW w:w="1560" w:type="dxa"/>
          </w:tcPr>
          <w:p>
            <w:pPr/>
            <w:r>
              <w:t xml:space="preserve">UUID</w:t>
            </w:r>
          </w:p>
        </w:tc>
        <w:tc>
          <w:tcPr>
            <w:tcW w:w="1560" w:type="dxa"/>
          </w:tcPr>
          <w:p>
            <w:pPr/>
            <w:r>
              <w:t xml:space="preserve">Número #00000125</w:t>
            </w:r>
          </w:p>
        </w:tc>
        <w:tc>
          <w:tcPr>
            <w:tcW w:w="1560" w:type="dxa"/>
          </w:tcPr>
          <w:p>
            <w:pPr/>
            <w:r>
              <w:t xml:space="preserve">Número comercial único por empresa</w:t>
            </w:r>
          </w:p>
        </w:tc>
      </w:tr>
      <w:tr>
        <w:tc>
          <w:tcPr>
            <w:tcW w:w="1560" w:type="dxa"/>
          </w:tcPr>
          <w:p>
            <w:pPr/>
            <w:r>
              <w:t xml:space="preserve">RF-VTA-12</w:t>
            </w:r>
          </w:p>
        </w:tc>
        <w:tc>
          <w:tcPr>
            <w:tcW w:w="1560" w:type="dxa"/>
          </w:tcPr>
          <w:p>
            <w:pPr/>
            <w:r>
              <w:t xml:space="preserve">Elegir medio de pago</w:t>
            </w:r>
          </w:p>
        </w:tc>
        <w:tc>
          <w:tcPr>
            <w:tcW w:w="1560" w:type="dxa"/>
          </w:tcPr>
          <w:p>
            <w:pPr/>
            <w:r>
              <w:t xml:space="preserve">RF-08</w:t>
            </w:r>
          </w:p>
        </w:tc>
        <w:tc>
          <w:tcPr>
            <w:tcW w:w="1560" w:type="dxa"/>
          </w:tcPr>
          <w:p>
            <w:pPr/>
            <w:r>
              <w:t xml:space="preserve">Parcial: sin Mercado Pago</w:t>
            </w:r>
          </w:p>
        </w:tc>
        <w:tc>
          <w:tcPr>
            <w:tcW w:w="1560" w:type="dxa"/>
          </w:tcPr>
          <w:p>
            <w:pPr/>
            <w:r>
              <w:t xml:space="preserve">Parcial</w:t>
            </w:r>
          </w:p>
        </w:tc>
        <w:tc>
          <w:tcPr>
            <w:tcW w:w="1560" w:type="dxa"/>
          </w:tcPr>
          <w:p>
            <w:pPr/>
            <w:r>
              <w:t xml:space="preserve">Efectivo, transferencia, QR y Mercado Pago</w:t>
            </w:r>
          </w:p>
        </w:tc>
      </w:tr>
      <w:tr>
        <w:tc>
          <w:tcPr>
            <w:tcW w:w="1560" w:type="dxa"/>
          </w:tcPr>
          <w:p>
            <w:pPr/>
            <w:r>
              <w:t xml:space="preserve">RF-VTA-13</w:t>
            </w:r>
          </w:p>
        </w:tc>
        <w:tc>
          <w:tcPr>
            <w:tcW w:w="1560" w:type="dxa"/>
          </w:tcPr>
          <w:p>
            <w:pPr/>
            <w:r>
              <w:t xml:space="preserve">Cobro en efectivo</w:t>
            </w:r>
          </w:p>
        </w:tc>
        <w:tc>
          <w:tcPr>
            <w:tcW w:w="1560" w:type="dxa"/>
          </w:tcPr>
          <w:p>
            <w:pPr/>
            <w:r>
              <w:t xml:space="preserve">RF-08</w:t>
            </w:r>
          </w:p>
        </w:tc>
        <w:tc>
          <w:tcPr>
            <w:tcW w:w="1560" w:type="dxa"/>
          </w:tcPr>
          <w:p>
            <w:pPr/>
            <w:r>
              <w:t xml:space="preserve">Parcial: sin vuelto ni monto recibido (C19)</w:t>
            </w:r>
          </w:p>
        </w:tc>
        <w:tc>
          <w:tcPr>
            <w:tcW w:w="1560" w:type="dxa"/>
          </w:tcPr>
          <w:p>
            <w:pPr/>
            <w:r>
              <w:t xml:space="preserve">Sí</w:t>
            </w:r>
          </w:p>
        </w:tc>
        <w:tc>
          <w:tcPr>
            <w:tcW w:w="1560" w:type="dxa"/>
          </w:tcPr>
          <w:p>
            <w:pPr/>
            <w:r>
              <w:t xml:space="preserve">Vuelto = recibido − aplicado</w:t>
            </w:r>
          </w:p>
        </w:tc>
      </w:tr>
      <w:tr>
        <w:tc>
          <w:tcPr>
            <w:tcW w:w="1560" w:type="dxa"/>
          </w:tcPr>
          <w:p>
            <w:pPr/>
            <w:r>
              <w:t xml:space="preserve">RF-VTA-14</w:t>
            </w:r>
          </w:p>
        </w:tc>
        <w:tc>
          <w:tcPr>
            <w:tcW w:w="1560" w:type="dxa"/>
          </w:tcPr>
          <w:p>
            <w:pPr/>
            <w:r>
              <w:t xml:space="preserve">Cobro por transferencia/QR</w:t>
            </w:r>
          </w:p>
        </w:tc>
        <w:tc>
          <w:tcPr>
            <w:tcW w:w="1560" w:type="dxa"/>
          </w:tcPr>
          <w:p>
            <w:pPr/>
            <w:r>
              <w:t xml:space="preserve">RF-08, D-04</w:t>
            </w:r>
          </w:p>
        </w:tc>
        <w:tc>
          <w:tcPr>
            <w:tcW w:w="1560" w:type="dxa"/>
          </w:tcPr>
          <w:p>
            <w:pPr/>
            <w:r>
              <w:t xml:space="preserve">Sí, sin referencia ni evidencia de verificación (C16)</w:t>
            </w:r>
          </w:p>
        </w:tc>
        <w:tc>
          <w:tcPr>
            <w:tcW w:w="1560" w:type="dxa"/>
          </w:tcPr>
          <w:p>
            <w:pPr/>
            <w:r>
              <w:t xml:space="preserve">Sí</w:t>
            </w:r>
          </w:p>
        </w:tc>
        <w:tc>
          <w:tcPr>
            <w:tcW w:w="1560" w:type="dxa"/>
          </w:tcPr>
          <w:p>
            <w:pPr/>
            <w:r>
              <w:t xml:space="preserve">Registra operador y hora de verificación</w:t>
            </w:r>
          </w:p>
        </w:tc>
      </w:tr>
      <w:tr>
        <w:tc>
          <w:tcPr>
            <w:tcW w:w="1560" w:type="dxa"/>
          </w:tcPr>
          <w:p>
            <w:pPr/>
            <w:r>
              <w:t xml:space="preserve">RF-VTA-15</w:t>
            </w:r>
          </w:p>
        </w:tc>
        <w:tc>
          <w:tcPr>
            <w:tcW w:w="1560" w:type="dxa"/>
          </w:tcPr>
          <w:p>
            <w:pPr/>
            <w:r>
              <w:t xml:space="preserve">Estado de cada pago</w:t>
            </w:r>
          </w:p>
        </w:tc>
        <w:tc>
          <w:tcPr>
            <w:tcW w:w="1560" w:type="dxa"/>
          </w:tcPr>
          <w:p>
            <w:pPr/>
            <w:r>
              <w:t xml:space="preserve">§6.2</w:t>
            </w:r>
          </w:p>
        </w:tc>
        <w:tc>
          <w:tcPr>
            <w:tcW w:w="1560" w:type="dxa"/>
          </w:tcPr>
          <w:p>
            <w:pPr/>
            <w:r>
              <w:t xml:space="preserve">Sí: APROBADO directo</w:t>
            </w:r>
          </w:p>
        </w:tc>
        <w:tc>
          <w:tcPr>
            <w:tcW w:w="1560" w:type="dxa"/>
          </w:tcPr>
          <w:p>
            <w:pPr/>
            <w:r>
              <w:t xml:space="preserve">Parcial</w:t>
            </w:r>
          </w:p>
        </w:tc>
        <w:tc>
          <w:tcPr>
            <w:tcW w:w="1560" w:type="dxa"/>
          </w:tcPr>
          <w:p>
            <w:pPr/>
            <w:r>
              <w:t xml:space="preserve">Estados según SPEC</w:t>
            </w:r>
          </w:p>
        </w:tc>
      </w:tr>
      <w:tr>
        <w:tc>
          <w:tcPr>
            <w:tcW w:w="1560" w:type="dxa"/>
          </w:tcPr>
          <w:p>
            <w:pPr/>
            <w:r>
              <w:t xml:space="preserve">RF-VTA-16</w:t>
            </w:r>
          </w:p>
        </w:tc>
        <w:tc>
          <w:tcPr>
            <w:tcW w:w="1560" w:type="dxa"/>
          </w:tcPr>
          <w:p>
            <w:pPr/>
            <w:r>
              <w:t xml:space="preserve">Informar el resultado</w:t>
            </w:r>
          </w:p>
        </w:tc>
        <w:tc>
          <w:tcPr>
            <w:tcW w:w="1560" w:type="dxa"/>
          </w:tcPr>
          <w:p>
            <w:pPr/>
            <w:r>
              <w:t xml:space="preserve">—</w:t>
            </w:r>
          </w:p>
        </w:tc>
        <w:tc>
          <w:tcPr>
            <w:tcW w:w="1560" w:type="dxa"/>
          </w:tcPr>
          <w:p>
            <w:pPr/>
            <w:r>
              <w:t xml:space="preserve">Parcial</w:t>
            </w:r>
          </w:p>
        </w:tc>
        <w:tc>
          <w:tcPr>
            <w:tcW w:w="1560" w:type="dxa"/>
          </w:tcPr>
          <w:p>
            <w:pPr/>
            <w:r>
              <w:t xml:space="preserve">Sí</w:t>
            </w:r>
          </w:p>
        </w:tc>
        <w:tc>
          <w:tcPr>
            <w:tcW w:w="1560" w:type="dxa"/>
          </w:tcPr>
          <w:p>
            <w:pPr/>
            <w:r>
              <w:t xml:space="preserve">Pantalla de resultado antes de Nueva venta</w:t>
            </w:r>
          </w:p>
        </w:tc>
      </w:tr>
      <w:tr>
        <w:tc>
          <w:tcPr>
            <w:tcW w:w="1560" w:type="dxa"/>
          </w:tcPr>
          <w:p>
            <w:pPr/>
            <w:r>
              <w:t xml:space="preserve">RF-VTA-17</w:t>
            </w:r>
          </w:p>
        </w:tc>
        <w:tc>
          <w:tcPr>
            <w:tcW w:w="1560" w:type="dxa"/>
          </w:tcPr>
          <w:p>
            <w:pPr/>
            <w:r>
              <w:t xml:space="preserve">Venta consultable</w:t>
            </w:r>
          </w:p>
        </w:tc>
        <w:tc>
          <w:tcPr>
            <w:tcW w:w="1560" w:type="dxa"/>
          </w:tcPr>
          <w:p>
            <w:pPr/>
            <w:r>
              <w:t xml:space="preserve">RF-03, INV-02</w:t>
            </w:r>
          </w:p>
        </w:tc>
        <w:tc>
          <w:tcPr>
            <w:tcW w:w="1560" w:type="dxa"/>
          </w:tcPr>
          <w:p>
            <w:pPr/>
            <w:r>
              <w:t xml:space="preserve">Sí (</w:t>
            </w:r>
            <w:r>
              <w:rPr>
                <w:rStyle w:val="CodeChar"/>
              </w:rPr>
              <w:t xml:space="preserve">GET /ventas</w:t>
            </w:r>
            <w:r>
              <w:t xml:space="preserve">)</w:t>
            </w:r>
          </w:p>
        </w:tc>
        <w:tc>
          <w:tcPr>
            <w:tcW w:w="1560" w:type="dxa"/>
          </w:tcPr>
          <w:p>
            <w:pPr/>
            <w:r>
              <w:t xml:space="preserve">No</w:t>
            </w:r>
          </w:p>
        </w:tc>
        <w:tc>
          <w:tcPr>
            <w:tcW w:w="1560" w:type="dxa"/>
          </w:tcPr>
          <w:p>
            <w:pPr/>
            <w:r>
              <w:t xml:space="preserve">Aparece en historial tras finalizar</w:t>
            </w:r>
          </w:p>
        </w:tc>
      </w:tr>
      <w:tr>
        <w:tc>
          <w:tcPr>
            <w:tcW w:w="1560" w:type="dxa"/>
          </w:tcPr>
          <w:p>
            <w:pPr/>
            <w:r>
              <w:t xml:space="preserve">RF-VTA-18</w:t>
            </w:r>
          </w:p>
        </w:tc>
        <w:tc>
          <w:tcPr>
            <w:tcW w:w="1560" w:type="dxa"/>
          </w:tcPr>
          <w:p>
            <w:pPr/>
            <w:r>
              <w:t xml:space="preserve">Detalle de venta</w:t>
            </w:r>
          </w:p>
        </w:tc>
        <w:tc>
          <w:tcPr>
            <w:tcW w:w="1560" w:type="dxa"/>
          </w:tcPr>
          <w:p>
            <w:pPr/>
            <w:r>
              <w:t xml:space="preserve">RF-16</w:t>
            </w:r>
          </w:p>
        </w:tc>
        <w:tc>
          <w:tcPr>
            <w:tcW w:w="1560" w:type="dxa"/>
          </w:tcPr>
          <w:p>
            <w:pPr/>
            <w:r>
              <w:t xml:space="preserve">API sí; pantalla no documentada</w:t>
            </w:r>
          </w:p>
        </w:tc>
        <w:tc>
          <w:tcPr>
            <w:tcW w:w="1560" w:type="dxa"/>
          </w:tcPr>
          <w:p>
            <w:pPr/>
            <w:r>
              <w:t xml:space="preserve">Botón</w:t>
            </w:r>
          </w:p>
        </w:tc>
        <w:tc>
          <w:tcPr>
            <w:tcW w:w="1560" w:type="dxa"/>
          </w:tcPr>
          <w:p>
            <w:pPr/>
            <w:r>
              <w:t xml:space="preserve">Ver venta abre el detalle</w:t>
            </w:r>
          </w:p>
        </w:tc>
      </w:tr>
      <w:tr>
        <w:tc>
          <w:tcPr>
            <w:tcW w:w="1560" w:type="dxa"/>
          </w:tcPr>
          <w:p>
            <w:pPr/>
            <w:r>
              <w:t xml:space="preserve">RF-VTA-19</w:t>
            </w:r>
          </w:p>
        </w:tc>
        <w:tc>
          <w:tcPr>
            <w:tcW w:w="1560" w:type="dxa"/>
          </w:tcPr>
          <w:p>
            <w:pPr/>
            <w:r>
              <w:t xml:space="preserve">Trazabilidad venta ↔ pagos</w:t>
            </w:r>
          </w:p>
        </w:tc>
        <w:tc>
          <w:tcPr>
            <w:tcW w:w="1560" w:type="dxa"/>
          </w:tcPr>
          <w:p>
            <w:pPr/>
            <w:r>
              <w:t xml:space="preserve">RF-08</w:t>
            </w:r>
          </w:p>
        </w:tc>
        <w:tc>
          <w:tcPr>
            <w:tcW w:w="1560" w:type="dxa"/>
          </w:tcPr>
          <w:p>
            <w:pPr/>
            <w:r>
              <w:t xml:space="preserve">Sí</w:t>
            </w:r>
          </w:p>
        </w:tc>
        <w:tc>
          <w:tcPr>
            <w:tcW w:w="1560" w:type="dxa"/>
          </w:tcPr>
          <w:p>
            <w:pPr/>
            <w:r>
              <w:t xml:space="preserve">—</w:t>
            </w:r>
          </w:p>
        </w:tc>
        <w:tc>
          <w:tcPr>
            <w:tcW w:w="1560" w:type="dxa"/>
          </w:tcPr>
          <w:p>
            <w:pPr/>
            <w:r>
              <w:t xml:space="preserve">Cada pago referencia su venta</w:t>
            </w:r>
          </w:p>
        </w:tc>
      </w:tr>
      <w:tr>
        <w:tc>
          <w:tcPr>
            <w:tcW w:w="1560" w:type="dxa"/>
          </w:tcPr>
          <w:p>
            <w:pPr/>
            <w:r>
              <w:t xml:space="preserve">RF-VTA-20</w:t>
            </w:r>
          </w:p>
        </w:tc>
        <w:tc>
          <w:tcPr>
            <w:tcW w:w="1560" w:type="dxa"/>
          </w:tcPr>
          <w:p>
            <w:pPr/>
            <w:r>
              <w:t xml:space="preserve">Integración con Inventario</w:t>
            </w:r>
          </w:p>
        </w:tc>
        <w:tc>
          <w:tcPr>
            <w:tcW w:w="1560" w:type="dxa"/>
          </w:tcPr>
          <w:p>
            <w:pPr/>
            <w:r>
              <w:t xml:space="preserve">RF-05, RF-11</w:t>
            </w:r>
          </w:p>
        </w:tc>
        <w:tc>
          <w:tcPr>
            <w:tcW w:w="1560" w:type="dxa"/>
          </w:tcPr>
          <w:p>
            <w:pPr/>
            <w:r>
              <w:t xml:space="preserve">Sí, al confirmar</w:t>
            </w:r>
          </w:p>
        </w:tc>
        <w:tc>
          <w:tcPr>
            <w:tcW w:w="1560" w:type="dxa"/>
          </w:tcPr>
          <w:p>
            <w:pPr/>
            <w:r>
              <w:t xml:space="preserve">—</w:t>
            </w:r>
          </w:p>
        </w:tc>
        <w:tc>
          <w:tcPr>
            <w:tcW w:w="1560" w:type="dxa"/>
          </w:tcPr>
          <w:p>
            <w:pPr/>
            <w:r>
              <w:t xml:space="preserve">Movimiento de stock por venta</w:t>
            </w:r>
          </w:p>
        </w:tc>
      </w:tr>
      <w:tr>
        <w:tc>
          <w:tcPr>
            <w:tcW w:w="1560" w:type="dxa"/>
          </w:tcPr>
          <w:p>
            <w:pPr/>
            <w:r>
              <w:t xml:space="preserve">RF-VTA-21</w:t>
            </w:r>
          </w:p>
        </w:tc>
        <w:tc>
          <w:tcPr>
            <w:tcW w:w="1560" w:type="dxa"/>
          </w:tcPr>
          <w:p>
            <w:pPr/>
            <w:r>
              <w:t xml:space="preserve">Integración con Caja</w:t>
            </w:r>
          </w:p>
        </w:tc>
        <w:tc>
          <w:tcPr>
            <w:tcW w:w="1560" w:type="dxa"/>
          </w:tcPr>
          <w:p>
            <w:pPr/>
            <w:r>
              <w:t xml:space="preserve">RF-09</w:t>
            </w:r>
          </w:p>
        </w:tc>
        <w:tc>
          <w:tcPr>
            <w:tcW w:w="1560" w:type="dxa"/>
          </w:tcPr>
          <w:p>
            <w:pPr/>
            <w:r>
              <w:t xml:space="preserve">Parcial: solo con caja abierta</w:t>
            </w:r>
          </w:p>
        </w:tc>
        <w:tc>
          <w:tcPr>
            <w:tcW w:w="1560" w:type="dxa"/>
          </w:tcPr>
          <w:p>
            <w:pPr/>
            <w:r>
              <w:t xml:space="preserve">—</w:t>
            </w:r>
          </w:p>
        </w:tc>
        <w:tc>
          <w:tcPr>
            <w:tcW w:w="1560" w:type="dxa"/>
          </w:tcPr>
          <w:p>
            <w:pPr/>
            <w:r>
              <w:t xml:space="preserve">Todo cobro en efectivo en el turno</w:t>
            </w:r>
          </w:p>
        </w:tc>
      </w:tr>
      <w:tr>
        <w:tc>
          <w:tcPr>
            <w:tcW w:w="1560" w:type="dxa"/>
          </w:tcPr>
          <w:p>
            <w:pPr/>
            <w:r>
              <w:t xml:space="preserve">RF-VTA-22</w:t>
            </w:r>
          </w:p>
        </w:tc>
        <w:tc>
          <w:tcPr>
            <w:tcW w:w="1560" w:type="dxa"/>
          </w:tcPr>
          <w:p>
            <w:pPr/>
            <w:r>
              <w:t xml:space="preserve">Integración con Clientes</w:t>
            </w:r>
          </w:p>
        </w:tc>
        <w:tc>
          <w:tcPr>
            <w:tcW w:w="1560" w:type="dxa"/>
          </w:tcPr>
          <w:p>
            <w:pPr/>
            <w:r>
              <w:t xml:space="preserve">RF-10</w:t>
            </w:r>
          </w:p>
        </w:tc>
        <w:tc>
          <w:tcPr>
            <w:tcW w:w="1560" w:type="dxa"/>
          </w:tcPr>
          <w:p>
            <w:pPr/>
            <w:r>
              <w:t xml:space="preserve">Parcial: historial y nivel; sin cuenta corriente</w:t>
            </w:r>
          </w:p>
        </w:tc>
        <w:tc>
          <w:tcPr>
            <w:tcW w:w="1560" w:type="dxa"/>
          </w:tcPr>
          <w:p>
            <w:pPr/>
            <w:r>
              <w:t xml:space="preserve">—</w:t>
            </w:r>
          </w:p>
        </w:tc>
        <w:tc>
          <w:tcPr>
            <w:tcW w:w="1560" w:type="dxa"/>
          </w:tcPr>
          <w:p>
            <w:pPr/>
            <w:r>
              <w:t xml:space="preserve">Venta en el historial del cliente</w:t>
            </w:r>
          </w:p>
        </w:tc>
      </w:tr>
      <w:tr>
        <w:tc>
          <w:tcPr>
            <w:tcW w:w="1560" w:type="dxa"/>
          </w:tcPr>
          <w:p>
            <w:pPr/>
            <w:r>
              <w:t xml:space="preserve">RF-VTA-23</w:t>
            </w:r>
          </w:p>
        </w:tc>
        <w:tc>
          <w:tcPr>
            <w:tcW w:w="1560" w:type="dxa"/>
          </w:tcPr>
          <w:p>
            <w:pPr/>
            <w:r>
              <w:t xml:space="preserve">Alimentar Reportes</w:t>
            </w:r>
          </w:p>
        </w:tc>
        <w:tc>
          <w:tcPr>
            <w:tcW w:w="1560" w:type="dxa"/>
          </w:tcPr>
          <w:p>
            <w:pPr/>
            <w:r>
              <w:t xml:space="preserve">RF-15</w:t>
            </w:r>
          </w:p>
        </w:tc>
        <w:tc>
          <w:tcPr>
            <w:tcW w:w="1560" w:type="dxa"/>
          </w:tcPr>
          <w:p>
            <w:pPr/>
            <w:r>
              <w:t xml:space="preserve">No documentado</w:t>
            </w:r>
          </w:p>
        </w:tc>
        <w:tc>
          <w:tcPr>
            <w:tcW w:w="1560" w:type="dxa"/>
          </w:tcPr>
          <w:p>
            <w:pPr/>
            <w:r>
              <w:t xml:space="preserve">—</w:t>
            </w:r>
          </w:p>
        </w:tc>
        <w:tc>
          <w:tcPr>
            <w:tcW w:w="1560" w:type="dxa"/>
          </w:tcPr>
          <w:p>
            <w:pPr/>
            <w:r>
              <w:t xml:space="preserve">Reportes concilian Venta + Pedido</w:t>
            </w:r>
          </w:p>
        </w:tc>
      </w:tr>
      <w:tr>
        <w:tc>
          <w:tcPr>
            <w:tcW w:w="1560" w:type="dxa"/>
          </w:tcPr>
          <w:p>
            <w:pPr/>
            <w:r>
              <w:t xml:space="preserve">RF-VTA-24</w:t>
            </w:r>
          </w:p>
        </w:tc>
        <w:tc>
          <w:tcPr>
            <w:tcW w:w="1560" w:type="dxa"/>
          </w:tcPr>
          <w:p>
            <w:pPr/>
            <w:r>
              <w:t xml:space="preserve">Pagos mixtos</w:t>
            </w:r>
          </w:p>
        </w:tc>
        <w:tc>
          <w:tcPr>
            <w:tcW w:w="1560" w:type="dxa"/>
          </w:tcPr>
          <w:p>
            <w:pPr/>
            <w:r>
              <w:t xml:space="preserve">RF-05, RF-08, INV-05</w:t>
            </w:r>
          </w:p>
        </w:tc>
        <w:tc>
          <w:tcPr>
            <w:tcW w:w="1560" w:type="dxa"/>
          </w:tcPr>
          <w:p>
            <w:pPr/>
            <w:r>
              <w:rPr>
                <w:b/>
              </w:rPr>
              <w:t xml:space="preserve">Sí</w:t>
            </w:r>
          </w:p>
        </w:tc>
        <w:tc>
          <w:tcPr>
            <w:tcW w:w="1560" w:type="dxa"/>
          </w:tcPr>
          <w:p>
            <w:pPr/>
            <w:r>
              <w:rPr>
                <w:b/>
              </w:rPr>
              <w:t xml:space="preserve">No</w:t>
            </w:r>
          </w:p>
        </w:tc>
        <w:tc>
          <w:tcPr>
            <w:tcW w:w="1560" w:type="dxa"/>
          </w:tcPr>
          <w:p>
            <w:pPr/>
            <w:r>
              <w:t xml:space="preserve">Varios pagos cuya suma = total</w:t>
            </w:r>
          </w:p>
        </w:tc>
      </w:tr>
      <w:tr>
        <w:tc>
          <w:tcPr>
            <w:tcW w:w="1560" w:type="dxa"/>
          </w:tcPr>
          <w:p>
            <w:pPr/>
            <w:r>
              <w:t xml:space="preserve">RF-VTA-25</w:t>
            </w:r>
          </w:p>
        </w:tc>
        <w:tc>
          <w:tcPr>
            <w:tcW w:w="1560" w:type="dxa"/>
          </w:tcPr>
          <w:p>
            <w:pPr/>
            <w:r>
              <w:t xml:space="preserve">Búsqueda por código de barras</w:t>
            </w:r>
          </w:p>
        </w:tc>
        <w:tc>
          <w:tcPr>
            <w:tcW w:w="1560" w:type="dxa"/>
          </w:tcPr>
          <w:p>
            <w:pPr/>
            <w:r>
              <w:t xml:space="preserve">RF-05, D-14</w:t>
            </w:r>
          </w:p>
        </w:tc>
        <w:tc>
          <w:tcPr>
            <w:tcW w:w="1560" w:type="dxa"/>
          </w:tcPr>
          <w:p>
            <w:pPr/>
            <w:r>
              <w:t xml:space="preserve">No (sin datos)</w:t>
            </w:r>
          </w:p>
        </w:tc>
        <w:tc>
          <w:tcPr>
            <w:tcW w:w="1560" w:type="dxa"/>
          </w:tcPr>
          <w:p>
            <w:pPr/>
            <w:r>
              <w:t xml:space="preserve">No</w:t>
            </w:r>
          </w:p>
        </w:tc>
        <w:tc>
          <w:tcPr>
            <w:tcW w:w="1560" w:type="dxa"/>
          </w:tcPr>
          <w:p>
            <w:pPr/>
            <w:r>
              <w:t xml:space="preserve">Escanear agrega el producto</w:t>
            </w:r>
          </w:p>
        </w:tc>
      </w:tr>
      <w:tr>
        <w:tc>
          <w:tcPr>
            <w:tcW w:w="1560" w:type="dxa"/>
          </w:tcPr>
          <w:p>
            <w:pPr/>
            <w:r>
              <w:t xml:space="preserve">RF-VTA-26</w:t>
            </w:r>
          </w:p>
        </w:tc>
        <w:tc>
          <w:tcPr>
            <w:tcW w:w="1560" w:type="dxa"/>
          </w:tcPr>
          <w:p>
            <w:pPr/>
            <w:r>
              <w:t xml:space="preserve">Presentación por línea</w:t>
            </w:r>
          </w:p>
        </w:tc>
        <w:tc>
          <w:tcPr>
            <w:tcW w:w="1560" w:type="dxa"/>
          </w:tcPr>
          <w:p>
            <w:pPr/>
            <w:r>
              <w:t xml:space="preserve">RF-05, D-08</w:t>
            </w:r>
          </w:p>
        </w:tc>
        <w:tc>
          <w:tcPr>
            <w:tcW w:w="1560" w:type="dxa"/>
          </w:tcPr>
          <w:p>
            <w:pPr/>
            <w:r>
              <w:t xml:space="preserve">No</w:t>
            </w:r>
          </w:p>
        </w:tc>
        <w:tc>
          <w:tcPr>
            <w:tcW w:w="1560" w:type="dxa"/>
          </w:tcPr>
          <w:p>
            <w:pPr/>
            <w:r>
              <w:t xml:space="preserve">No</w:t>
            </w:r>
          </w:p>
        </w:tc>
        <w:tc>
          <w:tcPr>
            <w:tcW w:w="1560" w:type="dxa"/>
          </w:tcPr>
          <w:p>
            <w:pPr/>
            <w:r>
              <w:t xml:space="preserve">La línea guarda la presentación</w:t>
            </w:r>
          </w:p>
        </w:tc>
      </w:tr>
      <w:tr>
        <w:tc>
          <w:tcPr>
            <w:tcW w:w="1560" w:type="dxa"/>
          </w:tcPr>
          <w:p>
            <w:pPr/>
            <w:r>
              <w:t xml:space="preserve">RF-VTA-27</w:t>
            </w:r>
          </w:p>
        </w:tc>
        <w:tc>
          <w:tcPr>
            <w:tcW w:w="1560" w:type="dxa"/>
          </w:tcPr>
          <w:p>
            <w:pPr/>
            <w:r>
              <w:t xml:space="preserve">Usuario responsable</w:t>
            </w:r>
          </w:p>
        </w:tc>
        <w:tc>
          <w:tcPr>
            <w:tcW w:w="1560" w:type="dxa"/>
          </w:tcPr>
          <w:p>
            <w:pPr/>
            <w:r>
              <w:t xml:space="preserve">RF-05, RF-16</w:t>
            </w:r>
          </w:p>
        </w:tc>
        <w:tc>
          <w:tcPr>
            <w:tcW w:w="1560" w:type="dxa"/>
          </w:tcPr>
          <w:p>
            <w:pPr/>
            <w:r>
              <w:t xml:space="preserve">Sí (C7)</w:t>
            </w:r>
          </w:p>
        </w:tc>
        <w:tc>
          <w:tcPr>
            <w:tcW w:w="1560" w:type="dxa"/>
          </w:tcPr>
          <w:p>
            <w:pPr/>
            <w:r>
              <w:t xml:space="preserve">No</w:t>
            </w:r>
          </w:p>
        </w:tc>
        <w:tc>
          <w:tcPr>
            <w:tcW w:w="1560" w:type="dxa"/>
          </w:tcPr>
          <w:p>
            <w:pPr/>
            <w:r>
              <w:t xml:space="preserve">La venta registra quién la hizo</w:t>
            </w:r>
          </w:p>
        </w:tc>
      </w:tr>
      <w:tr>
        <w:tc>
          <w:tcPr>
            <w:tcW w:w="1560" w:type="dxa"/>
          </w:tcPr>
          <w:p>
            <w:pPr/>
            <w:r>
              <w:t xml:space="preserve">RF-VTA-28</w:t>
            </w:r>
          </w:p>
        </w:tc>
        <w:tc>
          <w:tcPr>
            <w:tcW w:w="1560" w:type="dxa"/>
          </w:tcPr>
          <w:p>
            <w:pPr/>
            <w:r>
              <w:t xml:space="preserve">Comprobante y ticket</w:t>
            </w:r>
          </w:p>
        </w:tc>
        <w:tc>
          <w:tcPr>
            <w:tcW w:w="1560" w:type="dxa"/>
          </w:tcPr>
          <w:p>
            <w:pPr/>
            <w:r>
              <w:t xml:space="preserve">RF-05</w:t>
            </w:r>
          </w:p>
        </w:tc>
        <w:tc>
          <w:tcPr>
            <w:tcW w:w="1560" w:type="dxa"/>
          </w:tcPr>
          <w:p>
            <w:pPr/>
            <w:r>
              <w:t xml:space="preserve">No</w:t>
            </w:r>
          </w:p>
        </w:tc>
        <w:tc>
          <w:tcPr>
            <w:tcW w:w="1560" w:type="dxa"/>
          </w:tcPr>
          <w:p>
            <w:pPr/>
            <w:r>
              <w:t xml:space="preserve">Botón</w:t>
            </w:r>
          </w:p>
        </w:tc>
        <w:tc>
          <w:tcPr>
            <w:tcW w:w="1560" w:type="dxa"/>
          </w:tcPr>
          <w:p>
            <w:pPr/>
            <w:r>
              <w:t xml:space="preserve">Se imprime ticket al finalizar</w:t>
            </w:r>
          </w:p>
        </w:tc>
      </w:tr>
      <w:tr>
        <w:tc>
          <w:tcPr>
            <w:tcW w:w="1560" w:type="dxa"/>
          </w:tcPr>
          <w:p>
            <w:pPr/>
            <w:r>
              <w:t xml:space="preserve">RF-VTA-29</w:t>
            </w:r>
          </w:p>
        </w:tc>
        <w:tc>
          <w:tcPr>
            <w:tcW w:w="1560" w:type="dxa"/>
          </w:tcPr>
          <w:p>
            <w:pPr/>
            <w:r>
              <w:t xml:space="preserve">Bloqueo por stock insuficiente o lote vencido</w:t>
            </w:r>
          </w:p>
        </w:tc>
        <w:tc>
          <w:tcPr>
            <w:tcW w:w="1560" w:type="dxa"/>
          </w:tcPr>
          <w:p>
            <w:pPr/>
            <w:r>
              <w:t xml:space="preserve">RF-11, INV-06, INV-07</w:t>
            </w:r>
          </w:p>
        </w:tc>
        <w:tc>
          <w:tcPr>
            <w:tcW w:w="1560" w:type="dxa"/>
          </w:tcPr>
          <w:p>
            <w:pPr/>
            <w:r>
              <w:t xml:space="preserve">Stock sí; vencido no (solo advierte)</w:t>
            </w:r>
          </w:p>
        </w:tc>
        <w:tc>
          <w:tcPr>
            <w:tcW w:w="1560" w:type="dxa"/>
          </w:tcPr>
          <w:p>
            <w:pPr/>
            <w:r>
              <w:t xml:space="preserve">No</w:t>
            </w:r>
          </w:p>
        </w:tc>
        <w:tc>
          <w:tcPr>
            <w:tcW w:w="1560" w:type="dxa"/>
          </w:tcPr>
          <w:p>
            <w:pPr/>
            <w:r>
              <w:t xml:space="preserve">Según decisión final de D-09</w:t>
            </w:r>
          </w:p>
        </w:tc>
      </w:tr>
      <w:tr>
        <w:tc>
          <w:tcPr>
            <w:tcW w:w="1560" w:type="dxa"/>
          </w:tcPr>
          <w:p>
            <w:pPr/>
            <w:r>
              <w:t xml:space="preserve">RF-VTA-30</w:t>
            </w:r>
          </w:p>
        </w:tc>
        <w:tc>
          <w:tcPr>
            <w:tcW w:w="1560" w:type="dxa"/>
          </w:tcPr>
          <w:p>
            <w:pPr/>
            <w:r>
              <w:t xml:space="preserve">Venta a crédito con límite</w:t>
            </w:r>
          </w:p>
        </w:tc>
        <w:tc>
          <w:tcPr>
            <w:tcW w:w="1560" w:type="dxa"/>
          </w:tcPr>
          <w:p>
            <w:pPr/>
            <w:r>
              <w:t xml:space="preserve">RF-10</w:t>
            </w:r>
          </w:p>
        </w:tc>
        <w:tc>
          <w:tcPr>
            <w:tcW w:w="1560" w:type="dxa"/>
          </w:tcPr>
          <w:p>
            <w:pPr/>
            <w:r>
              <w:t xml:space="preserve">No</w:t>
            </w:r>
          </w:p>
        </w:tc>
        <w:tc>
          <w:tcPr>
            <w:tcW w:w="1560" w:type="dxa"/>
          </w:tcPr>
          <w:p>
            <w:pPr/>
            <w:r>
              <w:t xml:space="preserve">No</w:t>
            </w:r>
          </w:p>
        </w:tc>
        <w:tc>
          <w:tcPr>
            <w:tcW w:w="1560" w:type="dxa"/>
          </w:tcPr>
          <w:p>
            <w:pPr/>
            <w:r>
              <w:t xml:space="preserve">Supera límite: bloqueo salvo excepción</w:t>
            </w:r>
          </w:p>
        </w:tc>
      </w:tr>
      <w:tr>
        <w:tc>
          <w:tcPr>
            <w:tcW w:w="1560" w:type="dxa"/>
          </w:tcPr>
          <w:p>
            <w:pPr/>
            <w:r>
              <w:t xml:space="preserve">RF-VTA-31</w:t>
            </w:r>
          </w:p>
        </w:tc>
        <w:tc>
          <w:tcPr>
            <w:tcW w:w="1560" w:type="dxa"/>
          </w:tcPr>
          <w:p>
            <w:pPr/>
            <w:r>
              <w:t xml:space="preserve">Anulación y devolución vinculadas</w:t>
            </w:r>
          </w:p>
        </w:tc>
        <w:tc>
          <w:tcPr>
            <w:tcW w:w="1560" w:type="dxa"/>
          </w:tcPr>
          <w:p>
            <w:pPr/>
            <w:r>
              <w:t xml:space="preserve">RF-05, INV-02, INV-11</w:t>
            </w:r>
          </w:p>
        </w:tc>
        <w:tc>
          <w:tcPr>
            <w:tcW w:w="1560" w:type="dxa"/>
          </w:tcPr>
          <w:p>
            <w:pPr/>
            <w:r>
              <w:t xml:space="preserve">No</w:t>
            </w:r>
          </w:p>
        </w:tc>
        <w:tc>
          <w:tcPr>
            <w:tcW w:w="1560" w:type="dxa"/>
          </w:tcPr>
          <w:p>
            <w:pPr/>
            <w:r>
              <w:t xml:space="preserve">No</w:t>
            </w:r>
          </w:p>
        </w:tc>
        <w:tc>
          <w:tcPr>
            <w:tcW w:w="1560" w:type="dxa"/>
          </w:tcPr>
          <w:p>
            <w:pPr/>
            <w:r>
              <w:t xml:space="preserve">Operación vinculada con autorización</w:t>
            </w:r>
          </w:p>
        </w:tc>
      </w:tr>
      <w:tr>
        <w:tc>
          <w:tcPr>
            <w:tcW w:w="1560" w:type="dxa"/>
          </w:tcPr>
          <w:p>
            <w:pPr/>
            <w:r>
              <w:t xml:space="preserve">RF-VTA-32</w:t>
            </w:r>
          </w:p>
        </w:tc>
        <w:tc>
          <w:tcPr>
            <w:tcW w:w="1560" w:type="dxa"/>
          </w:tcPr>
          <w:p>
            <w:pPr/>
            <w:r>
              <w:t xml:space="preserve">Lote por línea vendida</w:t>
            </w:r>
          </w:p>
        </w:tc>
        <w:tc>
          <w:tcPr>
            <w:tcW w:w="1560" w:type="dxa"/>
          </w:tcPr>
          <w:p>
            <w:pPr/>
            <w:r>
              <w:t xml:space="preserve">D-09, INV-07</w:t>
            </w:r>
          </w:p>
        </w:tc>
        <w:tc>
          <w:tcPr>
            <w:tcW w:w="1560" w:type="dxa"/>
          </w:tcPr>
          <w:p>
            <w:pPr/>
            <w:r>
              <w:t xml:space="preserve">Sí, en el movimiento de stock</w:t>
            </w:r>
          </w:p>
        </w:tc>
        <w:tc>
          <w:tcPr>
            <w:tcW w:w="1560" w:type="dxa"/>
          </w:tcPr>
          <w:p>
            <w:pPr/>
            <w:r>
              <w:t xml:space="preserve">No</w:t>
            </w:r>
          </w:p>
        </w:tc>
        <w:tc>
          <w:tcPr>
            <w:tcW w:w="1560" w:type="dxa"/>
          </w:tcPr>
          <w:p>
            <w:pPr/>
            <w:r>
              <w:t xml:space="preserve">Cada salida identifica su lote</w:t>
            </w:r>
          </w:p>
        </w:tc>
      </w:tr>
      <w:tr>
        <w:tc>
          <w:tcPr>
            <w:tcW w:w="1560" w:type="dxa"/>
          </w:tcPr>
          <w:p>
            <w:pPr/>
            <w:r>
              <w:t xml:space="preserve">RF-VTA-33</w:t>
            </w:r>
          </w:p>
        </w:tc>
        <w:tc>
          <w:tcPr>
            <w:tcW w:w="1560" w:type="dxa"/>
          </w:tcPr>
          <w:p>
            <w:pPr/>
            <w:r>
              <w:t xml:space="preserve">Escaneo no identificado</w:t>
            </w:r>
          </w:p>
        </w:tc>
        <w:tc>
          <w:tcPr>
            <w:tcW w:w="1560" w:type="dxa"/>
          </w:tcPr>
          <w:p>
            <w:pPr/>
            <w:r>
              <w:t xml:space="preserve">Catálogo §8.3</w:t>
            </w:r>
          </w:p>
        </w:tc>
        <w:tc>
          <w:tcPr>
            <w:tcW w:w="1560" w:type="dxa"/>
          </w:tcPr>
          <w:p>
            <w:pPr/>
            <w:r>
              <w:t xml:space="preserve">No</w:t>
            </w:r>
          </w:p>
        </w:tc>
        <w:tc>
          <w:tcPr>
            <w:tcW w:w="1560" w:type="dxa"/>
          </w:tcPr>
          <w:p>
            <w:pPr/>
            <w:r>
              <w:t xml:space="preserve">No</w:t>
            </w:r>
          </w:p>
        </w:tc>
        <w:tc>
          <w:tcPr>
            <w:tcW w:w="1560" w:type="dxa"/>
          </w:tcPr>
          <w:p>
            <w:pPr/>
            <w:r>
              <w:t xml:space="preserve">Informa y no agrega línea</w:t>
            </w:r>
          </w:p>
        </w:tc>
      </w:tr>
      <w:tr>
        <w:tc>
          <w:tcPr>
            <w:tcW w:w="1560" w:type="dxa"/>
          </w:tcPr>
          <w:p>
            <w:pPr/>
            <w:r>
              <w:t xml:space="preserve">RF-VTA-34</w:t>
            </w:r>
          </w:p>
        </w:tc>
        <w:tc>
          <w:tcPr>
            <w:tcW w:w="1560" w:type="dxa"/>
          </w:tcPr>
          <w:p>
            <w:pPr/>
            <w:r>
              <w:t xml:space="preserve">Autorización registrada en la venta</w:t>
            </w:r>
          </w:p>
        </w:tc>
        <w:tc>
          <w:tcPr>
            <w:tcW w:w="1560" w:type="dxa"/>
          </w:tcPr>
          <w:p>
            <w:pPr/>
            <w:r>
              <w:t xml:space="preserve">D-06, INV-09</w:t>
            </w:r>
          </w:p>
        </w:tc>
        <w:tc>
          <w:tcPr>
            <w:tcW w:w="1560" w:type="dxa"/>
          </w:tcPr>
          <w:p>
            <w:pPr/>
            <w:r>
              <w:t xml:space="preserve">Mecanismo sí; no conectado a ventas</w:t>
            </w:r>
          </w:p>
        </w:tc>
        <w:tc>
          <w:tcPr>
            <w:tcW w:w="1560" w:type="dxa"/>
          </w:tcPr>
          <w:p>
            <w:pPr/>
            <w:r>
              <w:t xml:space="preserve">No</w:t>
            </w:r>
          </w:p>
        </w:tc>
        <w:tc>
          <w:tcPr>
            <w:tcW w:w="1560" w:type="dxa"/>
          </w:tcPr>
          <w:p>
            <w:pPr/>
            <w:r>
              <w:t xml:space="preserve">Excepción con autorizador distinto del solicitante</w:t>
            </w:r>
          </w:p>
        </w:tc>
      </w:tr>
    </w:tbl>
    <w:p>
      <w:pPr/>
      <w:r>
        <w:t xml:space="preserve">Cadena de trazabilidad por requisito: Requisito → Contrato → Invariante → Criterio de aceptación → Test → Implementación.</w:t>
      </w:r>
    </w:p>
    <w:p>
      <w:pPr>
        <w:pStyle w:val="Heading2"/>
      </w:pPr>
      <w:r>
        <w:t xml:space="preserve">12. Casos de excepción</w:t>
      </w:r>
    </w:p>
    <w:p>
      <w:pPr/>
      <w:r>
        <w:t xml:space="preserve">La SPEC general y sus complementarios responden total o parcialmente 9 de los 11 casos; en ninguno la venta puede quedar en estado ambiguo ni duplicarse (criterio del piloto: “sin pérdida ni duplicación”).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Caso</w:t>
            </w:r>
          </w:p>
        </w:tc>
        <w:tc>
          <w:tcPr>
            <w:tcW w:w="2340" w:type="dxa"/>
            <w:shd w:val="clear" w:color="auto" w:fill="F2F2F2"/>
          </w:tcPr>
          <w:p>
            <w:pPr/>
            <w:r>
              <w:t xml:space="preserve">Respuesta de la SPEC general</w:t>
            </w:r>
          </w:p>
        </w:tc>
        <w:tc>
          <w:tcPr>
            <w:tcW w:w="2340" w:type="dxa"/>
            <w:shd w:val="clear" w:color="auto" w:fill="F2F2F2"/>
          </w:tcPr>
          <w:p>
            <w:pPr/>
            <w:r>
              <w:t xml:space="preserve">Falta definir</w:t>
            </w:r>
          </w:p>
        </w:tc>
      </w:tr>
      <w:tr>
        <w:tc>
          <w:tcPr>
            <w:tcW w:w="2340" w:type="dxa"/>
          </w:tcPr>
          <w:p>
            <w:pPr/>
            <w:r>
              <w:t xml:space="preserve">1</w:t>
            </w:r>
          </w:p>
        </w:tc>
        <w:tc>
          <w:tcPr>
            <w:tcW w:w="2340" w:type="dxa"/>
          </w:tcPr>
          <w:p>
            <w:pPr/>
            <w:r>
              <w:t xml:space="preserve">Producto inexistente</w:t>
            </w:r>
          </w:p>
        </w:tc>
        <w:tc>
          <w:tcPr>
            <w:tcW w:w="2340" w:type="dxa"/>
          </w:tcPr>
          <w:p>
            <w:pPr/>
            <w:r>
              <w:t xml:space="preserve">—</w:t>
            </w:r>
          </w:p>
        </w:tc>
        <w:tc>
          <w:tcPr>
            <w:tcW w:w="2340" w:type="dxa"/>
          </w:tcPr>
          <w:p>
            <w:pPr/>
            <w:r>
              <w:t xml:space="preserve">Mensaje y acción sugerida</w:t>
            </w:r>
          </w:p>
        </w:tc>
      </w:tr>
      <w:tr>
        <w:tc>
          <w:tcPr>
            <w:tcW w:w="2340" w:type="dxa"/>
          </w:tcPr>
          <w:p>
            <w:pPr/>
            <w:r>
              <w:t xml:space="preserve">2</w:t>
            </w:r>
          </w:p>
        </w:tc>
        <w:tc>
          <w:tcPr>
            <w:tcW w:w="2340" w:type="dxa"/>
          </w:tcPr>
          <w:p>
            <w:pPr/>
            <w:r>
              <w:t xml:space="preserve">Stock insuficiente</w:t>
            </w:r>
          </w:p>
        </w:tc>
        <w:tc>
          <w:tcPr>
            <w:tcW w:w="2340" w:type="dxa"/>
          </w:tcPr>
          <w:p>
            <w:pPr/>
            <w:r>
              <w:t xml:space="preserve">Bloqueo; excepción solo con permiso y autorización del dueño (RF-11, INV-06). Hoy: rechazo sin vía de excepción (notas §23)</w:t>
            </w:r>
          </w:p>
        </w:tc>
        <w:tc>
          <w:tcPr>
            <w:tcW w:w="2340" w:type="dxa"/>
          </w:tcPr>
          <w:p>
            <w:pPr/>
            <w:r>
              <w:t xml:space="preserve">Mecanismo de autorización (D-06)</w:t>
            </w:r>
          </w:p>
        </w:tc>
      </w:tr>
      <w:tr>
        <w:tc>
          <w:tcPr>
            <w:tcW w:w="2340" w:type="dxa"/>
          </w:tcPr>
          <w:p>
            <w:pPr/>
            <w:r>
              <w:t xml:space="preserve">3</w:t>
            </w:r>
          </w:p>
        </w:tc>
        <w:tc>
          <w:tcPr>
            <w:tcW w:w="2340" w:type="dxa"/>
          </w:tcPr>
          <w:p>
            <w:pPr/>
            <w:r>
              <w:t xml:space="preserve">Lote vencido</w:t>
            </w:r>
          </w:p>
        </w:tc>
        <w:tc>
          <w:tcPr>
            <w:tcW w:w="2340" w:type="dxa"/>
          </w:tcPr>
          <w:p>
            <w:pPr/>
            <w:r>
              <w:t xml:space="preserve">SPEC: no se vende ese lote (D-09). Hoy: se vende con advertencia y queda marcado, por decisión del dueño (notas §23)</w:t>
            </w:r>
          </w:p>
        </w:tc>
        <w:tc>
          <w:tcPr>
            <w:tcW w:w="2340" w:type="dxa"/>
          </w:tcPr>
          <w:p>
            <w:pPr/>
            <w:r>
              <w:t xml:space="preserve">Confirmación de la regla de bloqueo</w:t>
            </w:r>
          </w:p>
        </w:tc>
      </w:tr>
      <w:tr>
        <w:tc>
          <w:tcPr>
            <w:tcW w:w="2340" w:type="dxa"/>
          </w:tcPr>
          <w:p>
            <w:pPr/>
            <w:r>
              <w:t xml:space="preserve">4</w:t>
            </w:r>
          </w:p>
        </w:tc>
        <w:tc>
          <w:tcPr>
            <w:tcW w:w="2340" w:type="dxa"/>
          </w:tcPr>
          <w:p>
            <w:pPr/>
            <w:r>
              <w:t xml:space="preserve">Precio cambió en edición</w:t>
            </w:r>
          </w:p>
        </w:tc>
        <w:tc>
          <w:tcPr>
            <w:tcW w:w="2340" w:type="dxa"/>
          </w:tcPr>
          <w:p>
            <w:pPr/>
            <w:r>
              <w:t xml:space="preserve">Ventas confirmadas no cambian (INV-12)</w:t>
            </w:r>
          </w:p>
        </w:tc>
        <w:tc>
          <w:tcPr>
            <w:tcW w:w="2340" w:type="dxa"/>
          </w:tcPr>
          <w:p>
            <w:pPr/>
            <w:r>
              <w:t xml:space="preserve">Alternativa A–D</w:t>
            </w:r>
          </w:p>
        </w:tc>
      </w:tr>
      <w:tr>
        <w:tc>
          <w:tcPr>
            <w:tcW w:w="2340" w:type="dxa"/>
          </w:tcPr>
          <w:p>
            <w:pPr/>
            <w:r>
              <w:t xml:space="preserve">5</w:t>
            </w:r>
          </w:p>
        </w:tc>
        <w:tc>
          <w:tcPr>
            <w:tcW w:w="2340" w:type="dxa"/>
          </w:tcPr>
          <w:p>
            <w:pPr/>
            <w:r>
              <w:t xml:space="preserve">Error al confirmar</w:t>
            </w:r>
          </w:p>
        </w:tc>
        <w:tc>
          <w:tcPr>
            <w:tcW w:w="2340" w:type="dxa"/>
          </w:tcPr>
          <w:p>
            <w:pPr/>
            <w:r>
              <w:t xml:space="preserve">Sin pérdida ni duplicación (§1)</w:t>
            </w:r>
          </w:p>
        </w:tc>
        <w:tc>
          <w:tcPr>
            <w:tcW w:w="2340" w:type="dxa"/>
          </w:tcPr>
          <w:p>
            <w:pPr/>
            <w:r>
              <w:t xml:space="preserve">Reintento idempotente</w:t>
            </w:r>
          </w:p>
        </w:tc>
      </w:tr>
      <w:tr>
        <w:tc>
          <w:tcPr>
            <w:tcW w:w="2340" w:type="dxa"/>
          </w:tcPr>
          <w:p>
            <w:pPr/>
            <w:r>
              <w:t xml:space="preserve">6</w:t>
            </w:r>
          </w:p>
        </w:tc>
        <w:tc>
          <w:tcPr>
            <w:tcW w:w="2340" w:type="dxa"/>
          </w:tcPr>
          <w:p>
            <w:pPr/>
            <w:r>
              <w:t xml:space="preserve">Pago rechazado</w:t>
            </w:r>
          </w:p>
        </w:tc>
        <w:tc>
          <w:tcPr>
            <w:tcW w:w="2340" w:type="dxa"/>
          </w:tcPr>
          <w:p>
            <w:pPr/>
            <w:r>
              <w:t xml:space="preserve">Estado RECHAZADO del pago (§6.2)</w:t>
            </w:r>
          </w:p>
        </w:tc>
        <w:tc>
          <w:tcPr>
            <w:tcW w:w="2340" w:type="dxa"/>
          </w:tcPr>
          <w:p>
            <w:pPr/>
            <w:r>
              <w:t xml:space="preserve">Qué pasa con la venta y el stock</w:t>
            </w:r>
          </w:p>
        </w:tc>
      </w:tr>
      <w:tr>
        <w:tc>
          <w:tcPr>
            <w:tcW w:w="2340" w:type="dxa"/>
          </w:tcPr>
          <w:p>
            <w:pPr/>
            <w:r>
              <w:t xml:space="preserve">7</w:t>
            </w:r>
          </w:p>
        </w:tc>
        <w:tc>
          <w:tcPr>
            <w:tcW w:w="2340" w:type="dxa"/>
          </w:tcPr>
          <w:p>
            <w:pPr/>
            <w:r>
              <w:t xml:space="preserve">Transferencia/QR sin acreditar</w:t>
            </w:r>
          </w:p>
        </w:tc>
        <w:tc>
          <w:tcPr>
            <w:tcW w:w="2340" w:type="dxa"/>
          </w:tcPr>
          <w:p>
            <w:pPr/>
            <w:r>
              <w:t xml:space="preserve">No se registra como cobrado; registro manual solo tras verificar (D-04)</w:t>
            </w:r>
          </w:p>
        </w:tc>
        <w:tc>
          <w:tcPr>
            <w:tcW w:w="2340" w:type="dxa"/>
          </w:tcPr>
          <w:p>
            <w:pPr/>
            <w:r>
              <w:t xml:space="preserve">Cambio de medio o cancelación</w:t>
            </w:r>
          </w:p>
        </w:tc>
      </w:tr>
      <w:tr>
        <w:tc>
          <w:tcPr>
            <w:tcW w:w="2340" w:type="dxa"/>
          </w:tcPr>
          <w:p>
            <w:pPr/>
            <w:r>
              <w:t xml:space="preserve">8</w:t>
            </w:r>
          </w:p>
        </w:tc>
        <w:tc>
          <w:tcPr>
            <w:tcW w:w="2340" w:type="dxa"/>
          </w:tcPr>
          <w:p>
            <w:pPr/>
            <w:r>
              <w:t xml:space="preserve">Cobro parcial</w:t>
            </w:r>
          </w:p>
        </w:tc>
        <w:tc>
          <w:tcPr>
            <w:tcW w:w="2340" w:type="dxa"/>
          </w:tcPr>
          <w:p>
            <w:pPr/>
            <w:r>
              <w:t xml:space="preserve">Permitido; el saldo queda en cuenta corriente con cliente identificado (RF-08, RF-10)</w:t>
            </w:r>
          </w:p>
        </w:tc>
        <w:tc>
          <w:tcPr>
            <w:tcW w:w="2340" w:type="dxa"/>
          </w:tcPr>
          <w:p>
            <w:pPr/>
            <w:r>
              <w:t xml:space="preserve">Mínimo de pago</w:t>
            </w:r>
          </w:p>
        </w:tc>
      </w:tr>
      <w:tr>
        <w:tc>
          <w:tcPr>
            <w:tcW w:w="2340" w:type="dxa"/>
          </w:tcPr>
          <w:p>
            <w:pPr/>
            <w:r>
              <w:t xml:space="preserve">9</w:t>
            </w:r>
          </w:p>
        </w:tc>
        <w:tc>
          <w:tcPr>
            <w:tcW w:w="2340" w:type="dxa"/>
          </w:tcPr>
          <w:p>
            <w:pPr/>
            <w:r>
              <w:t xml:space="preserve">Cliente supera su límite de crédito</w:t>
            </w:r>
          </w:p>
        </w:tc>
        <w:tc>
          <w:tcPr>
            <w:tcW w:w="2340" w:type="dxa"/>
          </w:tcPr>
          <w:p>
            <w:pPr/>
            <w:r>
              <w:t xml:space="preserve">Bloqueo salvo excepción del dueño (RF-10)</w:t>
            </w:r>
          </w:p>
        </w:tc>
        <w:tc>
          <w:tcPr>
            <w:tcW w:w="2340" w:type="dxa"/>
          </w:tcPr>
          <w:p>
            <w:pPr/>
            <w:r>
              <w:t xml:space="preserve">—</w:t>
            </w:r>
          </w:p>
        </w:tc>
      </w:tr>
      <w:tr>
        <w:tc>
          <w:tcPr>
            <w:tcW w:w="2340" w:type="dxa"/>
          </w:tcPr>
          <w:p>
            <w:pPr/>
            <w:r>
              <w:t xml:space="preserve">10</w:t>
            </w:r>
          </w:p>
        </w:tc>
        <w:tc>
          <w:tcPr>
            <w:tcW w:w="2340" w:type="dxa"/>
          </w:tcPr>
          <w:p>
            <w:pPr/>
            <w:r>
              <w:t xml:space="preserve">Usuario abandona con carrito cargado</w:t>
            </w:r>
          </w:p>
        </w:tc>
        <w:tc>
          <w:tcPr>
            <w:tcW w:w="2340" w:type="dxa"/>
          </w:tcPr>
          <w:p>
            <w:pPr/>
            <w:r>
              <w:t xml:space="preserve">—</w:t>
            </w:r>
          </w:p>
        </w:tc>
        <w:tc>
          <w:tcPr>
            <w:tcW w:w="2340" w:type="dxa"/>
          </w:tcPr>
          <w:p>
            <w:pPr/>
            <w:r>
              <w:t xml:space="preserve">Si se pierde o queda como borrador</w:t>
            </w:r>
          </w:p>
        </w:tc>
      </w:tr>
      <w:tr>
        <w:tc>
          <w:tcPr>
            <w:tcW w:w="2340" w:type="dxa"/>
          </w:tcPr>
          <w:p>
            <w:pPr/>
            <w:r>
              <w:t xml:space="preserve">11</w:t>
            </w:r>
          </w:p>
        </w:tc>
        <w:tc>
          <w:tcPr>
            <w:tcW w:w="2340" w:type="dxa"/>
          </w:tcPr>
          <w:p>
            <w:pPr/>
            <w:r>
              <w:t xml:space="preserve">Código escaneado no identificado</w:t>
            </w:r>
          </w:p>
        </w:tc>
        <w:tc>
          <w:tcPr>
            <w:tcW w:w="2340" w:type="dxa"/>
          </w:tcPr>
          <w:p>
            <w:pPr/>
            <w:r>
              <w:t xml:space="preserve">Se informa; no se crea producto ni se toca stock; se puede iniciar una vinculación autorizada (Catálogo §8.3)</w:t>
            </w:r>
          </w:p>
        </w:tc>
        <w:tc>
          <w:tcPr>
            <w:tcW w:w="2340" w:type="dxa"/>
          </w:tcPr>
          <w:p>
            <w:pPr/>
            <w:r>
              <w:t xml:space="preserve">Quién vincula y si la venta espera o sigue sin ese producto</w:t>
            </w:r>
          </w:p>
        </w:tc>
      </w:tr>
    </w:tbl>
    <w:p>
      <w:pPr>
        <w:pStyle w:val="Heading2"/>
      </w:pPr>
      <w:r>
        <w:t xml:space="preserve">13. Hallazgos en las pantallas</w:t>
      </w:r>
    </w:p>
    <w:p>
      <w:pPr/>
      <w:r>
        <w:t xml:space="preserve">El hallazgo más importante es un error de cálculo: el subtotal mostrado ($15.000,28) no es la suma de las líneas ($14.997,28). Diferencia: $3,00, que se arrastra al IVA, al total y al vuelto.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Concepto</w:t>
            </w:r>
          </w:p>
        </w:tc>
        <w:tc>
          <w:tcPr>
            <w:tcW w:w="2340" w:type="dxa"/>
            <w:shd w:val="clear" w:color="auto" w:fill="F2F2F2"/>
          </w:tcPr>
          <w:p>
            <w:pPr/>
            <w:r>
              <w:t xml:space="preserve">Pantalla</w:t>
            </w:r>
          </w:p>
        </w:tc>
        <w:tc>
          <w:tcPr>
            <w:tcW w:w="2340" w:type="dxa"/>
            <w:shd w:val="clear" w:color="auto" w:fill="F2F2F2"/>
          </w:tcPr>
          <w:p>
            <w:pPr/>
            <w:r>
              <w:t xml:space="preserve">Recalculado</w:t>
            </w:r>
          </w:p>
        </w:tc>
        <w:tc>
          <w:tcPr>
            <w:tcW w:w="2340" w:type="dxa"/>
            <w:shd w:val="clear" w:color="auto" w:fill="F2F2F2"/>
          </w:tcPr>
          <w:p>
            <w:pPr/>
            <w:r>
              <w:t xml:space="preserve">Diferencia</w:t>
            </w:r>
          </w:p>
        </w:tc>
      </w:tr>
      <w:tr>
        <w:tc>
          <w:tcPr>
            <w:tcW w:w="2340" w:type="dxa"/>
          </w:tcPr>
          <w:p>
            <w:pPr/>
            <w:r>
              <w:t xml:space="preserve">Subtotal (4.900,00 + 2.850,00 + 7.247,28)</w:t>
            </w:r>
          </w:p>
        </w:tc>
        <w:tc>
          <w:tcPr>
            <w:tcW w:w="2340" w:type="dxa"/>
          </w:tcPr>
          <w:p>
            <w:pPr/>
            <w:r>
              <w:t xml:space="preserve">$15.000,28</w:t>
            </w:r>
          </w:p>
        </w:tc>
        <w:tc>
          <w:tcPr>
            <w:tcW w:w="2340" w:type="dxa"/>
          </w:tcPr>
          <w:p>
            <w:pPr/>
            <w:r>
              <w:t xml:space="preserve">$14.997,28</w:t>
            </w:r>
          </w:p>
        </w:tc>
        <w:tc>
          <w:tcPr>
            <w:tcW w:w="2340" w:type="dxa"/>
          </w:tcPr>
          <w:p>
            <w:pPr/>
            <w:r>
              <w:t xml:space="preserve">$3,00</w:t>
            </w:r>
          </w:p>
        </w:tc>
      </w:tr>
      <w:tr>
        <w:tc>
          <w:tcPr>
            <w:tcW w:w="2340" w:type="dxa"/>
          </w:tcPr>
          <w:p>
            <w:pPr/>
            <w:r>
              <w:t xml:space="preserve">IVA 21%</w:t>
            </w:r>
          </w:p>
        </w:tc>
        <w:tc>
          <w:tcPr>
            <w:tcW w:w="2340" w:type="dxa"/>
          </w:tcPr>
          <w:p>
            <w:pPr/>
            <w:r>
              <w:t xml:space="preserve">$3.150,06</w:t>
            </w:r>
          </w:p>
        </w:tc>
        <w:tc>
          <w:tcPr>
            <w:tcW w:w="2340" w:type="dxa"/>
          </w:tcPr>
          <w:p>
            <w:pPr/>
            <w:r>
              <w:t xml:space="preserve">$3.149,43</w:t>
            </w:r>
          </w:p>
        </w:tc>
        <w:tc>
          <w:tcPr>
            <w:tcW w:w="2340" w:type="dxa"/>
          </w:tcPr>
          <w:p>
            <w:pPr/>
            <w:r>
              <w:t xml:space="preserve">$0,63</w:t>
            </w:r>
          </w:p>
        </w:tc>
      </w:tr>
      <w:tr>
        <w:tc>
          <w:tcPr>
            <w:tcW w:w="2340" w:type="dxa"/>
          </w:tcPr>
          <w:p>
            <w:pPr/>
            <w:r>
              <w:t xml:space="preserve">Total</w:t>
            </w:r>
          </w:p>
        </w:tc>
        <w:tc>
          <w:tcPr>
            <w:tcW w:w="2340" w:type="dxa"/>
          </w:tcPr>
          <w:p>
            <w:pPr/>
            <w:r>
              <w:t xml:space="preserve">$18.150,34</w:t>
            </w:r>
          </w:p>
        </w:tc>
        <w:tc>
          <w:tcPr>
            <w:tcW w:w="2340" w:type="dxa"/>
          </w:tcPr>
          <w:p>
            <w:pPr/>
            <w:r>
              <w:t xml:space="preserve">$18.146,71</w:t>
            </w:r>
          </w:p>
        </w:tc>
        <w:tc>
          <w:tcPr>
            <w:tcW w:w="2340" w:type="dxa"/>
          </w:tcPr>
          <w:p>
            <w:pPr/>
            <w:r>
              <w:t xml:space="preserve">$3,63</w:t>
            </w:r>
          </w:p>
        </w:tc>
      </w:tr>
      <w:tr>
        <w:tc>
          <w:tcPr>
            <w:tcW w:w="2340" w:type="dxa"/>
          </w:tcPr>
          <w:p>
            <w:pPr/>
            <w:r>
              <w:t xml:space="preserve">Vuelto sobre $20.000</w:t>
            </w:r>
          </w:p>
        </w:tc>
        <w:tc>
          <w:tcPr>
            <w:tcW w:w="2340" w:type="dxa"/>
          </w:tcPr>
          <w:p>
            <w:pPr/>
            <w:r>
              <w:t xml:space="preserve">$1.849,66</w:t>
            </w:r>
          </w:p>
        </w:tc>
        <w:tc>
          <w:tcPr>
            <w:tcW w:w="2340" w:type="dxa"/>
          </w:tcPr>
          <w:p>
            <w:pPr/>
            <w:r>
              <w:t xml:space="preserve">$1.853,29</w:t>
            </w:r>
          </w:p>
        </w:tc>
        <w:tc>
          <w:tcPr>
            <w:tcW w:w="2340" w:type="dxa"/>
          </w:tcPr>
          <w:p>
            <w:pPr/>
            <w:r>
              <w:t xml:space="preserve">$3,63</w:t>
            </w:r>
          </w:p>
        </w:tc>
      </w:tr>
    </w:tbl>
    <w:p>
      <w:pPr/>
      <w:r>
        <w:t xml:space="preserve">Si son datos de maqueta, igual conviene corregirlos: la guía para vendedores y los tests se van a basar en estos ejemplos.</w:t>
      </w:r>
    </w:p>
    <w:p>
      <w:pPr/>
      <w:r>
        <w:t xml:space="preserve">Otros hallazgos, de mayor a menor impacto:</w:t>
      </w:r>
    </w:p>
    <w:p>
      <w:pPr>
        <w:pStyle w:val="ListParagraph"/>
        <w:numPr>
          <w:ilvl w:val="0"/>
          <w:numId w:val="6"/>
        </w:numPr>
      </w:pPr>
      <w:r>
        <w:rPr>
          <w:b/>
        </w:rPr>
        <w:t xml:space="preserve">IVA sin respaldo en el sistema.</w:t>
      </w:r>
      <w:r>
        <w:t xml:space="preserve"> El rediseño suma 21% al precio, pero el backend calcula el total como suma de líneas, sin IVA (ventas service l.99–106). Si se implementa la pantalla tal cual, el total mostrado no coincidiría con el registrado. Decidir con el contador según la condición ante IVA del comercio.</w:t>
      </w:r>
    </w:p>
    <w:p>
      <w:pPr>
        <w:pStyle w:val="ListParagraph"/>
        <w:numPr>
          <w:ilvl w:val="0"/>
          <w:numId w:val="6"/>
        </w:numPr>
      </w:pPr>
      <w:r>
        <w:rPr>
          <w:b/>
        </w:rPr>
        <w:t xml:space="preserve">Stock negativo por concurrencia (C14).</w:t>
      </w:r>
      <w:r>
        <w:t xml:space="preserve"> El descuento de stock lee y decrementa lotes sin condición atómica; el ajuste manual sí la tiene. Dos ventas simultáneas del mismo producto pueden violar INV-06.</w:t>
      </w:r>
    </w:p>
    <w:p>
      <w:pPr>
        <w:pStyle w:val="ListParagraph"/>
        <w:numPr>
          <w:ilvl w:val="0"/>
          <w:numId w:val="6"/>
        </w:numPr>
      </w:pPr>
      <w:r>
        <w:rPr>
          <w:b/>
        </w:rPr>
        <w:t xml:space="preserve">Ventas sin cobrar con un clic (C18).</w:t>
      </w:r>
      <w:r>
        <w:t xml:space="preserve"> Confirmar descuenta stock y “Nueva venta” está habilitado con saldo pendiente, sin aviso. Sin cuenta corriente, esa deuda no queda registrada, pero sí suma para el nivel de fidelidad del cliente (C21).</w:t>
      </w:r>
    </w:p>
    <w:p>
      <w:pPr>
        <w:pStyle w:val="ListParagraph"/>
        <w:numPr>
          <w:ilvl w:val="0"/>
          <w:numId w:val="6"/>
        </w:numPr>
      </w:pPr>
      <w:r>
        <w:rPr>
          <w:b/>
        </w:rPr>
        <w:t xml:space="preserve">Cliente de otra empresa (C10).</w:t>
      </w:r>
      <w:r>
        <w:t xml:space="preserve"> La venta acepta cualquier </w:t>
      </w:r>
      <w:r>
        <w:rPr>
          <w:rStyle w:val="CodeChar"/>
        </w:rPr>
        <w:t xml:space="preserve">clienteId</w:t>
      </w:r>
      <w:r>
        <w:t xml:space="preserve"> con formato válido; el cálculo de nivel no lo detecta. El schema tampoco lo impide: la FK usa solo el id del cliente.</w:t>
      </w:r>
    </w:p>
    <w:p>
      <w:pPr>
        <w:pStyle w:val="ListParagraph"/>
        <w:numPr>
          <w:ilvl w:val="0"/>
          <w:numId w:val="6"/>
        </w:numPr>
      </w:pPr>
      <w:r>
        <w:rPr>
          <w:b/>
        </w:rPr>
        <w:t xml:space="preserve">Descuento manual sin control (C1, C2).</w:t>
      </w:r>
      <w:r>
        <w:t xml:space="preserve"> La pantalla no lo usa, pero la API acepta cualquier monto por línea sin autorización, incluso uno que deja la venta en negativo.</w:t>
      </w:r>
    </w:p>
    <w:p>
      <w:pPr>
        <w:pStyle w:val="ListParagraph"/>
        <w:numPr>
          <w:ilvl w:val="0"/>
          <w:numId w:val="6"/>
        </w:numPr>
      </w:pPr>
      <w:r>
        <w:rPr>
          <w:b/>
        </w:rPr>
        <w:t xml:space="preserve">Lote vencido se vende (C15).</w:t>
      </w:r>
      <w:r>
        <w:t xml:space="preserve"> Decisión del dueño (notas §23) contraria a la SPEC (INV-07, D-09). Además, el aviso llega después de confirmar (C20).</w:t>
      </w:r>
    </w:p>
    <w:p>
      <w:pPr>
        <w:pStyle w:val="ListParagraph"/>
        <w:numPr>
          <w:ilvl w:val="0"/>
          <w:numId w:val="6"/>
        </w:numPr>
      </w:pPr>
      <w:r>
        <w:rPr>
          <w:b/>
        </w:rPr>
        <w:t xml:space="preserve">El vendedor ve un total y se cobra otro (C20).</w:t>
      </w:r>
      <w:r>
        <w:t xml:space="preserve"> El total estimado del carrito no incluye el descuento de fidelidad; el real aparece después de confirmar.</w:t>
      </w:r>
    </w:p>
    <w:p>
      <w:pPr>
        <w:pStyle w:val="ListParagraph"/>
        <w:numPr>
          <w:ilvl w:val="0"/>
          <w:numId w:val="6"/>
        </w:numPr>
      </w:pPr>
      <w:r>
        <w:rPr>
          <w:b/>
        </w:rPr>
        <w:t xml:space="preserve">Efectivo: sin vuelto ni monto recibido (C19)</w:t>
      </w:r>
      <w:r>
        <w:t xml:space="preserve"> y </w:t>
      </w:r>
      <w:r>
        <w:rPr>
          <w:b/>
        </w:rPr>
        <w:t xml:space="preserve">sin movimiento de caja si la caja está cerrada (C17).</w:t>
      </w:r>
    </w:p>
    <w:p>
      <w:pPr>
        <w:pStyle w:val="ListParagraph"/>
        <w:numPr>
          <w:ilvl w:val="0"/>
          <w:numId w:val="6"/>
        </w:numPr>
      </w:pPr>
      <w:r>
        <w:rPr>
          <w:b/>
        </w:rPr>
        <w:t xml:space="preserve">Transferencias sin evidencia (C16).</w:t>
      </w:r>
      <w:r>
        <w:t xml:space="preserve"> El pago nace APROBADO sin guardar referencia ni quién verificó la acreditación más allá del usuario que lo cargó.</w:t>
      </w:r>
    </w:p>
    <w:p>
      <w:pPr>
        <w:pStyle w:val="ListParagraph"/>
        <w:numPr>
          <w:ilvl w:val="0"/>
          <w:numId w:val="6"/>
        </w:numPr>
      </w:pPr>
      <w:r>
        <w:rPr>
          <w:b/>
        </w:rPr>
        <w:t xml:space="preserve">Punto flotante sin redondeo (C3)</w:t>
      </w:r>
      <w:r>
        <w:t xml:space="preserve"> en ventas, pagos y pantalla.</w:t>
      </w:r>
    </w:p>
    <w:p>
      <w:pPr>
        <w:pStyle w:val="ListParagraph"/>
        <w:numPr>
          <w:ilvl w:val="0"/>
          <w:numId w:val="6"/>
        </w:numPr>
      </w:pPr>
      <w:r>
        <w:rPr>
          <w:b/>
        </w:rPr>
        <w:t xml:space="preserve">Productos desactivados y cantidades fraccionarias aceptados.</w:t>
      </w:r>
      <w:r>
        <w:t xml:space="preserve"> Los inactivos aparecen en la búsqueda del POS sin ninguna marca y se venden normalmente (C4, C5, C27).</w:t>
      </w:r>
    </w:p>
    <w:p>
      <w:pPr>
        <w:pStyle w:val="ListParagraph"/>
        <w:numPr>
          <w:ilvl w:val="0"/>
          <w:numId w:val="6"/>
        </w:numPr>
      </w:pPr>
      <w:r>
        <w:rPr>
          <w:b/>
        </w:rPr>
        <w:t xml:space="preserve">El rediseño pierde los pagos mixtos</w:t>
      </w:r>
      <w:r>
        <w:t xml:space="preserve"> que la pantalla actual ya tiene (varios “Registrar pago” por venta).</w:t>
      </w:r>
    </w:p>
    <w:p>
      <w:pPr>
        <w:pStyle w:val="ListParagraph"/>
        <w:numPr>
          <w:ilvl w:val="0"/>
          <w:numId w:val="6"/>
        </w:numPr>
      </w:pPr>
      <w:r>
        <w:rPr>
          <w:b/>
        </w:rPr>
        <w:t xml:space="preserve">Quién autoriza</w:t>
      </w:r>
      <w:r>
        <w:t xml:space="preserve"> (notas §21) y </w:t>
      </w:r>
      <w:r>
        <w:rPr>
          <w:b/>
        </w:rPr>
        <w:t xml:space="preserve">cambios de precio</w:t>
      </w:r>
      <w:r>
        <w:t xml:space="preserve"> por el Asistente de local (notas §9.3): contrarios a SPEC §3.2. El cambio de precio sobrescribe el valor sin auditoría ni historial (C29), y el SKU de un producto nuevo lo escribe quien lo carga (C28).</w:t>
      </w:r>
    </w:p>
    <w:p>
      <w:pPr>
        <w:pStyle w:val="ListParagraph"/>
        <w:numPr>
          <w:ilvl w:val="0"/>
          <w:numId w:val="6"/>
        </w:numPr>
      </w:pPr>
      <w:r>
        <w:rPr>
          <w:b/>
        </w:rPr>
        <w:t xml:space="preserve">Sin auditoría (C12)</w:t>
      </w:r>
      <w:r>
        <w:t xml:space="preserve"> y </w:t>
      </w:r>
      <w:r>
        <w:rPr>
          <w:b/>
        </w:rPr>
        <w:t xml:space="preserve">historial sin estado de cobro (C6).</w:t>
      </w:r>
    </w:p>
    <w:p>
      <w:pPr>
        <w:pStyle w:val="ListParagraph"/>
        <w:numPr>
          <w:ilvl w:val="0"/>
          <w:numId w:val="6"/>
        </w:numPr>
      </w:pPr>
      <w:r>
        <w:rPr>
          <w:b/>
        </w:rPr>
        <w:t xml:space="preserve">Rediseño:</w:t>
      </w:r>
      <w:r>
        <w:t xml:space="preserve"> código con un segmento de menos (el real es </w:t>
      </w:r>
      <w:r>
        <w:rPr>
          <w:rStyle w:val="CodeChar"/>
        </w:rPr>
        <w:t xml:space="preserve">FAM-SUB-TIP-SUBT-NNNNNNNN</w:t>
      </w:r>
      <w:r>
        <w:t xml:space="preserve">), error de suma, paso del asistente inconsistente, datos bancarios de ejemplo, typo “LAYS CLASCAS” e ícono repetido. Sin códigos de barras cargados en el catálogo.</w:t>
      </w:r>
    </w:p>
    <w:p>
      <w:pPr/>
      <w:r>
        <w:t xml:space="preserve">Inconsistencias entre los documentos, a resolver antes de la SPEC de Ventas:</w:t>
      </w:r>
    </w:p>
    <w:p>
      <w:pPr>
        <w:pStyle w:val="ListParagraph"/>
        <w:numPr>
          <w:ilvl w:val="0"/>
          <w:numId w:val="7"/>
        </w:numPr>
      </w:pPr>
      <w:r>
        <w:t xml:space="preserve">La SPEC general §12 está desactualizada: dice que el repositorio “no existe todavía” y que no hay implementación verificada, pero las notas documentan 37 incrementos, varios en producción.</w:t>
      </w:r>
    </w:p>
    <w:p>
      <w:pPr>
        <w:pStyle w:val="ListParagraph"/>
        <w:numPr>
          <w:ilvl w:val="0"/>
          <w:numId w:val="7"/>
        </w:numPr>
      </w:pPr>
      <w:r>
        <w:t xml:space="preserve">La SPEC general fija 4 categorías iniciales (RF-03); el modelo </w:t>
      </w:r>
      <w:r>
        <w:rPr>
          <w:rStyle w:val="CodeChar"/>
        </w:rPr>
        <w:t xml:space="preserve">Categoria</w:t>
      </w:r>
      <w:r>
        <w:t xml:space="preserve"> fue eliminado y reemplazado por Familia/Subfamilia/Tipo/Subtipo (notas §31).</w:t>
      </w:r>
    </w:p>
    <w:p>
      <w:pPr>
        <w:pStyle w:val="ListParagraph"/>
        <w:numPr>
          <w:ilvl w:val="0"/>
          <w:numId w:val="7"/>
        </w:numPr>
      </w:pPr>
      <w:r>
        <w:t xml:space="preserve">Tres decisiones del dueño registradas en las notas contradicen la SPEC y no fueron llevadas a ella: venta de lotes vencidos (§23), sin excepción por stock insuficiente (§23) y autorizador con permiso en lugar del dueño (§21).</w:t>
      </w:r>
    </w:p>
    <w:p>
      <w:pPr>
        <w:pStyle w:val="ListParagraph"/>
        <w:numPr>
          <w:ilvl w:val="0"/>
          <w:numId w:val="7"/>
        </w:numPr>
      </w:pPr>
      <w:r>
        <w:t xml:space="preserve">Nombre: la SPEC y las notas dicen “Otra Roonda Más”; el design system y las pantallas, “Otra Ronda Más”.</w:t>
      </w:r>
    </w:p>
    <w:p>
      <w:pPr/>
      <w:r>
        <w:t xml:space="preserve">Alineación con el </w:t>
      </w:r>
      <w:hyperlink r:id="rId3" w:history="1">
        <w:r>
          <w:rPr>
            <w:rStyle w:val="Hyperlink"/>
          </w:rPr>
          <w:t xml:space="preserve">design system</w:t>
        </w:r>
      </w:hyperlink>
      <w:r>
        <w:t xml:space="preserve">:</w:t>
      </w:r>
    </w:p>
    <w:p>
      <w:pPr>
        <w:pStyle w:val="ListParagraph"/>
        <w:numPr>
          <w:ilvl w:val="0"/>
          <w:numId w:val="8"/>
        </w:numPr>
      </w:pPr>
      <w:r>
        <w:rPr>
          <w:b/>
        </w:rPr>
        <w:t xml:space="preserve">Cumple:</w:t>
      </w:r>
      <w:r>
        <w:t xml:space="preserve"> sidebar negro #111111, acento amarillo #F9D82E en ítem activo y botón primario, fondo gris claro, cards blancas, layout de dos zonas para POS (catálogo + carrito), vuelto en verde de éxito, aviso de verificación en azul de información.</w:t>
      </w:r>
    </w:p>
    <w:p>
      <w:pPr>
        <w:pStyle w:val="ListParagraph"/>
        <w:numPr>
          <w:ilvl w:val="0"/>
          <w:numId w:val="8"/>
        </w:numPr>
      </w:pPr>
      <w:r>
        <w:rPr>
          <w:b/>
        </w:rPr>
        <w:t xml:space="preserve">Revisar:</w:t>
      </w:r>
      <w:r>
        <w:t xml:space="preserve"> texto oscuro sobre botón amarillo deshabilitado (contraste WCAG AA 4.5:1); que precios y códigos usen el estilo Mono Medium (13px / 500) que el sistema reserva para datos tabulares, no verificable desde capturas.</w:t>
      </w:r>
    </w:p>
    <w:p>
      <w:pPr>
        <w:pStyle w:val="Heading2"/>
      </w:pPr>
      <w:r>
        <w:t xml:space="preserve">14. Decisiones: resueltas y pendientes</w:t>
      </w:r>
    </w:p>
    <w:p>
      <w:pPr/>
      <w:r>
        <w:t xml:space="preserve">De las 17 preguntas del borrador, la SPEC general resuelve 11 en su dirección de diseño, deja 4 parcialmente abiertas y no trata 2. Los datos comerciales concretos (montos, porcentajes, plazos) siguen pendientes y deben quedar configurables.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Pregunta</w:t>
            </w:r>
          </w:p>
        </w:tc>
        <w:tc>
          <w:tcPr>
            <w:tcW w:w="3120" w:type="dxa"/>
            <w:shd w:val="clear" w:color="auto" w:fill="F2F2F2"/>
          </w:tcPr>
          <w:p>
            <w:pPr/>
            <w:r>
              <w:t xml:space="preserve">Estado</w:t>
            </w:r>
          </w:p>
        </w:tc>
        <w:tc>
          <w:tcPr>
            <w:tcW w:w="3120" w:type="dxa"/>
            <w:shd w:val="clear" w:color="auto" w:fill="F2F2F2"/>
          </w:tcPr>
          <w:p>
            <w:pPr/>
            <w:r>
              <w:t xml:space="preserve">Respuesta o decisión asociada</w:t>
            </w:r>
          </w:p>
        </w:tc>
      </w:tr>
      <w:tr>
        <w:tc>
          <w:tcPr>
            <w:tcW w:w="3120" w:type="dxa"/>
          </w:tcPr>
          <w:p>
            <w:pPr/>
            <w:r>
              <w:t xml:space="preserve">¿Cliente obligatorio?</w:t>
            </w:r>
          </w:p>
        </w:tc>
        <w:tc>
          <w:tcPr>
            <w:tcW w:w="3120" w:type="dxa"/>
          </w:tcPr>
          <w:p>
            <w:pPr/>
            <w:r>
              <w:t xml:space="preserve">Resuelta</w:t>
            </w:r>
          </w:p>
        </w:tc>
        <w:tc>
          <w:tcPr>
            <w:tcW w:w="3120" w:type="dxa"/>
          </w:tcPr>
          <w:p>
            <w:pPr/>
            <w:r>
              <w:t xml:space="preserve">No; se puede vender sin identificar (RF-05)</w:t>
            </w:r>
          </w:p>
        </w:tc>
      </w:tr>
      <w:tr>
        <w:tc>
          <w:tcPr>
            <w:tcW w:w="3120" w:type="dxa"/>
          </w:tcPr>
          <w:p>
            <w:pPr/>
            <w:r>
              <w:t xml:space="preserve">¿Existe Consumidor final?</w:t>
            </w:r>
          </w:p>
        </w:tc>
        <w:tc>
          <w:tcPr>
            <w:tcW w:w="3120" w:type="dxa"/>
          </w:tcPr>
          <w:p>
            <w:pPr/>
            <w:r>
              <w:t xml:space="preserve">Resuelta</w:t>
            </w:r>
          </w:p>
        </w:tc>
        <w:tc>
          <w:tcPr>
            <w:tcW w:w="3120" w:type="dxa"/>
          </w:tcPr>
          <w:p>
            <w:pPr/>
            <w:r>
              <w:t xml:space="preserve">Sí, como venta sin cliente identificado (RF-05)</w:t>
            </w:r>
          </w:p>
        </w:tc>
      </w:tr>
      <w:tr>
        <w:tc>
          <w:tcPr>
            <w:tcW w:w="3120" w:type="dxa"/>
          </w:tcPr>
          <w:p>
            <w:pPr/>
            <w:r>
              <w:t xml:space="preserve">¿Ventas a crédito?</w:t>
            </w:r>
          </w:p>
        </w:tc>
        <w:tc>
          <w:tcPr>
            <w:tcW w:w="3120" w:type="dxa"/>
          </w:tcPr>
          <w:p>
            <w:pPr/>
            <w:r>
              <w:t xml:space="preserve">Resuelta</w:t>
            </w:r>
          </w:p>
        </w:tc>
        <w:tc>
          <w:tcPr>
            <w:tcW w:w="3120" w:type="dxa"/>
          </w:tcPr>
          <w:p>
            <w:pPr/>
            <w:r>
              <w:t xml:space="preserve">Sí, con límite y plazo de 30 días (RF-10)</w:t>
            </w:r>
          </w:p>
        </w:tc>
      </w:tr>
      <w:tr>
        <w:tc>
          <w:tcPr>
            <w:tcW w:w="3120" w:type="dxa"/>
          </w:tcPr>
          <w:p>
            <w:pPr/>
            <w:r>
              <w:t xml:space="preserve">¿Pagos parciales?</w:t>
            </w:r>
          </w:p>
        </w:tc>
        <w:tc>
          <w:tcPr>
            <w:tcW w:w="3120" w:type="dxa"/>
          </w:tcPr>
          <w:p>
            <w:pPr/>
            <w:r>
              <w:t xml:space="preserve">Resuelta</w:t>
            </w:r>
          </w:p>
        </w:tc>
        <w:tc>
          <w:tcPr>
            <w:tcW w:w="3120" w:type="dxa"/>
          </w:tcPr>
          <w:p>
            <w:pPr/>
            <w:r>
              <w:t xml:space="preserve">Sí (RF-08, RF-10, D-16)</w:t>
            </w:r>
          </w:p>
        </w:tc>
      </w:tr>
      <w:tr>
        <w:tc>
          <w:tcPr>
            <w:tcW w:w="3120" w:type="dxa"/>
          </w:tcPr>
          <w:p>
            <w:pPr/>
            <w:r>
              <w:t xml:space="preserve">¿Qué pasa sin stock?</w:t>
            </w:r>
          </w:p>
        </w:tc>
        <w:tc>
          <w:tcPr>
            <w:tcW w:w="3120" w:type="dxa"/>
          </w:tcPr>
          <w:p>
            <w:pPr/>
            <w:r>
              <w:t xml:space="preserve">Resuelta</w:t>
            </w:r>
          </w:p>
        </w:tc>
        <w:tc>
          <w:tcPr>
            <w:tcW w:w="3120" w:type="dxa"/>
          </w:tcPr>
          <w:p>
            <w:pPr/>
            <w:r>
              <w:t xml:space="preserve">Bloqueo con excepción autorizada (RF-11, INV-06); implementado sin excepción</w:t>
            </w:r>
          </w:p>
        </w:tc>
      </w:tr>
      <w:tr>
        <w:tc>
          <w:tcPr>
            <w:tcW w:w="3120" w:type="dxa"/>
          </w:tcPr>
          <w:p>
            <w:pPr/>
            <w:r>
              <w:t xml:space="preserve">¿Medios de pago?</w:t>
            </w:r>
          </w:p>
        </w:tc>
        <w:tc>
          <w:tcPr>
            <w:tcW w:w="3120" w:type="dxa"/>
          </w:tcPr>
          <w:p>
            <w:pPr/>
            <w:r>
              <w:t xml:space="preserve">Resuelta</w:t>
            </w:r>
          </w:p>
        </w:tc>
        <w:tc>
          <w:tcPr>
            <w:tcW w:w="3120" w:type="dxa"/>
          </w:tcPr>
          <w:p>
            <w:pPr/>
            <w:r>
              <w:t xml:space="preserve">Efectivo, transferencia, QR, Mercado Pago (RF-08)</w:t>
            </w:r>
          </w:p>
        </w:tc>
      </w:tr>
      <w:tr>
        <w:tc>
          <w:tcPr>
            <w:tcW w:w="3120" w:type="dxa"/>
          </w:tcPr>
          <w:p>
            <w:pPr/>
            <w:r>
              <w:t xml:space="preserve">¿Cómo se verifica QR/transferencia?</w:t>
            </w:r>
          </w:p>
        </w:tc>
        <w:tc>
          <w:tcPr>
            <w:tcW w:w="3120" w:type="dxa"/>
          </w:tcPr>
          <w:p>
            <w:pPr/>
            <w:r>
              <w:t xml:space="preserve">Resuelta en dirección</w:t>
            </w:r>
          </w:p>
        </w:tc>
        <w:tc>
          <w:tcPr>
            <w:tcW w:w="3120" w:type="dxa"/>
          </w:tcPr>
          <w:p>
            <w:pPr/>
            <w:r>
              <w:t xml:space="preserve">Registro manual; automático solo si está integrado (D-04)</w:t>
            </w:r>
          </w:p>
        </w:tc>
      </w:tr>
      <w:tr>
        <w:tc>
          <w:tcPr>
            <w:tcW w:w="3120" w:type="dxa"/>
          </w:tcPr>
          <w:p>
            <w:pPr/>
            <w:r>
              <w:t xml:space="preserve">¿Comprobante?</w:t>
            </w:r>
          </w:p>
        </w:tc>
        <w:tc>
          <w:tcPr>
            <w:tcW w:w="3120" w:type="dxa"/>
          </w:tcPr>
          <w:p>
            <w:pPr/>
            <w:r>
              <w:t xml:space="preserve">Resuelta</w:t>
            </w:r>
          </w:p>
        </w:tc>
        <w:tc>
          <w:tcPr>
            <w:tcW w:w="3120" w:type="dxa"/>
          </w:tcPr>
          <w:p>
            <w:pPr/>
            <w:r>
              <w:t xml:space="preserve">Interno + ticket impreso; sin factura fiscal (RF-05, §2.2)</w:t>
            </w:r>
          </w:p>
        </w:tc>
      </w:tr>
      <w:tr>
        <w:tc>
          <w:tcPr>
            <w:tcW w:w="3120" w:type="dxa"/>
          </w:tcPr>
          <w:p>
            <w:pPr/>
            <w:r>
              <w:t xml:space="preserve">¿Anulación?</w:t>
            </w:r>
          </w:p>
        </w:tc>
        <w:tc>
          <w:tcPr>
            <w:tcW w:w="3120" w:type="dxa"/>
          </w:tcPr>
          <w:p>
            <w:pPr/>
            <w:r>
              <w:t xml:space="preserve">Resuelta en dirección</w:t>
            </w:r>
          </w:p>
        </w:tc>
        <w:tc>
          <w:tcPr>
            <w:tcW w:w="3120" w:type="dxa"/>
          </w:tcPr>
          <w:p>
            <w:pPr/>
            <w:r>
              <w:t xml:space="preserve">Operación vinculada, restringida, autorizada (INV-02, §3.2)</w:t>
            </w:r>
          </w:p>
        </w:tc>
      </w:tr>
      <w:tr>
        <w:tc>
          <w:tcPr>
            <w:tcW w:w="3120" w:type="dxa"/>
          </w:tcPr>
          <w:p>
            <w:pPr/>
            <w:r>
              <w:t xml:space="preserve">¿Devolución?</w:t>
            </w:r>
          </w:p>
        </w:tc>
        <w:tc>
          <w:tcPr>
            <w:tcW w:w="3120" w:type="dxa"/>
          </w:tcPr>
          <w:p>
            <w:pPr/>
            <w:r>
              <w:t xml:space="preserve">Resuelta en dirección</w:t>
            </w:r>
          </w:p>
        </w:tc>
        <w:tc>
          <w:tcPr>
            <w:tcW w:w="3120" w:type="dxa"/>
          </w:tcPr>
          <w:p>
            <w:pPr/>
            <w:r>
              <w:t xml:space="preserve">Vinculada a la venta original con movimiento de stock (D-17)</w:t>
            </w:r>
          </w:p>
        </w:tc>
      </w:tr>
      <w:tr>
        <w:tc>
          <w:tcPr>
            <w:tcW w:w="3120" w:type="dxa"/>
          </w:tcPr>
          <w:p>
            <w:pPr/>
            <w:r>
              <w:t xml:space="preserve">¿Permisos por rol?</w:t>
            </w:r>
          </w:p>
        </w:tc>
        <w:tc>
          <w:tcPr>
            <w:tcW w:w="3120" w:type="dxa"/>
          </w:tcPr>
          <w:p>
            <w:pPr/>
            <w:r>
              <w:t xml:space="preserve">Resuelta en dirección</w:t>
            </w:r>
          </w:p>
        </w:tc>
        <w:tc>
          <w:tcPr>
            <w:tcW w:w="3120" w:type="dxa"/>
          </w:tcPr>
          <w:p>
            <w:pPr/>
            <w:r>
              <w:t xml:space="preserve">Configurables por el dueño; lista de operaciones restringidas (§3.2)</w:t>
            </w:r>
          </w:p>
        </w:tc>
      </w:tr>
      <w:tr>
        <w:tc>
          <w:tcPr>
            <w:tcW w:w="3120" w:type="dxa"/>
          </w:tcPr>
          <w:p>
            <w:pPr/>
            <w:r>
              <w:t xml:space="preserve">¿Precio definitivo?</w:t>
            </w:r>
          </w:p>
        </w:tc>
        <w:tc>
          <w:tcPr>
            <w:tcW w:w="3120" w:type="dxa"/>
          </w:tcPr>
          <w:p>
            <w:pPr/>
            <w:r>
              <w:t xml:space="preserve">Parcial</w:t>
            </w:r>
          </w:p>
        </w:tc>
        <w:tc>
          <w:tcPr>
            <w:tcW w:w="3120" w:type="dxa"/>
          </w:tcPr>
          <w:p>
            <w:pPr/>
            <w:r>
              <w:t xml:space="preserve">Confirmada no cambia (INV-12); falta la regla de selección del precio de venta (Catálogo §10.5) y la alternativa A–D en edición</w:t>
            </w:r>
          </w:p>
        </w:tc>
      </w:tr>
      <w:tr>
        <w:tc>
          <w:tcPr>
            <w:tcW w:w="3120" w:type="dxa"/>
          </w:tcPr>
          <w:p>
            <w:pPr/>
            <w:r>
              <w:t xml:space="preserve">¿Listas de precios?</w:t>
            </w:r>
          </w:p>
        </w:tc>
        <w:tc>
          <w:tcPr>
            <w:tcW w:w="3120" w:type="dxa"/>
          </w:tcPr>
          <w:p>
            <w:pPr/>
            <w:r>
              <w:t xml:space="preserve">Parcial</w:t>
            </w:r>
          </w:p>
        </w:tc>
        <w:tc>
          <w:tcPr>
            <w:tcW w:w="3120" w:type="dxa"/>
          </w:tcPr>
          <w:p>
            <w:pPr/>
            <w:r>
              <w:t xml:space="preserve">Minorista / mayorista con reglas (D-01); datos pendientes</w:t>
            </w:r>
          </w:p>
        </w:tc>
      </w:tr>
      <w:tr>
        <w:tc>
          <w:tcPr>
            <w:tcW w:w="3120" w:type="dxa"/>
          </w:tcPr>
          <w:p>
            <w:pPr/>
            <w:r>
              <w:t xml:space="preserve">¿Descuentos?</w:t>
            </w:r>
          </w:p>
        </w:tc>
        <w:tc>
          <w:tcPr>
            <w:tcW w:w="3120" w:type="dxa"/>
          </w:tcPr>
          <w:p>
            <w:pPr/>
            <w:r>
              <w:t xml:space="preserve">Parcial</w:t>
            </w:r>
          </w:p>
        </w:tc>
        <w:tc>
          <w:tcPr>
            <w:tcW w:w="3120" w:type="dxa"/>
          </w:tcPr>
          <w:p>
            <w:pPr/>
            <w:r>
              <w:t xml:space="preserve">Automáticos vs especiales (D-02); porcentajes pendientes</w:t>
            </w:r>
          </w:p>
        </w:tc>
      </w:tr>
      <w:tr>
        <w:tc>
          <w:tcPr>
            <w:tcW w:w="3120" w:type="dxa"/>
          </w:tcPr>
          <w:p>
            <w:pPr/>
            <w:r>
              <w:t xml:space="preserve">¿Cómo se corrige una venta?</w:t>
            </w:r>
          </w:p>
        </w:tc>
        <w:tc>
          <w:tcPr>
            <w:tcW w:w="3120" w:type="dxa"/>
          </w:tcPr>
          <w:p>
            <w:pPr/>
            <w:r>
              <w:t xml:space="preserve">Parcial</w:t>
            </w:r>
          </w:p>
        </w:tc>
        <w:tc>
          <w:tcPr>
            <w:tcW w:w="3120" w:type="dxa"/>
          </w:tcPr>
          <w:p>
            <w:pPr/>
            <w:r>
              <w:t xml:space="preserve">Por anulación o devolución; falta si existe corrección de medio de pago</w:t>
            </w:r>
          </w:p>
        </w:tc>
      </w:tr>
      <w:tr>
        <w:tc>
          <w:tcPr>
            <w:tcW w:w="3120" w:type="dxa"/>
          </w:tcPr>
          <w:p>
            <w:pPr/>
            <w:r>
              <w:t xml:space="preserve">¿Cuándo se descuenta stock?</w:t>
            </w:r>
          </w:p>
        </w:tc>
        <w:tc>
          <w:tcPr>
            <w:tcW w:w="3120" w:type="dxa"/>
          </w:tcPr>
          <w:p>
            <w:pPr/>
            <w:r>
              <w:t xml:space="preserve">Resuelta de hecho</w:t>
            </w:r>
          </w:p>
        </w:tc>
        <w:tc>
          <w:tcPr>
            <w:tcW w:w="3120" w:type="dxa"/>
          </w:tcPr>
          <w:p>
            <w:pPr/>
            <w:r>
              <w:t xml:space="preserve">Implementado al confirmar la venta (notas §11); falta aprobarlo en la SPEC</w:t>
            </w:r>
          </w:p>
        </w:tc>
      </w:tr>
      <w:tr>
        <w:tc>
          <w:tcPr>
            <w:tcW w:w="3120" w:type="dxa"/>
          </w:tcPr>
          <w:p>
            <w:pPr/>
            <w:r>
              <w:t xml:space="preserve">¿IVA incluido o sumado?</w:t>
            </w:r>
          </w:p>
        </w:tc>
        <w:tc>
          <w:tcPr>
            <w:tcW w:w="3120" w:type="dxa"/>
          </w:tcPr>
          <w:p>
            <w:pPr/>
            <w:r>
              <w:t xml:space="preserve">Abierta</w:t>
            </w:r>
          </w:p>
        </w:tc>
        <w:tc>
          <w:tcPr>
            <w:tcW w:w="3120" w:type="dxa"/>
          </w:tcPr>
          <w:p>
            <w:pPr/>
            <w:r>
              <w:t xml:space="preserve">No tratado; el backend no calcula IVA; depende de la condición ante IVA del comercio (hallazgo 1)</w:t>
            </w:r>
          </w:p>
        </w:tc>
      </w:tr>
    </w:tbl>
    <w:p>
      <w:pPr/>
      <w:r>
        <w:t xml:space="preserve">Preguntas nuevas que surgen al cruzar con la SPEC:</w:t>
      </w:r>
    </w:p>
    <w:p>
      <w:pPr>
        <w:pStyle w:val="ListParagraph"/>
        <w:numPr>
          <w:ilvl w:val="0"/>
          <w:numId w:val="9"/>
        </w:numPr>
      </w:pPr>
      <w:r>
        <w:t xml:space="preserve">☐ ¿Se bloquea vender o cobrar efectivo con la caja cerrada? Hoy se permite y el efectivo queda fuera del arqueo.</w:t>
      </w:r>
    </w:p>
    <w:p>
      <w:pPr>
        <w:pStyle w:val="ListParagraph"/>
        <w:numPr>
          <w:ilvl w:val="0"/>
          <w:numId w:val="9"/>
        </w:numPr>
      </w:pPr>
      <w:r>
        <w:t xml:space="preserve">☐ ¿Qué pasa con una venta confirmada que nunca se cobra (stock ya descontado, sin deuda)?</w:t>
      </w:r>
    </w:p>
    <w:p>
      <w:pPr>
        <w:pStyle w:val="ListParagraph"/>
        <w:numPr>
          <w:ilvl w:val="0"/>
          <w:numId w:val="9"/>
        </w:numPr>
      </w:pPr>
      <w:r>
        <w:t xml:space="preserve">☐ ¿Se mantiene la venta de lotes vencidos con advertencia, o se aplica el bloqueo de la SPEC?</w:t>
      </w:r>
    </w:p>
    <w:p>
      <w:pPr>
        <w:pStyle w:val="ListParagraph"/>
        <w:numPr>
          <w:ilvl w:val="0"/>
          <w:numId w:val="9"/>
        </w:numPr>
      </w:pPr>
      <w:r>
        <w:t xml:space="preserve">☐ ¿Autoriza el dueño o cualquier usuario con el permiso? Llevar la decisión a la SPEC.</w:t>
      </w:r>
    </w:p>
    <w:p>
      <w:pPr>
        <w:pStyle w:val="ListParagraph"/>
        <w:numPr>
          <w:ilvl w:val="0"/>
          <w:numId w:val="9"/>
        </w:numPr>
      </w:pPr>
      <w:r>
        <w:t xml:space="preserve">☐ ¿El Asistente de local debe poder cambiar precios (</w:t>
      </w:r>
      <w:r>
        <w:rPr>
          <w:rStyle w:val="CodeChar"/>
        </w:rPr>
        <w:t xml:space="preserve">productos.gestionar</w:t>
      </w:r>
      <w:r>
        <w:t xml:space="preserve">)?</w:t>
      </w:r>
    </w:p>
    <w:p>
      <w:pPr>
        <w:pStyle w:val="ListParagraph"/>
        <w:numPr>
          <w:ilvl w:val="0"/>
          <w:numId w:val="9"/>
        </w:numPr>
      </w:pPr>
      <w:r>
        <w:t xml:space="preserve">☐ ¿Cómo se redondean los importes del POS (hoy 3 decimales)?</w:t>
      </w:r>
    </w:p>
    <w:p>
      <w:pPr>
        <w:pStyle w:val="ListParagraph"/>
        <w:numPr>
          <w:ilvl w:val="0"/>
          <w:numId w:val="9"/>
        </w:numPr>
      </w:pPr>
      <w:r>
        <w:t xml:space="preserve">☐ ¿Se permite saldo a favor cuando el cliente transfiere de más? Hoy la API lo rechaza (INV-04).</w:t>
      </w:r>
    </w:p>
    <w:p>
      <w:pPr>
        <w:pStyle w:val="ListParagraph"/>
        <w:numPr>
          <w:ilvl w:val="0"/>
          <w:numId w:val="9"/>
        </w:numPr>
      </w:pPr>
      <w:r>
        <w:t xml:space="preserve">☐ ¿El carrito abandonado se descarta? Hoy vive solo en memoria de la pantalla.</w:t>
      </w:r>
    </w:p>
    <w:p>
      <w:pPr>
        <w:pStyle w:val="ListParagraph"/>
        <w:numPr>
          <w:ilvl w:val="0"/>
          <w:numId w:val="9"/>
        </w:numPr>
      </w:pPr>
      <w:r>
        <w:t xml:space="preserve">☒ Estado de un pago manual: nace APROBADO (notas §12.1).</w:t>
      </w:r>
    </w:p>
    <w:p>
      <w:pPr>
        <w:pStyle w:val="ListParagraph"/>
        <w:numPr>
          <w:ilvl w:val="0"/>
          <w:numId w:val="9"/>
        </w:numPr>
      </w:pPr>
      <w:r>
        <w:t xml:space="preserve">☒ Lote por defecto: el que vence antes (notas §11.1).</w:t>
      </w:r>
    </w:p>
    <w:p>
      <w:pPr>
        <w:pStyle w:val="ListParagraph"/>
        <w:numPr>
          <w:ilvl w:val="0"/>
          <w:numId w:val="9"/>
        </w:numPr>
      </w:pPr>
      <w:r>
        <w:t xml:space="preserve">☐ ¿Quién vincula un código de barras no identificado (Catálogo pend. 10)?</w:t>
      </w:r>
    </w:p>
    <w:p>
      <w:pPr>
        <w:pStyle w:val="ListParagraph"/>
        <w:numPr>
          <w:ilvl w:val="0"/>
          <w:numId w:val="9"/>
        </w:numPr>
      </w:pPr>
      <w:r>
        <w:t xml:space="preserve">☐ ¿Cuál es la condición ante IVA del comercio y qué muestra el ticket interno?</w:t>
      </w:r>
    </w:p>
    <w:p>
      <w:pPr>
        <w:pStyle w:val="ListParagraph"/>
        <w:numPr>
          <w:ilvl w:val="0"/>
          <w:numId w:val="9"/>
        </w:numPr>
      </w:pPr>
      <w:r>
        <w:t xml:space="preserve">☐ ¿El descuento manual por línea es monto o porcentaje, con qué tope, y qué permiso o autorización exige? Hoy no tiene ninguno (C1, C2).</w:t>
      </w:r>
    </w:p>
    <w:p>
      <w:pPr>
        <w:pStyle w:val="ListParagraph"/>
        <w:numPr>
          <w:ilvl w:val="0"/>
          <w:numId w:val="9"/>
        </w:numPr>
      </w:pPr>
      <w:r>
        <w:t xml:space="preserve">☐ ¿Se pueden vender productos inactivos o cantidades fraccionarias? Hoy sí (C4, C5).</w:t>
      </w:r>
    </w:p>
    <w:p>
      <w:pPr>
        <w:pStyle w:val="ListParagraph"/>
        <w:numPr>
          <w:ilvl w:val="0"/>
          <w:numId w:val="9"/>
        </w:numPr>
      </w:pPr>
      <w:r>
        <w:t xml:space="preserve">☐ ¿Quién puede ver el historial de ventas? Hoy cualquier usuario aprobado (C6).</w:t>
      </w:r>
    </w:p>
    <w:p>
      <w:pPr>
        <w:pStyle w:val="ListParagraph"/>
        <w:numPr>
          <w:ilvl w:val="0"/>
          <w:numId w:val="9"/>
        </w:numPr>
      </w:pPr>
      <w:r>
        <w:t xml:space="preserve">☐ ¿Se agregan en </w:t>
      </w:r>
      <w:r>
        <w:rPr>
          <w:rStyle w:val="CodeChar"/>
        </w:rPr>
        <w:t xml:space="preserve">Autorizacion</w:t>
      </w:r>
      <w:r>
        <w:t xml:space="preserve"> el solicitante y el resultado que pide D-06 (C25)?</w:t>
      </w:r>
    </w:p>
    <w:p>
      <w:pPr>
        <w:pStyle w:val="ListParagraph"/>
        <w:numPr>
          <w:ilvl w:val="0"/>
          <w:numId w:val="9"/>
        </w:numPr>
      </w:pPr>
      <w:r>
        <w:t xml:space="preserve">☐ ¿</w:t>
      </w:r>
      <w:r>
        <w:rPr>
          <w:rStyle w:val="CodeChar"/>
        </w:rPr>
        <w:t xml:space="preserve">Presentacion.factorConversion</w:t>
      </w:r>
      <w:r>
        <w:t xml:space="preserve"> pasa a opcional, como dicen D-08 y las notas §8.2 (C23)?</w:t>
      </w:r>
    </w:p>
    <w:p>
      <w:pPr>
        <w:pStyle w:val="ListParagraph"/>
        <w:numPr>
          <w:ilvl w:val="0"/>
          <w:numId w:val="9"/>
        </w:numPr>
      </w:pPr>
      <w:r>
        <w:t xml:space="preserve">☐ ¿RF-10 se construye sobre </w:t>
      </w:r>
      <w:r>
        <w:rPr>
          <w:rStyle w:val="CodeChar"/>
        </w:rPr>
        <w:t xml:space="preserve">CuentaCorriente</w:t>
      </w:r>
      <w:r>
        <w:t xml:space="preserve">/</w:t>
      </w:r>
      <w:r>
        <w:rPr>
          <w:rStyle w:val="CodeChar"/>
        </w:rPr>
        <w:t xml:space="preserve">Deuda</w:t>
      </w:r>
      <w:r>
        <w:t xml:space="preserve">/</w:t>
      </w:r>
      <w:r>
        <w:rPr>
          <w:rStyle w:val="CodeChar"/>
        </w:rPr>
        <w:t xml:space="preserve">AplicacionPago</w:t>
      </w:r>
      <w:r>
        <w:t xml:space="preserve"> ya existentes, corrigiendo que </w:t>
      </w:r>
      <w:r>
        <w:rPr>
          <w:rStyle w:val="CodeChar"/>
        </w:rPr>
        <w:t xml:space="preserve">Pago.deudaId</w:t>
      </w:r>
      <w:r>
        <w:t xml:space="preserve"> apunte a </w:t>
      </w:r>
      <w:r>
        <w:rPr>
          <w:rStyle w:val="CodeChar"/>
        </w:rPr>
        <w:t xml:space="preserve">CuentaCorriente</w:t>
      </w:r>
      <w:r>
        <w:t xml:space="preserve"> (C24)?</w:t>
      </w:r>
    </w:p>
    <w:p>
      <w:pPr/>
      <w:r>
        <w:t xml:space="preserve">Siguiente paso SDD: redactar la </w:t>
      </w:r>
      <w:r>
        <w:rPr>
          <w:b/>
        </w:rPr>
        <w:t xml:space="preserve">SPEC especializada de Ventas</w:t>
      </w:r>
      <w:r>
        <w:t xml:space="preserve"> heredando las secciones 2 y 6 de este informe, y recién después la SPEC UI/UX, que tiene que incorporar pagos mixtos, Mercado Pago, cuenta corriente, código de barras, presentaciones y ticket.</w:t>
      </w:r>
    </w:p>
    <w:p>
      <w:pPr>
        <w:pStyle w:val="Heading2"/>
      </w:pPr>
      <w:r>
        <w:t xml:space="preserve">15. Estado de la evidencia y fuentes</w:t>
      </w:r>
    </w:p>
    <w:p>
      <w:pPr/>
      <w:r>
        <w:t xml:space="preserve">Este informe define suficientemente el problema, el flujo y las preguntas para la SPEC, sin inventar decisiones no aprobadas.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Nivel</w:t>
            </w:r>
          </w:p>
        </w:tc>
        <w:tc>
          <w:tcPr>
            <w:tcW w:w="4680" w:type="dxa"/>
            <w:shd w:val="clear" w:color="auto" w:fill="F2F2F2"/>
          </w:tcPr>
          <w:p>
            <w:pPr/>
            <w:r>
              <w:t xml:space="preserve">Temas</w:t>
            </w:r>
          </w:p>
        </w:tc>
      </w:tr>
      <w:tr>
        <w:tc>
          <w:tcPr>
            <w:tcW w:w="4680" w:type="dxa"/>
          </w:tcPr>
          <w:p>
            <w:pPr/>
            <w:r>
              <w:t xml:space="preserve">IMPLEMENTADO (notas y código)</w:t>
            </w:r>
          </w:p>
        </w:tc>
        <w:tc>
          <w:tcPr>
            <w:tcW w:w="4680" w:type="dxa"/>
          </w:tcPr>
          <w:p>
            <w:pPr/>
            <w:r>
              <w:t xml:space="preserve">Venta con precio del servidor, descuento de stock al confirmar por lote, pagos mixtos manuales, caja por pago en efectivo, cliente opcional, fidelización, autorización con credenciales, SKU de 4 segmentos, venta de vencidos con advertencia</w:t>
            </w:r>
          </w:p>
        </w:tc>
      </w:tr>
      <w:tr>
        <w:tc>
          <w:tcPr>
            <w:tcW w:w="4680" w:type="dxa"/>
          </w:tcPr>
          <w:p>
            <w:pPr/>
            <w:r>
              <w:t xml:space="preserve">SPEC</w:t>
            </w:r>
          </w:p>
        </w:tc>
        <w:tc>
          <w:tcPr>
            <w:tcW w:w="4680" w:type="dxa"/>
          </w:tcPr>
          <w:p>
            <w:pPr/>
            <w:r>
              <w:t xml:space="preserve">Venta sin cliente, inmutabilidad, pagos mixtos, medios de pago, crédito, bloqueos, operaciones restringidas, auditoría, comprobante interno, estados de Pago</w:t>
            </w:r>
          </w:p>
        </w:tc>
      </w:tr>
      <w:tr>
        <w:tc>
          <w:tcPr>
            <w:tcW w:w="4680" w:type="dxa"/>
          </w:tcPr>
          <w:p>
            <w:pPr/>
            <w:r>
              <w:t xml:space="preserve">Complementarios (dirección de diseño)</w:t>
            </w:r>
          </w:p>
        </w:tc>
        <w:tc>
          <w:tcPr>
            <w:tcW w:w="4680" w:type="dxa"/>
          </w:tcPr>
          <w:p>
            <w:pPr/>
            <w:r>
              <w:t xml:space="preserve">Lote por línea, SKU por presentación, escaneo no identificado, autorización registrada, imputación de cobros, devolución y reembolso separados, cuenta Aprobada para vender</w:t>
            </w:r>
          </w:p>
        </w:tc>
      </w:tr>
      <w:tr>
        <w:tc>
          <w:tcPr>
            <w:tcW w:w="4680" w:type="dxa"/>
          </w:tcPr>
          <w:p>
            <w:pPr/>
            <w:r>
              <w:t xml:space="preserve">VERIFICADO (rediseño)</w:t>
            </w:r>
          </w:p>
        </w:tc>
        <w:tc>
          <w:tcPr>
            <w:tcW w:w="4680" w:type="dxa"/>
          </w:tcPr>
          <w:p>
            <w:pPr/>
            <w:r>
              <w:t xml:space="preserve">Las 7 pantallas: búsqueda, carrito, cobro en efectivo, QR y alias/CBU, pantalla de resultado</w:t>
            </w:r>
          </w:p>
        </w:tc>
      </w:tr>
      <w:tr>
        <w:tc>
          <w:tcPr>
            <w:tcW w:w="4680" w:type="dxa"/>
          </w:tcPr>
          <w:p>
            <w:pPr/>
            <w:r>
              <w:t xml:space="preserve">DERIVADO</w:t>
            </w:r>
          </w:p>
        </w:tc>
        <w:tc>
          <w:tcPr>
            <w:tcW w:w="4680" w:type="dxa"/>
          </w:tcPr>
          <w:p>
            <w:pPr/>
            <w:r>
              <w:t xml:space="preserve">Estados de Venta, separación venta/saldo/pago, historial, detalle, producto repetido</w:t>
            </w:r>
          </w:p>
        </w:tc>
      </w:tr>
      <w:tr>
        <w:tc>
          <w:tcPr>
            <w:tcW w:w="4680" w:type="dxa"/>
          </w:tcPr>
          <w:p>
            <w:pPr/>
            <w:r>
              <w:t xml:space="preserve">NO DETERMINABLE</w:t>
            </w:r>
          </w:p>
        </w:tc>
        <w:tc>
          <w:tcPr>
            <w:tcW w:w="4680" w:type="dxa"/>
          </w:tcPr>
          <w:p>
            <w:pPr/>
            <w:r>
              <w:t xml:space="preserve">IVA, redondeo, venta sin cobrar, venta con caja cerrada, control del descuento manual, datos comerciales de D-01 a D-18</w:t>
            </w:r>
          </w:p>
        </w:tc>
      </w:tr>
    </w:tbl>
    <w:p>
      <w:pPr/>
      <w:r>
        <w:t xml:space="preserve">El código leído cubre todo el flujo de venta: API de ventas, pagos, inventario, clientes y catálogo; schema completo; y en el POS, el carrito, el buscador, el cliente HTTP y la pantalla. No quedan puntos del código sin verificar.</w:t>
      </w:r>
    </w:p>
    <w:p>
      <w:pPr/>
      <w:r>
        <w:rPr>
          <w:b/>
        </w:rPr>
        <w:t xml:space="preserve">Fuentes</w:t>
      </w:r>
    </w:p>
    <w:p>
      <w:pPr>
        <w:pStyle w:val="ListParagraph"/>
        <w:numPr>
          <w:ilvl w:val="0"/>
          <w:numId w:val="10"/>
        </w:numPr>
      </w:pPr>
      <w:r>
        <w:t xml:space="preserve">Especificación funcional SDD — MVP piloto, borrador v0.1 (SPEC general), pendiente de validación del dueño.</w:t>
      </w:r>
    </w:p>
    <w:p>
      <w:pPr>
        <w:pStyle w:val="ListParagraph"/>
        <w:numPr>
          <w:ilvl w:val="0"/>
          <w:numId w:val="10"/>
        </w:numPr>
      </w:pPr>
      <w:r>
        <w:t xml:space="preserve">Notas de Scaffolding (scaffolding-notas.md), §1 a §37, del 20/09 al 23/09/2026.</w:t>
      </w:r>
    </w:p>
    <w:p>
      <w:pPr>
        <w:pStyle w:val="ListParagraph"/>
        <w:numPr>
          <w:ilvl w:val="0"/>
          <w:numId w:val="10"/>
        </w:numPr>
      </w:pPr>
      <w:r>
        <w:t xml:space="preserve">Criterios de diseño propuestos por el dueño — D-01 a D-19 (dirección de diseño, no datos cerrados).</w:t>
      </w:r>
    </w:p>
    <w:p>
      <w:pPr>
        <w:pStyle w:val="ListParagraph"/>
        <w:numPr>
          <w:ilvl w:val="0"/>
          <w:numId w:val="10"/>
        </w:numPr>
      </w:pPr>
      <w:r>
        <w:t xml:space="preserve">SPEC — Módulo de Catálogo de Productos (borrador, con actualización del 22/09/2026 en §4.1).</w:t>
      </w:r>
    </w:p>
    <w:p>
      <w:pPr>
        <w:pStyle w:val="ListParagraph"/>
        <w:numPr>
          <w:ilvl w:val="0"/>
          <w:numId w:val="10"/>
        </w:numPr>
      </w:pPr>
      <w:r>
        <w:t xml:space="preserve">Login y roles del negocio (RF-17), sesión del 22/09/2026.</w:t>
      </w:r>
    </w:p>
    <w:p>
      <w:pPr>
        <w:pStyle w:val="ListParagraph"/>
        <w:numPr>
          <w:ilvl w:val="0"/>
          <w:numId w:val="10"/>
        </w:numPr>
      </w:pPr>
      <w:hyperlink r:id="rId3" w:history="1">
        <w:r>
          <w:rPr>
            <w:rStyle w:val="Hyperlink"/>
          </w:rPr>
          <w:t xml:space="preserve">Design System — Otra Ronda Más</w:t>
        </w:r>
      </w:hyperlink>
      <w:r>
        <w:t xml:space="preserve">: paleta, tipografía, principios de claridad operativa, eficiencia y accesibilidad WCAG 2.1 AA.</w:t>
      </w:r>
    </w:p>
    <w:p>
      <w:pPr>
        <w:pStyle w:val="ListParagraph"/>
        <w:numPr>
          <w:ilvl w:val="0"/>
          <w:numId w:val="10"/>
        </w:numPr>
      </w:pPr>
      <w:r>
        <w:t xml:space="preserve">Capturas del rediseño del flujo Nueva venta (7 pantallas).</w:t>
      </w:r>
    </w:p>
    <w:p>
      <w:pPr>
        <w:pStyle w:val="ListParagraph"/>
        <w:numPr>
          <w:ilvl w:val="0"/>
          <w:numId w:val="10"/>
        </w:numPr>
      </w:pPr>
      <w:r>
        <w:t xml:space="preserve">Informe funcional preliminar del módulo de Ventas (borrador del equipo).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4gto4VZJ6hGFiKKiujYij4"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Informe funcional — Módulo de Ventas</dc:title>
  <dc:description>Claude Docs node/7e01be11-8c73@88 docx-w6</dc:description>
  <cp:revision>88</cp:revision>
</cp:coreProperties>
</file>