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="360" w:lineRule="auto"/>
        <w:jc w:val="right"/>
        <w:rPr>
          <w:b w:val="1"/>
          <w:b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="360" w:lineRule="auto"/>
        <w:jc w:val="right"/>
        <w:rPr>
          <w:color w:val="0c0c0c"/>
          <w:sz w:val="18"/>
          <w:szCs w:val="18"/>
        </w:rPr>
      </w:pPr>
      <w:r w:rsidDel="00000000" w:rsidR="00000000" w:rsidRPr="00000000">
        <w:rPr>
          <w:b w:val="1"/>
          <w:bCs w:val="1"/>
          <w:color w:val="0c0c0c"/>
          <w:sz w:val="18"/>
          <w:szCs w:val="18"/>
          <w:rtl w:val="0"/>
        </w:rPr>
        <w:t xml:space="preserve">${order_number}</w:t>
      </w:r>
      <w:r w:rsidDel="00000000" w:rsidR="00000000" w:rsidRPr="00000000">
        <w:rPr>
          <w:color w:val="0c0c0c"/>
          <w:sz w:val="18"/>
          <w:szCs w:val="18"/>
          <w:rtl w:val="0"/>
        </w:rPr>
        <w:t xml:space="preserve"> (aberto a ${order_date})</w:t>
      </w:r>
    </w:p>
    <w:p w:rsidR="00000000" w:rsidDel="00000000" w:rsidP="00000000" w:rsidRDefault="00000000" w:rsidRPr="00000000" w14:paraId="00000003">
      <w:pPr>
        <w:pBdr>
          <w:bottom w:color="000000" w:space="1" w:sz="6" w:val="single"/>
        </w:pBdr>
        <w:spacing w:after="40" w:line="360" w:lineRule="auto"/>
        <w:jc w:val="right"/>
        <w:rPr>
          <w:color w:val="0c0c0c"/>
          <w:sz w:val="18"/>
          <w:szCs w:val="18"/>
        </w:rPr>
      </w:pPr>
      <w:r w:rsidDel="00000000" w:rsidR="00000000" w:rsidRPr="00000000">
        <w:rPr>
          <w:color w:val="0c0c0c"/>
          <w:sz w:val="18"/>
          <w:szCs w:val="18"/>
          <w:rtl w:val="0"/>
        </w:rPr>
        <w:t xml:space="preserve">Cliente: ${client_name} | ${client_phone}</w:t>
      </w:r>
    </w:p>
    <w:p w:rsidR="00000000" w:rsidDel="00000000" w:rsidP="00000000" w:rsidRDefault="00000000" w:rsidRPr="00000000" w14:paraId="00000004">
      <w:pPr>
        <w:pBdr>
          <w:bottom w:color="000000" w:space="1" w:sz="6" w:val="single"/>
        </w:pBdr>
        <w:spacing w:after="40" w:line="360" w:lineRule="auto"/>
        <w:jc w:val="right"/>
        <w:rPr>
          <w:color w:val="0c0c0c"/>
          <w:sz w:val="18"/>
          <w:szCs w:val="18"/>
        </w:rPr>
      </w:pPr>
      <w:r w:rsidDel="00000000" w:rsidR="00000000" w:rsidRPr="00000000">
        <w:rPr>
          <w:color w:val="0c0c0c"/>
          <w:sz w:val="18"/>
          <w:szCs w:val="18"/>
          <w:rtl w:val="0"/>
        </w:rPr>
        <w:t xml:space="preserve">Loja: ${store_name} | Responsável pelo processo: ${seller_name}</w:t>
      </w:r>
    </w:p>
    <w:p w:rsidR="00000000" w:rsidDel="00000000" w:rsidP="00000000" w:rsidRDefault="00000000" w:rsidRPr="00000000" w14:paraId="00000005">
      <w:pPr>
        <w:pBdr>
          <w:bottom w:color="000000" w:space="1" w:sz="6" w:val="single"/>
        </w:pBdr>
        <w:spacing w:after="40" w:line="360" w:lineRule="auto"/>
        <w:rPr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6" w:val="single"/>
        </w:pBdr>
        <w:spacing w:after="40" w:line="360" w:lineRule="auto"/>
        <w:rPr>
          <w:color w:val="0c0c0c"/>
          <w:sz w:val="18"/>
          <w:szCs w:val="18"/>
        </w:rPr>
      </w:pPr>
      <w:r w:rsidDel="00000000" w:rsidR="00000000" w:rsidRPr="00000000">
        <w:rPr>
          <w:color w:val="0c0c0c"/>
          <w:sz w:val="18"/>
          <w:szCs w:val="18"/>
          <w:rtl w:val="0"/>
        </w:rPr>
        <w:t xml:space="preserve">${order_meta_field_block}</w:t>
      </w:r>
    </w:p>
    <w:p w:rsidR="00000000" w:rsidDel="00000000" w:rsidP="00000000" w:rsidRDefault="00000000" w:rsidRPr="00000000" w14:paraId="00000007">
      <w:pPr>
        <w:spacing w:after="40" w:before="100" w:line="360" w:lineRule="auto"/>
        <w:rPr>
          <w:b w:val="1"/>
          <w:bCs w:val="1"/>
          <w:color w:val="0c0c0c"/>
          <w:sz w:val="18"/>
          <w:szCs w:val="18"/>
        </w:rPr>
      </w:pPr>
      <w:r w:rsidDel="00000000" w:rsidR="00000000" w:rsidRPr="00000000">
        <w:rPr>
          <w:b w:val="1"/>
          <w:bCs w:val="1"/>
          <w:color w:val="0c0c0c"/>
          <w:sz w:val="18"/>
          <w:szCs w:val="18"/>
          <w:rtl w:val="0"/>
        </w:rPr>
        <w:t xml:space="preserve">${order_meta_field_title}</w:t>
      </w:r>
    </w:p>
    <w:p w:rsidR="00000000" w:rsidDel="00000000" w:rsidP="00000000" w:rsidRDefault="00000000" w:rsidRPr="00000000" w14:paraId="00000008">
      <w:pPr>
        <w:spacing w:after="40" w:line="360" w:lineRule="auto"/>
        <w:ind w:left="0" w:firstLine="0"/>
        <w:rPr>
          <w:color w:val="0c0c0c"/>
          <w:sz w:val="18"/>
          <w:szCs w:val="18"/>
        </w:rPr>
      </w:pPr>
      <w:r w:rsidDel="00000000" w:rsidR="00000000" w:rsidRPr="00000000">
        <w:rPr>
          <w:color w:val="0c0c0c"/>
          <w:sz w:val="18"/>
          <w:szCs w:val="18"/>
          <w:rtl w:val="0"/>
        </w:rPr>
        <w:t xml:space="preserve">${order_meta_field_value}</w:t>
      </w:r>
    </w:p>
    <w:p w:rsidR="00000000" w:rsidDel="00000000" w:rsidP="00000000" w:rsidRDefault="00000000" w:rsidRPr="00000000" w14:paraId="00000009">
      <w:pPr>
        <w:pBdr>
          <w:bottom w:color="000000" w:space="1" w:sz="6" w:val="single"/>
        </w:pBdr>
        <w:spacing w:after="40" w:line="360" w:lineRule="auto"/>
        <w:rPr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bottom w:color="000000" w:space="1" w:sz="6" w:val="single"/>
        </w:pBdr>
        <w:spacing w:after="40" w:line="360" w:lineRule="auto"/>
        <w:rPr>
          <w:color w:val="0c0c0c"/>
          <w:sz w:val="18"/>
          <w:szCs w:val="18"/>
        </w:rPr>
      </w:pPr>
      <w:r w:rsidDel="00000000" w:rsidR="00000000" w:rsidRPr="00000000">
        <w:rPr>
          <w:color w:val="0c0c0c"/>
          <w:sz w:val="18"/>
          <w:szCs w:val="18"/>
          <w:rtl w:val="0"/>
        </w:rPr>
        <w:t xml:space="preserve">${/order_meta_field_block}</w:t>
      </w:r>
    </w:p>
    <w:p w:rsidR="00000000" w:rsidDel="00000000" w:rsidP="00000000" w:rsidRDefault="00000000" w:rsidRPr="00000000" w14:paraId="0000000B">
      <w:pPr>
        <w:spacing w:after="40" w:before="100" w:line="360" w:lineRule="auto"/>
        <w:rPr>
          <w:color w:val="0c0c0c"/>
          <w:sz w:val="18"/>
          <w:szCs w:val="18"/>
        </w:rPr>
      </w:pPr>
      <w:r w:rsidDel="00000000" w:rsidR="00000000" w:rsidRPr="00000000">
        <w:rPr>
          <w:color w:val="0c0c0c"/>
          <w:sz w:val="18"/>
          <w:szCs w:val="18"/>
          <w:rtl w:val="0"/>
        </w:rPr>
        <w:t xml:space="preserve">${product_meta_block}</w:t>
      </w:r>
    </w:p>
    <w:p w:rsidR="00000000" w:rsidDel="00000000" w:rsidP="00000000" w:rsidRDefault="00000000" w:rsidRPr="00000000" w14:paraId="0000000C">
      <w:pPr>
        <w:spacing w:after="40" w:line="360" w:lineRule="auto"/>
        <w:rPr>
          <w:b w:val="1"/>
          <w:bCs w:val="1"/>
          <w:color w:val="0c0c0c"/>
          <w:sz w:val="18"/>
          <w:szCs w:val="18"/>
        </w:rPr>
      </w:pPr>
      <w:r w:rsidDel="00000000" w:rsidR="00000000" w:rsidRPr="00000000">
        <w:rPr>
          <w:b w:val="1"/>
          <w:bCs w:val="1"/>
          <w:color w:val="0c0c0c"/>
          <w:sz w:val="18"/>
          <w:szCs w:val="18"/>
          <w:rtl w:val="0"/>
        </w:rPr>
        <w:t xml:space="preserve">${product_meta_title}</w:t>
      </w:r>
    </w:p>
    <w:p w:rsidR="00000000" w:rsidDel="00000000" w:rsidP="00000000" w:rsidRDefault="00000000" w:rsidRPr="00000000" w14:paraId="0000000D">
      <w:pPr>
        <w:spacing w:after="40" w:line="360" w:lineRule="auto"/>
        <w:rPr>
          <w:color w:val="0c0c0c"/>
          <w:sz w:val="18"/>
          <w:szCs w:val="18"/>
        </w:rPr>
      </w:pPr>
      <w:r w:rsidDel="00000000" w:rsidR="00000000" w:rsidRPr="00000000">
        <w:rPr>
          <w:color w:val="0c0c0c"/>
          <w:sz w:val="18"/>
          <w:szCs w:val="18"/>
          <w:rtl w:val="0"/>
        </w:rPr>
        <w:t xml:space="preserve">${product_meta_value}</w:t>
      </w:r>
    </w:p>
    <w:p w:rsidR="00000000" w:rsidDel="00000000" w:rsidP="00000000" w:rsidRDefault="00000000" w:rsidRPr="00000000" w14:paraId="0000000E">
      <w:pPr>
        <w:spacing w:after="40" w:line="360" w:lineRule="auto"/>
        <w:rPr>
          <w:color w:val="0c0c0c"/>
          <w:sz w:val="18"/>
          <w:szCs w:val="18"/>
        </w:rPr>
      </w:pPr>
      <w:r w:rsidDel="00000000" w:rsidR="00000000" w:rsidRPr="00000000">
        <w:rPr>
          <w:color w:val="0c0c0c"/>
          <w:sz w:val="18"/>
          <w:szCs w:val="18"/>
          <w:rtl w:val="0"/>
        </w:rPr>
        <w:t xml:space="preserve">${/product_meta_block}</w:t>
      </w:r>
    </w:p>
    <w:p w:rsidR="00000000" w:rsidDel="00000000" w:rsidP="00000000" w:rsidRDefault="00000000" w:rsidRPr="00000000" w14:paraId="0000000F">
      <w:pPr>
        <w:spacing w:after="40" w:line="360" w:lineRule="auto"/>
        <w:rPr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" w:line="360" w:lineRule="auto"/>
        <w:rPr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40" w:line="360" w:lineRule="auto"/>
        <w:rPr>
          <w:rFonts w:ascii="Cinzel" w:cs="Cinzel" w:eastAsia="Cinzel" w:hAnsi="Cinzel"/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Fonts w:ascii="Cinzel" w:cs="Cinzel" w:eastAsia="Cinzel" w:hAnsi="Cinzel"/>
          <w:b w:val="1"/>
          <w:bCs w:val="1"/>
          <w:i w:val="1"/>
          <w:iCs w:val="1"/>
          <w:color w:val="0c0c0c"/>
          <w:sz w:val="18"/>
          <w:szCs w:val="18"/>
          <w:rtl w:val="0"/>
        </w:rPr>
        <w:t xml:space="preserve">Nota Breve do Atelier Leitão &amp; Irmão</w:t>
      </w:r>
    </w:p>
    <w:p w:rsidR="00000000" w:rsidDel="00000000" w:rsidP="00000000" w:rsidRDefault="00000000" w:rsidRPr="00000000" w14:paraId="0000001A">
      <w:pPr>
        <w:spacing w:after="40" w:line="360" w:lineRule="auto"/>
        <w:rPr>
          <w:i w:val="1"/>
          <w:iCs w:val="1"/>
          <w:color w:val="0c0c0c"/>
          <w:sz w:val="14"/>
          <w:szCs w:val="14"/>
        </w:rPr>
      </w:pPr>
      <w:r w:rsidDel="00000000" w:rsidR="00000000" w:rsidRPr="00000000">
        <w:rPr>
          <w:i w:val="1"/>
          <w:iCs w:val="1"/>
          <w:color w:val="0c0c0c"/>
          <w:sz w:val="14"/>
          <w:szCs w:val="14"/>
          <w:rtl w:val="0"/>
        </w:rPr>
        <w:t xml:space="preserve">Por se tratar de pedras e materiais preciosos, no decorrer do trabalho de intervenção na peça, podem surgir imprevistos não contabilizados previamente em orçamento e pelos quais a Leitão &amp; Irmão é alheia. </w:t>
      </w:r>
    </w:p>
    <w:p w:rsidR="00000000" w:rsidDel="00000000" w:rsidP="00000000" w:rsidRDefault="00000000" w:rsidRPr="00000000" w14:paraId="0000001B">
      <w:pPr>
        <w:spacing w:after="40" w:line="360" w:lineRule="auto"/>
        <w:rPr>
          <w:i w:val="1"/>
          <w:iCs w:val="1"/>
          <w:color w:val="0c0c0c"/>
          <w:sz w:val="14"/>
          <w:szCs w:val="14"/>
        </w:rPr>
      </w:pPr>
      <w:r w:rsidDel="00000000" w:rsidR="00000000" w:rsidRPr="00000000">
        <w:rPr>
          <w:i w:val="1"/>
          <w:iCs w:val="1"/>
          <w:color w:val="0c0c0c"/>
          <w:sz w:val="14"/>
          <w:szCs w:val="14"/>
          <w:rtl w:val="0"/>
        </w:rPr>
        <w:t xml:space="preserve">A Leitão &amp; Irmão compromete-se a realizar as melhores práticas em joalharia com total transparência e profissionalismo ao longo do procedimento. Sempre que necessário entraremos em contacto com o cliente apresentando a solução indicada e </w:t>
      </w:r>
      <w:r w:rsidDel="00000000" w:rsidR="00000000" w:rsidRPr="00000000">
        <w:rPr>
          <w:i w:val="1"/>
          <w:iCs w:val="1"/>
          <w:color w:val="0c0c0c"/>
          <w:sz w:val="14"/>
          <w:szCs w:val="14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3243150</wp:posOffset>
            </wp:positionH>
            <wp:positionV relativeFrom="page">
              <wp:posOffset>9129617</wp:posOffset>
            </wp:positionV>
            <wp:extent cx="1080000" cy="764237"/>
            <wp:effectExtent b="0" l="0" r="0" t="0"/>
            <wp:wrapTopAndBottom distB="0" dist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7642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i w:val="1"/>
          <w:iCs w:val="1"/>
          <w:color w:val="0c0c0c"/>
          <w:sz w:val="14"/>
          <w:szCs w:val="14"/>
          <w:rtl w:val="0"/>
        </w:rPr>
        <w:t xml:space="preserve">específica a cada intervenção, tal como a reformulação do valor previamente orçamentado.</w:t>
      </w:r>
    </w:p>
    <w:sectPr>
      <w:headerReference r:id="rId8" w:type="default"/>
      <w:footerReference r:id="rId9" w:type="default"/>
      <w:pgSz w:h="16838" w:w="11906" w:orient="portrait"/>
      <w:pgMar w:bottom="1417.3228346456694" w:top="1417.3228346456694" w:left="1417.3228346456694" w:right="1417.322834645669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inzel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567" w:right="0" w:firstLine="0"/>
      <w:jc w:val="center"/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Travessa da Espera nº 8, r/c, 1200-176 Lisboa | (+351) 211 994 104 | geral@leitao-irmao.com | </w:t>
    </w:r>
    <w:hyperlink r:id="rId1"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www.leitao-irmao.com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567" w:right="0" w:firstLine="0"/>
      <w:jc w:val="center"/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Soc. Por Quotas - Cap. Social 137 294,12€ | Mat. Cons. Reg. Comercial de Lisboa nº6729 | NIF 501277609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2070375</wp:posOffset>
          </wp:positionH>
          <wp:positionV relativeFrom="paragraph">
            <wp:posOffset>19050</wp:posOffset>
          </wp:positionV>
          <wp:extent cx="1620000" cy="1146356"/>
          <wp:effectExtent b="0" l="0" r="0" t="0"/>
          <wp:wrapTopAndBottom distB="0" distT="0"/>
          <wp:docPr id="4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20000" cy="1146356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4"/>
        <w:szCs w:val="24"/>
        <w:lang w:val="pt_PT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inzel" w:cs="Cinzel" w:eastAsia="Cinzel" w:hAnsi="Cinzel"/>
      <w:color w:val="000000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inzel" w:cs="Cinzel" w:eastAsia="Cinzel" w:hAnsi="Cinzel"/>
      <w:color w:val="00000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00000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inzel" w:cs="Cinzel" w:eastAsia="Cinzel" w:hAnsi="Cinzel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Cinzel-regular.ttf"/><Relationship Id="rId6" Type="http://schemas.openxmlformats.org/officeDocument/2006/relationships/font" Target="fonts/Cinzel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://www.leitao-irmao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I3Hz+dL+GUIHfytp76lbHSSoMA==">CgMxLjA4AHIhMTV6ako2SDgtMGk3cTBJRkp0MlotNHFZbk5vSVFGd1Bq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