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EF2" w:rsidRPr="00220375" w:rsidRDefault="00B71EAD" w:rsidP="001F38CD">
      <w:pPr>
        <w:spacing w:after="120"/>
        <w:jc w:val="center"/>
        <w:rPr>
          <w:rFonts w:ascii="Times New Roman" w:hAnsi="Times New Roman" w:cs="Times New Roman"/>
          <w:b/>
          <w:sz w:val="24"/>
          <w:szCs w:val="24"/>
        </w:rPr>
      </w:pPr>
      <w:r>
        <w:rPr>
          <w:rFonts w:ascii="Times New Roman" w:hAnsi="Times New Roman" w:cs="Times New Roman"/>
          <w:b/>
          <w:sz w:val="32"/>
          <w:szCs w:val="24"/>
        </w:rPr>
        <w:t>Medicine Intake Reminder</w:t>
      </w:r>
    </w:p>
    <w:p w:rsidR="00647AFC" w:rsidRPr="00220375" w:rsidRDefault="00AF52F3" w:rsidP="001F38CD">
      <w:pPr>
        <w:spacing w:after="120"/>
        <w:jc w:val="center"/>
        <w:rPr>
          <w:rFonts w:ascii="Times New Roman" w:hAnsi="Times New Roman" w:cs="Times New Roman"/>
          <w:b/>
        </w:rPr>
      </w:pPr>
      <w:r>
        <w:rPr>
          <w:rFonts w:ascii="Times New Roman" w:hAnsi="Times New Roman" w:cs="Times New Roman"/>
          <w:b/>
          <w:vertAlign w:val="superscript"/>
        </w:rPr>
        <w:t>1</w:t>
      </w:r>
      <w:r w:rsidR="003C6265" w:rsidRPr="00220375">
        <w:rPr>
          <w:rFonts w:ascii="Times New Roman" w:hAnsi="Times New Roman" w:cs="Times New Roman"/>
          <w:b/>
        </w:rPr>
        <w:t xml:space="preserve">Muhammad </w:t>
      </w:r>
      <w:proofErr w:type="spellStart"/>
      <w:r w:rsidR="003C6265" w:rsidRPr="00220375">
        <w:rPr>
          <w:rFonts w:ascii="Times New Roman" w:hAnsi="Times New Roman" w:cs="Times New Roman"/>
          <w:b/>
        </w:rPr>
        <w:t>Fahmi</w:t>
      </w:r>
      <w:proofErr w:type="spellEnd"/>
      <w:r w:rsidR="003C6265" w:rsidRPr="00220375">
        <w:rPr>
          <w:rFonts w:ascii="Times New Roman" w:hAnsi="Times New Roman" w:cs="Times New Roman"/>
          <w:b/>
        </w:rPr>
        <w:t xml:space="preserve"> </w:t>
      </w:r>
      <w:proofErr w:type="spellStart"/>
      <w:r w:rsidR="003C6265" w:rsidRPr="00220375">
        <w:rPr>
          <w:rFonts w:ascii="Times New Roman" w:hAnsi="Times New Roman" w:cs="Times New Roman"/>
          <w:b/>
        </w:rPr>
        <w:t>Rukman</w:t>
      </w:r>
      <w:proofErr w:type="spellEnd"/>
    </w:p>
    <w:p w:rsidR="00D623E6" w:rsidRPr="00220375" w:rsidRDefault="00D623E6" w:rsidP="001F38CD">
      <w:pPr>
        <w:spacing w:after="120"/>
        <w:jc w:val="center"/>
        <w:rPr>
          <w:rFonts w:ascii="Times New Roman" w:hAnsi="Times New Roman" w:cs="Times New Roman"/>
          <w:b/>
        </w:rPr>
      </w:pPr>
      <w:r w:rsidRPr="00220375">
        <w:rPr>
          <w:rFonts w:ascii="Times New Roman" w:hAnsi="Times New Roman" w:cs="Times New Roman"/>
          <w:b/>
          <w:vertAlign w:val="superscript"/>
        </w:rPr>
        <w:t>1</w:t>
      </w:r>
      <w:r w:rsidR="005810B0" w:rsidRPr="00220375">
        <w:rPr>
          <w:rFonts w:ascii="Times New Roman" w:hAnsi="Times New Roman" w:cs="Times New Roman"/>
          <w:b/>
        </w:rPr>
        <w:t>Information and Technology Major</w:t>
      </w:r>
      <w:r w:rsidR="00BB3CEF" w:rsidRPr="00220375">
        <w:rPr>
          <w:rFonts w:ascii="Times New Roman" w:hAnsi="Times New Roman" w:cs="Times New Roman"/>
          <w:b/>
        </w:rPr>
        <w:t xml:space="preserve">, </w:t>
      </w:r>
      <w:r w:rsidR="005810B0" w:rsidRPr="00220375">
        <w:rPr>
          <w:rFonts w:ascii="Times New Roman" w:hAnsi="Times New Roman" w:cs="Times New Roman"/>
          <w:b/>
        </w:rPr>
        <w:t xml:space="preserve">Faculty of Computer Science, </w:t>
      </w:r>
      <w:proofErr w:type="spellStart"/>
      <w:r w:rsidR="004C3E2E" w:rsidRPr="00220375">
        <w:rPr>
          <w:rFonts w:ascii="Times New Roman" w:hAnsi="Times New Roman" w:cs="Times New Roman"/>
          <w:b/>
        </w:rPr>
        <w:t>Bina</w:t>
      </w:r>
      <w:proofErr w:type="spellEnd"/>
      <w:r w:rsidR="004C3E2E" w:rsidRPr="00220375">
        <w:rPr>
          <w:rFonts w:ascii="Times New Roman" w:hAnsi="Times New Roman" w:cs="Times New Roman"/>
          <w:b/>
        </w:rPr>
        <w:t xml:space="preserve"> Nusantara University</w:t>
      </w:r>
    </w:p>
    <w:p w:rsidR="00BB3CEF" w:rsidRPr="00220375" w:rsidRDefault="00BB3CEF" w:rsidP="001F38CD">
      <w:pPr>
        <w:spacing w:after="120"/>
        <w:jc w:val="center"/>
        <w:rPr>
          <w:rFonts w:ascii="Times New Roman" w:hAnsi="Times New Roman" w:cs="Times New Roman"/>
          <w:b/>
        </w:rPr>
      </w:pPr>
    </w:p>
    <w:p w:rsidR="00BB3CEF" w:rsidRPr="00220375" w:rsidRDefault="00BB3CEF" w:rsidP="001F38CD">
      <w:pPr>
        <w:spacing w:after="120"/>
        <w:jc w:val="center"/>
        <w:rPr>
          <w:rFonts w:ascii="Times New Roman" w:hAnsi="Times New Roman" w:cs="Times New Roman"/>
          <w:b/>
        </w:rPr>
      </w:pPr>
    </w:p>
    <w:p w:rsidR="00F51FB7" w:rsidRDefault="00AE7BF7" w:rsidP="001F38CD">
      <w:pPr>
        <w:spacing w:after="120"/>
        <w:jc w:val="center"/>
        <w:rPr>
          <w:rFonts w:ascii="Times New Roman" w:hAnsi="Times New Roman" w:cs="Times New Roman"/>
          <w:b/>
        </w:rPr>
      </w:pPr>
      <w:r w:rsidRPr="00220375">
        <w:rPr>
          <w:rFonts w:ascii="Times New Roman" w:hAnsi="Times New Roman" w:cs="Times New Roman"/>
          <w:b/>
        </w:rPr>
        <w:t>Abstract</w:t>
      </w:r>
    </w:p>
    <w:p w:rsidR="00892557" w:rsidRDefault="00892557" w:rsidP="001F38CD">
      <w:pPr>
        <w:spacing w:after="120"/>
        <w:jc w:val="center"/>
        <w:rPr>
          <w:rFonts w:ascii="Times New Roman" w:hAnsi="Times New Roman" w:cs="Times New Roman"/>
          <w:b/>
        </w:rPr>
      </w:pPr>
    </w:p>
    <w:p w:rsidR="009A1F22" w:rsidRDefault="009A1F22" w:rsidP="001F38CD">
      <w:pPr>
        <w:spacing w:after="120"/>
        <w:rPr>
          <w:rFonts w:ascii="Times New Roman" w:hAnsi="Times New Roman" w:cs="Times New Roman"/>
        </w:rPr>
      </w:pPr>
      <w:r w:rsidRPr="00220375">
        <w:rPr>
          <w:rFonts w:ascii="Times New Roman" w:hAnsi="Times New Roman" w:cs="Times New Roman"/>
          <w:b/>
        </w:rPr>
        <w:t>Keywords</w:t>
      </w:r>
      <w:r w:rsidRPr="00220375">
        <w:rPr>
          <w:rFonts w:ascii="Times New Roman" w:hAnsi="Times New Roman" w:cs="Times New Roman"/>
        </w:rPr>
        <w:t xml:space="preserve">: </w:t>
      </w:r>
      <w:r w:rsidR="004D6059">
        <w:rPr>
          <w:rFonts w:ascii="Times New Roman" w:hAnsi="Times New Roman" w:cs="Times New Roman"/>
        </w:rPr>
        <w:t>Mobile Cloud Computing</w:t>
      </w:r>
      <w:r w:rsidR="00B7607F">
        <w:rPr>
          <w:rFonts w:ascii="Times New Roman" w:hAnsi="Times New Roman" w:cs="Times New Roman"/>
        </w:rPr>
        <w:t>, Medicine Intake, Health Solution, Old People</w:t>
      </w:r>
    </w:p>
    <w:p w:rsidR="00774974" w:rsidRDefault="00774974" w:rsidP="001F38CD">
      <w:pPr>
        <w:spacing w:after="120"/>
        <w:rPr>
          <w:rFonts w:ascii="Times New Roman" w:hAnsi="Times New Roman" w:cs="Times New Roman"/>
        </w:rPr>
      </w:pPr>
    </w:p>
    <w:p w:rsidR="00774974" w:rsidRPr="00220375" w:rsidRDefault="00774974" w:rsidP="001F38CD">
      <w:pPr>
        <w:spacing w:after="120"/>
        <w:rPr>
          <w:rFonts w:ascii="Times New Roman" w:hAnsi="Times New Roman" w:cs="Times New Roman"/>
        </w:rPr>
        <w:sectPr w:rsidR="00774974" w:rsidRPr="00220375">
          <w:pgSz w:w="12240" w:h="15840"/>
          <w:pgMar w:top="1440" w:right="1440" w:bottom="1440" w:left="1440" w:header="720" w:footer="720" w:gutter="0"/>
          <w:cols w:space="720"/>
          <w:docGrid w:linePitch="360"/>
        </w:sectPr>
      </w:pPr>
    </w:p>
    <w:p w:rsidR="009E70BD" w:rsidRDefault="009E70BD" w:rsidP="001F38CD">
      <w:pPr>
        <w:pStyle w:val="ListParagraph"/>
        <w:numPr>
          <w:ilvl w:val="0"/>
          <w:numId w:val="1"/>
        </w:numPr>
        <w:spacing w:after="120"/>
        <w:rPr>
          <w:rFonts w:ascii="Times New Roman" w:hAnsi="Times New Roman" w:cs="Times New Roman"/>
          <w:b/>
        </w:rPr>
      </w:pPr>
      <w:r w:rsidRPr="00220375">
        <w:rPr>
          <w:rFonts w:ascii="Times New Roman" w:hAnsi="Times New Roman" w:cs="Times New Roman"/>
          <w:b/>
        </w:rPr>
        <w:lastRenderedPageBreak/>
        <w:t>Introduction</w:t>
      </w:r>
    </w:p>
    <w:p w:rsidR="003A79F1" w:rsidRDefault="00FD1F6B" w:rsidP="00E922C1">
      <w:pPr>
        <w:widowControl w:val="0"/>
        <w:autoSpaceDE w:val="0"/>
        <w:autoSpaceDN w:val="0"/>
        <w:adjustRightInd w:val="0"/>
        <w:spacing w:after="120" w:line="240" w:lineRule="auto"/>
        <w:rPr>
          <w:color w:val="000000"/>
        </w:rPr>
      </w:pPr>
      <w:r>
        <w:rPr>
          <w:color w:val="000000"/>
        </w:rPr>
        <w:t>Nowadays, the predominance of chronic diseases has become a main concern</w:t>
      </w:r>
      <w:r w:rsidR="00B84D68">
        <w:rPr>
          <w:color w:val="000000"/>
        </w:rPr>
        <w:t xml:space="preserve"> around the world</w:t>
      </w:r>
      <w:r w:rsidR="00D64F8E">
        <w:rPr>
          <w:color w:val="000000"/>
        </w:rPr>
        <w:t xml:space="preserve"> </w:t>
      </w:r>
      <w:r w:rsidR="00D64F8E">
        <w:rPr>
          <w:color w:val="000000"/>
        </w:rPr>
        <w:fldChar w:fldCharType="begin" w:fldLock="1"/>
      </w:r>
      <w:r w:rsidR="006773F2">
        <w:rPr>
          <w:color w:val="000000"/>
        </w:rPr>
        <w:instrText>ADDIN CSL_CITATION {"citationItems":[{"id":"ITEM-1","itemData":{"DOI":"10.2307/1524882","ISBN":"9211514681","ISSN":"00324663","abstract":"The present report updates and extends the 2002 and 2007 editions, including new features on ageing in rural and urban areas, the coverage of pension systems, and the impact of the 2007-2008 financial crisis on pension systems. It provides description of global trends in population ageing and includes a series of indicators of the ageing process by development regions, major areas, regions and countries. It considers the process of population ageing for the world as a whole, for more and less developed regions, major areas and regions as well as individual countries or areas. Demographic profiles highlighting the relevant indicators of population ageing and covering the period 1950 to 2050 are provided for each country or area.","author":[{"dropping-particle":"","family":"United Nations","given":"","non-dropping-particle":"","parse-names":false,"suffix":""}],"container-title":"Department of Economic &amp; Social Affairs Population Division","id":"ITEM-1","issued":{"date-parts":[["2009"]]},"page":"73","title":"World Population Ageing, 2009","type":"article-journal"},"uris":["http://www.mendeley.com/documents/?uuid=2aea15df-4199-47e6-a9ae-da541f7982b0"]}],"mendeley":{"formattedCitation":"[1]","plainTextFormattedCitation":"[1]","previouslyFormattedCitation":"[1]"},"properties":{"noteIndex":0},"schema":"https://github.com/citation-style-language/schema/raw/master/csl-citation.json"}</w:instrText>
      </w:r>
      <w:r w:rsidR="00D64F8E">
        <w:rPr>
          <w:color w:val="000000"/>
        </w:rPr>
        <w:fldChar w:fldCharType="separate"/>
      </w:r>
      <w:r w:rsidR="00D64F8E" w:rsidRPr="00D64F8E">
        <w:rPr>
          <w:noProof/>
          <w:color w:val="000000"/>
        </w:rPr>
        <w:t>[1]</w:t>
      </w:r>
      <w:r w:rsidR="00D64F8E">
        <w:rPr>
          <w:color w:val="000000"/>
        </w:rPr>
        <w:fldChar w:fldCharType="end"/>
      </w:r>
      <w:r>
        <w:rPr>
          <w:color w:val="000000"/>
        </w:rPr>
        <w:t>.</w:t>
      </w:r>
      <w:r w:rsidR="00571A63">
        <w:rPr>
          <w:color w:val="000000"/>
        </w:rPr>
        <w:t xml:space="preserve"> </w:t>
      </w:r>
      <w:r w:rsidR="00F35800">
        <w:rPr>
          <w:color w:val="000000"/>
        </w:rPr>
        <w:t>Old</w:t>
      </w:r>
      <w:r w:rsidR="007A7916">
        <w:rPr>
          <w:color w:val="000000"/>
        </w:rPr>
        <w:t>er</w:t>
      </w:r>
      <w:r w:rsidR="00571A63">
        <w:rPr>
          <w:color w:val="000000"/>
        </w:rPr>
        <w:t xml:space="preserve"> people go through degeneration </w:t>
      </w:r>
      <w:r w:rsidR="00D61443">
        <w:rPr>
          <w:color w:val="000000"/>
        </w:rPr>
        <w:t xml:space="preserve">process </w:t>
      </w:r>
      <w:r w:rsidR="00571A63">
        <w:rPr>
          <w:color w:val="000000"/>
        </w:rPr>
        <w:t xml:space="preserve">which </w:t>
      </w:r>
      <w:r w:rsidR="00D61443">
        <w:rPr>
          <w:color w:val="000000"/>
        </w:rPr>
        <w:t xml:space="preserve">lower their </w:t>
      </w:r>
      <w:r w:rsidR="00571A63">
        <w:rPr>
          <w:color w:val="000000"/>
        </w:rPr>
        <w:t xml:space="preserve">physiology function that </w:t>
      </w:r>
      <w:r w:rsidR="003B2804">
        <w:rPr>
          <w:color w:val="000000"/>
        </w:rPr>
        <w:t>can cause</w:t>
      </w:r>
      <w:r w:rsidR="00571A63">
        <w:rPr>
          <w:color w:val="000000"/>
        </w:rPr>
        <w:t xml:space="preserve"> non-contagious disease</w:t>
      </w:r>
      <w:r w:rsidR="00D61443">
        <w:rPr>
          <w:color w:val="000000"/>
        </w:rPr>
        <w:t xml:space="preserve"> </w:t>
      </w:r>
      <w:r w:rsidR="007941E6">
        <w:rPr>
          <w:color w:val="000000"/>
        </w:rPr>
        <w:t>to them</w:t>
      </w:r>
      <w:r w:rsidR="00E03F83">
        <w:rPr>
          <w:color w:val="000000"/>
        </w:rPr>
        <w:t xml:space="preserve">; </w:t>
      </w:r>
      <w:r w:rsidR="00AE16B0">
        <w:rPr>
          <w:color w:val="000000"/>
        </w:rPr>
        <w:t>as</w:t>
      </w:r>
      <w:r w:rsidR="00E03F83">
        <w:rPr>
          <w:color w:val="000000"/>
        </w:rPr>
        <w:t xml:space="preserve"> well as lowering their immune system that makes them vulnerable to contagious diseases</w:t>
      </w:r>
      <w:r w:rsidR="00392649">
        <w:rPr>
          <w:color w:val="000000"/>
        </w:rPr>
        <w:t xml:space="preserve"> </w:t>
      </w:r>
      <w:r w:rsidR="00392649">
        <w:rPr>
          <w:color w:val="000000"/>
        </w:rPr>
        <w:fldChar w:fldCharType="begin" w:fldLock="1"/>
      </w:r>
      <w:r w:rsidR="00E5476D">
        <w:rPr>
          <w:color w:val="000000"/>
        </w:rPr>
        <w:instrText>ADDIN CSL_CITATION {"citationItems":[{"id":"ITEM-1","itemData":{"ISBN":"9786024164461","author":[{"dropping-particle":"","family":"Kesehatan","given":"Kementerian","non-dropping-particle":"","parse-names":false,"suffix":""},{"dropping-particle":"","family":"Indonesia","given":"Republik","non-dropping-particle":"","parse-names":false,"suffix":""}],"id":"ITEM-1","issued":{"date-parts":[["0"]]},"title":"PROFIL KESEHATAN INDONESIA TAHUN 2017","type":"book"},"uris":["http://www.mendeley.com/documents/?uuid=f5b684ad-3e97-4acf-a24f-279362d06896"]}],"mendeley":{"formattedCitation":"[2]","plainTextFormattedCitation":"[2]","previouslyFormattedCitation":"[2]"},"properties":{"noteIndex":0},"schema":"https://github.com/citation-style-language/schema/raw/master/csl-citation.json"}</w:instrText>
      </w:r>
      <w:r w:rsidR="00392649">
        <w:rPr>
          <w:color w:val="000000"/>
        </w:rPr>
        <w:fldChar w:fldCharType="separate"/>
      </w:r>
      <w:r w:rsidR="00392649" w:rsidRPr="00392649">
        <w:rPr>
          <w:noProof/>
          <w:color w:val="000000"/>
        </w:rPr>
        <w:t>[2]</w:t>
      </w:r>
      <w:r w:rsidR="00392649">
        <w:rPr>
          <w:color w:val="000000"/>
        </w:rPr>
        <w:fldChar w:fldCharType="end"/>
      </w:r>
      <w:r w:rsidR="00931430">
        <w:rPr>
          <w:color w:val="000000"/>
        </w:rPr>
        <w:t>.</w:t>
      </w:r>
      <w:r w:rsidR="00571A63">
        <w:rPr>
          <w:color w:val="000000"/>
        </w:rPr>
        <w:t xml:space="preserve"> </w:t>
      </w:r>
      <w:r w:rsidR="00945492">
        <w:rPr>
          <w:color w:val="000000"/>
        </w:rPr>
        <w:t xml:space="preserve">Most </w:t>
      </w:r>
      <w:r w:rsidR="001042D6">
        <w:rPr>
          <w:color w:val="000000"/>
        </w:rPr>
        <w:t xml:space="preserve">older </w:t>
      </w:r>
      <w:r w:rsidR="00954879">
        <w:rPr>
          <w:color w:val="000000"/>
        </w:rPr>
        <w:t>people are normally diagnosed wit</w:t>
      </w:r>
      <w:r w:rsidR="009A236A">
        <w:rPr>
          <w:color w:val="000000"/>
        </w:rPr>
        <w:t xml:space="preserve">h multiple diseases; it would be normal for them to have different types of medicine at once </w:t>
      </w:r>
      <w:r w:rsidR="00D20A6D">
        <w:rPr>
          <w:color w:val="000000"/>
        </w:rPr>
        <w:fldChar w:fldCharType="begin" w:fldLock="1"/>
      </w:r>
      <w:r w:rsidR="00230928">
        <w:rPr>
          <w:color w:val="000000"/>
        </w:rPr>
        <w:instrText>ADDIN CSL_CITATION {"citationItems":[{"id":"ITEM-1","itemData":{"ISBN":"9786024164461","author":[{"dropping-particle":"","family":"Kesehatan","given":"Kementerian","non-dropping-particle":"","parse-names":false,"suffix":""},{"dropping-particle":"","family":"Indonesia","given":"Republik","non-dropping-particle":"","parse-names":false,"suffix":""}],"id":"ITEM-1","issued":{"date-parts":[["0"]]},"title":"PROFIL KESEHATAN INDONESIA TAHUN 2017","type":"book"},"uris":["http://www.mendeley.com/documents/?uuid=f5b684ad-3e97-4acf-a24f-279362d06896"]}],"mendeley":{"formattedCitation":"[2]","plainTextFormattedCitation":"[2]","previouslyFormattedCitation":"[2]"},"properties":{"noteIndex":0},"schema":"https://github.com/citation-style-language/schema/raw/master/csl-citation.json"}</w:instrText>
      </w:r>
      <w:r w:rsidR="00D20A6D">
        <w:rPr>
          <w:color w:val="000000"/>
        </w:rPr>
        <w:fldChar w:fldCharType="separate"/>
      </w:r>
      <w:r w:rsidR="00D20A6D" w:rsidRPr="00D20A6D">
        <w:rPr>
          <w:noProof/>
          <w:color w:val="000000"/>
        </w:rPr>
        <w:t>[2]</w:t>
      </w:r>
      <w:r w:rsidR="00D20A6D">
        <w:rPr>
          <w:color w:val="000000"/>
        </w:rPr>
        <w:fldChar w:fldCharType="end"/>
      </w:r>
      <w:r w:rsidR="00D20A6D">
        <w:rPr>
          <w:color w:val="000000"/>
        </w:rPr>
        <w:t>.</w:t>
      </w:r>
      <w:r w:rsidR="004061E0">
        <w:rPr>
          <w:color w:val="000000"/>
        </w:rPr>
        <w:t xml:space="preserve"> </w:t>
      </w:r>
      <w:r w:rsidR="00931430">
        <w:rPr>
          <w:color w:val="000000"/>
        </w:rPr>
        <w:t xml:space="preserve">With that in mind, there are several problems arising in relation </w:t>
      </w:r>
      <w:r w:rsidR="00895805">
        <w:rPr>
          <w:color w:val="000000"/>
        </w:rPr>
        <w:t>of old</w:t>
      </w:r>
      <w:r w:rsidR="00AB1C25">
        <w:rPr>
          <w:color w:val="000000"/>
        </w:rPr>
        <w:t>er</w:t>
      </w:r>
      <w:r w:rsidR="00895805">
        <w:rPr>
          <w:color w:val="000000"/>
        </w:rPr>
        <w:t xml:space="preserve"> people and their numbers of different medicines</w:t>
      </w:r>
      <w:r w:rsidR="00230928">
        <w:rPr>
          <w:color w:val="000000"/>
        </w:rPr>
        <w:t xml:space="preserve"> </w:t>
      </w:r>
      <w:r w:rsidR="00230928">
        <w:rPr>
          <w:color w:val="000000"/>
        </w:rPr>
        <w:fldChar w:fldCharType="begin" w:fldLock="1"/>
      </w:r>
      <w:r w:rsidR="00A60A77">
        <w:rPr>
          <w:color w:val="000000"/>
        </w:rPr>
        <w:instrText>ADDIN CSL_CITATION {"citationItems":[{"id":"ITEM-1","itemData":{"DOI":"10.1111/jgs.13126","ISBN":"0002-8614","ISSN":"00028614","PMID":"25516030","abstract":"OBJECTIVES: To identify the practical problems that older people experience with the daily use of their medicines and their management strategies to address these problems and to determine the potential clinical relevance thereof.\\n\\nDESIGN: Qualitative study with semistructured face-to-face interviews.\\n\\nSETTING: A community pharmacy and a geriatric outpatient ward.\\n\\nPARTICIPANTS: Community-dwelling people aged 70 and older (N = 59).\\n\\nMEASUREMENTS: Participants were interviewed at home. Two researchers coded the reported problems and management strategies independently according to a coding scheme. An expert panel classified the potential clinical relevance of every identified practical problem and associated management strategy using a 3-point scale.\\n\\nRESULTS: Two hundred eleven practical problems and 184 management strategies were identified. Ninety-five percent of the participants experienced one or more practical problems with the use of their medicines: problems reading and understanding the instructions for use, handling the outer packaging, handling the immediate packaging, completing preparation before use, and taking the medicine. For 10 participants, at least one of their problems, in combination with the applied management strategy, had potential clinical consequences and 11 cases (5% of the problems) had the potential to cause moderate or severe clinical deterioration.\\n\\nCONCLUSION: Older people experience a number of practical problems using their medicines, and their strategies to manage these problems are sometimes suboptimal. These problems can lead to incorrect medication use with clinically relevant consequences. The findings pose a challenge for healthcare professionals, drug developers, and regulators to diminish these problems.","author":[{"dropping-particle":"","family":"Notenboom","given":"Kim","non-dropping-particle":"","parse-names":false,"suffix":""},{"dropping-particle":"","family":"Beers","given":"Erna","non-dropping-particle":"","parse-names":false,"suffix":""},{"dropping-particle":"","family":"Riet-Nales","given":"Diana A.","non-dropping-particle":"van","parse-names":false,"suffix":""},{"dropping-particle":"","family":"Egberts","given":"Toine C. G.","non-dropping-particle":"","parse-names":false,"suffix":""},{"dropping-particle":"","family":"Leufkens","given":"Hubert G. M.","non-dropping-particle":"","parse-names":false,"suffix":""},{"dropping-particle":"","family":"Jansen","given":"Paul A. F.","non-dropping-particle":"","parse-names":false,"suffix":""},{"dropping-particle":"","family":"Bouvy","given":"Marcel L.","non-dropping-particle":"","parse-names":false,"suffix":""}],"container-title":"Journal of the American Geriatrics Society","id":"ITEM-1","issue":"12","issued":{"date-parts":[["2014"]]},"page":"2339-2344","title":"Practical Problems with Medication Use that Older People Experience: A Qualitative Study","type":"article-journal","volume":"62"},"uris":["http://www.mendeley.com/documents/?uuid=c9a955cc-036a-4bbb-bc37-9bbd420799f7"]}],"mendeley":{"formattedCitation":"[3]","plainTextFormattedCitation":"[3]","previouslyFormattedCitation":"[3]"},"properties":{"noteIndex":0},"schema":"https://github.com/citation-style-language/schema/raw/master/csl-citation.json"}</w:instrText>
      </w:r>
      <w:r w:rsidR="00230928">
        <w:rPr>
          <w:color w:val="000000"/>
        </w:rPr>
        <w:fldChar w:fldCharType="separate"/>
      </w:r>
      <w:r w:rsidR="00230928" w:rsidRPr="00230928">
        <w:rPr>
          <w:noProof/>
          <w:color w:val="000000"/>
        </w:rPr>
        <w:t>[3]</w:t>
      </w:r>
      <w:r w:rsidR="00230928">
        <w:rPr>
          <w:color w:val="000000"/>
        </w:rPr>
        <w:fldChar w:fldCharType="end"/>
      </w:r>
      <w:r w:rsidR="00895805">
        <w:rPr>
          <w:color w:val="000000"/>
        </w:rPr>
        <w:t>.</w:t>
      </w:r>
      <w:r w:rsidR="007765FF">
        <w:rPr>
          <w:color w:val="000000"/>
        </w:rPr>
        <w:t xml:space="preserve"> </w:t>
      </w:r>
      <w:r w:rsidR="00AB1C25">
        <w:rPr>
          <w:color w:val="000000"/>
        </w:rPr>
        <w:t>The</w:t>
      </w:r>
      <w:r w:rsidR="00470E3E">
        <w:rPr>
          <w:color w:val="000000"/>
        </w:rPr>
        <w:t xml:space="preserve">y </w:t>
      </w:r>
      <w:r w:rsidR="00533651">
        <w:rPr>
          <w:color w:val="000000"/>
        </w:rPr>
        <w:t>experience practical problems when</w:t>
      </w:r>
      <w:r w:rsidR="00D87AFE">
        <w:rPr>
          <w:color w:val="000000"/>
        </w:rPr>
        <w:t xml:space="preserve"> </w:t>
      </w:r>
      <w:r w:rsidR="00313829">
        <w:rPr>
          <w:color w:val="000000"/>
        </w:rPr>
        <w:t>taking their medication</w:t>
      </w:r>
      <w:r w:rsidR="007F5150">
        <w:rPr>
          <w:color w:val="000000"/>
        </w:rPr>
        <w:t xml:space="preserve"> such as </w:t>
      </w:r>
      <w:r w:rsidR="00313829">
        <w:rPr>
          <w:color w:val="000000"/>
        </w:rPr>
        <w:t>not understanding enough</w:t>
      </w:r>
      <w:r w:rsidR="00BF6830">
        <w:rPr>
          <w:color w:val="000000"/>
        </w:rPr>
        <w:t xml:space="preserve"> user information and</w:t>
      </w:r>
      <w:r w:rsidR="00FA1580">
        <w:rPr>
          <w:color w:val="000000"/>
        </w:rPr>
        <w:t xml:space="preserve"> required</w:t>
      </w:r>
      <w:r w:rsidR="00313829">
        <w:rPr>
          <w:color w:val="000000"/>
        </w:rPr>
        <w:t xml:space="preserve"> preparation on before</w:t>
      </w:r>
      <w:r w:rsidR="00BF6830">
        <w:rPr>
          <w:color w:val="000000"/>
        </w:rPr>
        <w:t xml:space="preserve"> or</w:t>
      </w:r>
      <w:r w:rsidR="00313829">
        <w:rPr>
          <w:color w:val="000000"/>
        </w:rPr>
        <w:t xml:space="preserve"> after taking medication</w:t>
      </w:r>
      <w:r w:rsidR="0099040C">
        <w:rPr>
          <w:color w:val="000000"/>
        </w:rPr>
        <w:t xml:space="preserve"> </w:t>
      </w:r>
      <w:r w:rsidR="00C87599">
        <w:rPr>
          <w:color w:val="000000"/>
        </w:rPr>
        <w:fldChar w:fldCharType="begin" w:fldLock="1"/>
      </w:r>
      <w:r w:rsidR="00D46289">
        <w:rPr>
          <w:color w:val="000000"/>
        </w:rPr>
        <w:instrText>ADDIN CSL_CITATION {"citationItems":[{"id":"ITEM-1","itemData":{"DOI":"10.1111/jgs.13126","ISBN":"0002-8614","ISSN":"00028614","PMID":"25516030","abstract":"OBJECTIVES: To identify the practical problems that older people experience with the daily use of their medicines and their management strategies to address these problems and to determine the potential clinical relevance thereof.\\n\\nDESIGN: Qualitative study with semistructured face-to-face interviews.\\n\\nSETTING: A community pharmacy and a geriatric outpatient ward.\\n\\nPARTICIPANTS: Community-dwelling people aged 70 and older (N = 59).\\n\\nMEASUREMENTS: Participants were interviewed at home. Two researchers coded the reported problems and management strategies independently according to a coding scheme. An expert panel classified the potential clinical relevance of every identified practical problem and associated management strategy using a 3-point scale.\\n\\nRESULTS: Two hundred eleven practical problems and 184 management strategies were identified. Ninety-five percent of the participants experienced one or more practical problems with the use of their medicines: problems reading and understanding the instructions for use, handling the outer packaging, handling the immediate packaging, completing preparation before use, and taking the medicine. For 10 participants, at least one of their problems, in combination with the applied management strategy, had potential clinical consequences and 11 cases (5% of the problems) had the potential to cause moderate or severe clinical deterioration.\\n\\nCONCLUSION: Older people experience a number of practical problems using their medicines, and their strategies to manage these problems are sometimes suboptimal. These problems can lead to incorrect medication use with clinically relevant consequences. The findings pose a challenge for healthcare professionals, drug developers, and regulators to diminish these problems.","author":[{"dropping-particle":"","family":"Notenboom","given":"Kim","non-dropping-particle":"","parse-names":false,"suffix":""},{"dropping-particle":"","family":"Beers","given":"Erna","non-dropping-particle":"","parse-names":false,"suffix":""},{"dropping-particle":"","family":"Riet-Nales","given":"Diana A.","non-dropping-particle":"van","parse-names":false,"suffix":""},{"dropping-particle":"","family":"Egberts","given":"Toine C. G.","non-dropping-particle":"","parse-names":false,"suffix":""},{"dropping-particle":"","family":"Leufkens","given":"Hubert G. M.","non-dropping-particle":"","parse-names":false,"suffix":""},{"dropping-particle":"","family":"Jansen","given":"Paul A. F.","non-dropping-particle":"","parse-names":false,"suffix":""},{"dropping-particle":"","family":"Bouvy","given":"Marcel L.","non-dropping-particle":"","parse-names":false,"suffix":""}],"container-title":"Journal of the American Geriatrics Society","id":"ITEM-1","issue":"12","issued":{"date-parts":[["2014"]]},"page":"2339-2344","title":"Practical Problems with Medication Use that Older People Experience: A Qualitative Study","type":"article-journal","volume":"62"},"uris":["http://www.mendeley.com/documents/?uuid=c9a955cc-036a-4bbb-bc37-9bbd420799f7"]}],"mendeley":{"formattedCitation":"[3]","plainTextFormattedCitation":"[3]","previouslyFormattedCitation":"[3]"},"properties":{"noteIndex":0},"schema":"https://github.com/citation-style-language/schema/raw/master/csl-citation.json"}</w:instrText>
      </w:r>
      <w:r w:rsidR="00C87599">
        <w:rPr>
          <w:color w:val="000000"/>
        </w:rPr>
        <w:fldChar w:fldCharType="separate"/>
      </w:r>
      <w:r w:rsidR="00C87599" w:rsidRPr="00C87599">
        <w:rPr>
          <w:noProof/>
          <w:color w:val="000000"/>
        </w:rPr>
        <w:t>[3]</w:t>
      </w:r>
      <w:r w:rsidR="00C87599">
        <w:rPr>
          <w:color w:val="000000"/>
        </w:rPr>
        <w:fldChar w:fldCharType="end"/>
      </w:r>
      <w:r w:rsidR="00313829">
        <w:rPr>
          <w:color w:val="000000"/>
        </w:rPr>
        <w:t>.</w:t>
      </w:r>
      <w:r w:rsidR="005B244D">
        <w:rPr>
          <w:color w:val="000000"/>
        </w:rPr>
        <w:t xml:space="preserve"> </w:t>
      </w:r>
      <w:r w:rsidR="00BE5041">
        <w:rPr>
          <w:color w:val="000000"/>
        </w:rPr>
        <w:t xml:space="preserve">Some others may simply forget to take their medicine within the advised time. </w:t>
      </w:r>
      <w:r w:rsidR="00576DF3">
        <w:rPr>
          <w:color w:val="000000"/>
        </w:rPr>
        <w:t xml:space="preserve">Not understanding information </w:t>
      </w:r>
      <w:r w:rsidR="00002961">
        <w:rPr>
          <w:color w:val="000000"/>
        </w:rPr>
        <w:t xml:space="preserve">of the medicine may cause some people to not </w:t>
      </w:r>
      <w:r w:rsidR="00276625">
        <w:rPr>
          <w:color w:val="000000"/>
        </w:rPr>
        <w:t>take or</w:t>
      </w:r>
      <w:r w:rsidR="00002961">
        <w:rPr>
          <w:color w:val="000000"/>
        </w:rPr>
        <w:t xml:space="preserve"> reduce the dosage of </w:t>
      </w:r>
      <w:r w:rsidR="00A83CD1">
        <w:rPr>
          <w:color w:val="000000"/>
        </w:rPr>
        <w:t xml:space="preserve">their medication. </w:t>
      </w:r>
      <w:r w:rsidR="00D42A07">
        <w:rPr>
          <w:color w:val="000000"/>
        </w:rPr>
        <w:t xml:space="preserve">These problems may lead </w:t>
      </w:r>
      <w:r w:rsidR="006C65C6">
        <w:rPr>
          <w:color w:val="000000"/>
        </w:rPr>
        <w:t>improper medicine intake that can cause clinical consequences</w:t>
      </w:r>
      <w:r w:rsidR="00C63075">
        <w:rPr>
          <w:color w:val="000000"/>
        </w:rPr>
        <w:t xml:space="preserve"> </w:t>
      </w:r>
      <w:r w:rsidR="00C63075">
        <w:rPr>
          <w:color w:val="000000"/>
        </w:rPr>
        <w:fldChar w:fldCharType="begin" w:fldLock="1"/>
      </w:r>
      <w:r w:rsidR="00132F61">
        <w:rPr>
          <w:color w:val="000000"/>
        </w:rPr>
        <w:instrText>ADDIN CSL_CITATION {"citationItems":[{"id":"ITEM-1","itemData":{"DOI":"10.2165/00002512-200825020-00007","ISBN":"1170-229X","ISSN":"1170229X","PMID":"18257602","abstract":"BACKGROUND: Older people are at greater risk from polypharmacy and adverse effects due to interactions and altered pharmacokinetics. They may also have greater difficulty managing their medicines and complying with dosage regimens for various reasons. OBJECTIVE: To identify the types of medicine compliance issues that occur among older people. METHOD: The study was undertaken in suburbs of the city of Auckland, New Zealand. A sample of 31 older people (&gt; or = 65 years of age) living in the community consented to participate in the study. Semi-structured interviews and observation were used to determine how older people were managing their medicines. Observation of the interaction between the pharmacist and older person was performed to gather baseline information and semi-structured interviews were undertaken within 1 month to determine how older people were using their medicines and to identify compliance issues surrounding their use of medicines. Observation of the pharmacist-older person interaction was undertaken in the pharmacy where the older people usually collected their medicines, and participants were subsequently interviewed in their homes. The main outcome measure was compliance issues associated with the use of medicines. RESULTS: The main issues identified were alteration of labelled medicine instructions; transferring medicine into other containers and the associated labelling and safety issues; and patients not taking medicines for various reasons, including swallowing difficulties, expense, difficulty in opening packaging, confusion about the regimen and adverse effects experienced and personal reasons. There was an average of five compliance issues per participant. CONCLUSION: This study identified intentional and non-intentional compliance issues that could hinder the optimal use of medicines by older people who are at greater risk of medicine-related adverse effects. Large quantities of medicines, confusion, and lack of knowledge as to why a medicine had been prescribed contributed to non-compliance. Appropriate communication between the pharmacist and patient, patient education and aids such as medication cards and referral for medication review could improve compliance in this age group.","author":[{"dropping-particle":"","family":"Kairuz","given":"Therése","non-dropping-particle":"","parse-names":false,"suffix":""},{"dropping-particle":"","family":"Bye","given":"Lynne","non-dropping-particle":"","parse-names":false,"suffix":""},{"dropping-particle":"","family":"Birdsall","given":"Rachel","non-dropping-particle":"","parse-names":false,"suffix":""},{"dropping-particle":"","family":"Deng","given":"Tracy","non-dropping-particle":"","parse-names":false,"suffix":""},{"dropping-particle":"","family":"Man","given":"Louisa","non-dropping-particle":"","parse-names":false,"suffix":""},{"dropping-particle":"","family":"Ross","given":"Amanda","non-dropping-particle":"","parse-names":false,"suffix":""},{"dropping-particle":"","family":"Samarasinha","given":"Imalka","non-dropping-particle":"","parse-names":false,"suffix":""},{"dropping-particle":"","family":"Tautolo","given":"Ereni","non-dropping-particle":"","parse-names":false,"suffix":""}],"container-title":"Drugs and Aging","id":"ITEM-1","issue":"2","issued":{"date-parts":[["2008"]]},"page":"153-162","title":"Identifying compliance issues with prescription medicines among older people: A pilot study","type":"article-journal","volume":"25"},"uris":["http://www.mendeley.com/documents/?uuid=4313f1f4-3d13-4e2c-8551-cc85c706a224"]}],"mendeley":{"formattedCitation":"[4]","plainTextFormattedCitation":"[4]","previouslyFormattedCitation":"[4]"},"properties":{"noteIndex":0},"schema":"https://github.com/citation-style-language/schema/raw/master/csl-citation.json"}</w:instrText>
      </w:r>
      <w:r w:rsidR="00C63075">
        <w:rPr>
          <w:color w:val="000000"/>
        </w:rPr>
        <w:fldChar w:fldCharType="separate"/>
      </w:r>
      <w:r w:rsidR="00C63075" w:rsidRPr="00C63075">
        <w:rPr>
          <w:noProof/>
          <w:color w:val="000000"/>
        </w:rPr>
        <w:t>[4]</w:t>
      </w:r>
      <w:r w:rsidR="00C63075">
        <w:rPr>
          <w:color w:val="000000"/>
        </w:rPr>
        <w:fldChar w:fldCharType="end"/>
      </w:r>
      <w:r w:rsidR="006C65C6">
        <w:rPr>
          <w:color w:val="000000"/>
        </w:rPr>
        <w:t xml:space="preserve">. </w:t>
      </w:r>
      <w:r w:rsidR="0053496D">
        <w:rPr>
          <w:color w:val="000000"/>
        </w:rPr>
        <w:t>In correlation, o</w:t>
      </w:r>
      <w:r w:rsidR="005B244D">
        <w:rPr>
          <w:color w:val="000000"/>
        </w:rPr>
        <w:t>lder people with the age between 40</w:t>
      </w:r>
      <w:r w:rsidR="00C83C89">
        <w:rPr>
          <w:color w:val="000000"/>
        </w:rPr>
        <w:t xml:space="preserve"> and </w:t>
      </w:r>
      <w:r w:rsidR="005B244D">
        <w:rPr>
          <w:color w:val="000000"/>
        </w:rPr>
        <w:t>50 are not foreign with the usage of smartphones anymore</w:t>
      </w:r>
      <w:r w:rsidR="00014AE8">
        <w:rPr>
          <w:color w:val="000000"/>
        </w:rPr>
        <w:t xml:space="preserve"> as they have integrated part of their life using smartphones</w:t>
      </w:r>
      <w:r w:rsidR="00D92919">
        <w:rPr>
          <w:color w:val="000000"/>
        </w:rPr>
        <w:t xml:space="preserve"> </w:t>
      </w:r>
      <w:r w:rsidR="00330F68">
        <w:rPr>
          <w:color w:val="000000"/>
        </w:rPr>
        <w:fldChar w:fldCharType="begin" w:fldLock="1"/>
      </w:r>
      <w:r w:rsidR="00132F61">
        <w:rPr>
          <w:color w:val="000000"/>
        </w:rPr>
        <w:instrText>ADDIN CSL_CITATION {"citationItems":[{"id":"ITEM-1","itemData":{"author":[{"dropping-particle":"","family":"KataData","given":"","non-dropping-particle":"","parse-names":false,"suffix":""}],"id":"ITEM-1","issued":{"date-parts":[["2018"]]},"page":"2017","title":"Usia Produktif Mendominasi Pengguna Internet","type":"article-journal"},"uris":["http://www.mendeley.com/documents/?uuid=2eceb9db-dddf-468c-af35-43baf74b0301"]}],"mendeley":{"formattedCitation":"[5]","plainTextFormattedCitation":"[5]","previouslyFormattedCitation":"[5]"},"properties":{"noteIndex":0},"schema":"https://github.com/citation-style-language/schema/raw/master/csl-citation.json"}</w:instrText>
      </w:r>
      <w:r w:rsidR="00330F68">
        <w:rPr>
          <w:color w:val="000000"/>
        </w:rPr>
        <w:fldChar w:fldCharType="separate"/>
      </w:r>
      <w:r w:rsidR="00C63075" w:rsidRPr="00C63075">
        <w:rPr>
          <w:noProof/>
          <w:color w:val="000000"/>
        </w:rPr>
        <w:t>[5]</w:t>
      </w:r>
      <w:r w:rsidR="00330F68">
        <w:rPr>
          <w:color w:val="000000"/>
        </w:rPr>
        <w:fldChar w:fldCharType="end"/>
      </w:r>
      <w:r w:rsidR="005B244D">
        <w:rPr>
          <w:color w:val="000000"/>
        </w:rPr>
        <w:t>.</w:t>
      </w:r>
      <w:r w:rsidR="00891EBF">
        <w:rPr>
          <w:color w:val="000000"/>
        </w:rPr>
        <w:t xml:space="preserve"> </w:t>
      </w:r>
      <w:r w:rsidR="00E826A4">
        <w:rPr>
          <w:color w:val="000000"/>
        </w:rPr>
        <w:t xml:space="preserve">As of 2018, </w:t>
      </w:r>
      <w:r w:rsidR="00E8394A">
        <w:rPr>
          <w:color w:val="000000"/>
        </w:rPr>
        <w:t>Indonesia</w:t>
      </w:r>
      <w:r w:rsidR="00780015">
        <w:rPr>
          <w:color w:val="000000"/>
        </w:rPr>
        <w:t xml:space="preserve"> has become the 4</w:t>
      </w:r>
      <w:r w:rsidR="00780015" w:rsidRPr="00780015">
        <w:rPr>
          <w:color w:val="000000"/>
          <w:vertAlign w:val="superscript"/>
        </w:rPr>
        <w:t>th</w:t>
      </w:r>
      <w:r w:rsidR="00780015">
        <w:rPr>
          <w:color w:val="000000"/>
        </w:rPr>
        <w:t xml:space="preserve"> largest smartphone owners in Asia</w:t>
      </w:r>
      <w:r w:rsidR="00E8394A">
        <w:rPr>
          <w:color w:val="000000"/>
        </w:rPr>
        <w:t xml:space="preserve">, there are currently </w:t>
      </w:r>
      <w:r w:rsidR="00A7358A">
        <w:rPr>
          <w:color w:val="000000"/>
        </w:rPr>
        <w:t>over 1</w:t>
      </w:r>
      <w:r w:rsidR="00075063">
        <w:rPr>
          <w:color w:val="000000"/>
        </w:rPr>
        <w:t>77</w:t>
      </w:r>
      <w:r w:rsidR="00A7358A">
        <w:rPr>
          <w:color w:val="000000"/>
        </w:rPr>
        <w:t xml:space="preserve"> </w:t>
      </w:r>
      <w:r w:rsidR="00CF15E1">
        <w:rPr>
          <w:color w:val="000000"/>
        </w:rPr>
        <w:t>million</w:t>
      </w:r>
      <w:r w:rsidR="00A7358A">
        <w:rPr>
          <w:color w:val="000000"/>
        </w:rPr>
        <w:t xml:space="preserve"> </w:t>
      </w:r>
      <w:r w:rsidR="00CF15E1">
        <w:rPr>
          <w:color w:val="000000"/>
        </w:rPr>
        <w:t>registered smartphone</w:t>
      </w:r>
      <w:r w:rsidR="006B3F44">
        <w:rPr>
          <w:color w:val="000000"/>
        </w:rPr>
        <w:t>s</w:t>
      </w:r>
      <w:r w:rsidR="00E826A4">
        <w:rPr>
          <w:color w:val="000000"/>
        </w:rPr>
        <w:t xml:space="preserve"> </w:t>
      </w:r>
      <w:r w:rsidR="00256C56">
        <w:rPr>
          <w:color w:val="000000"/>
        </w:rPr>
        <w:t xml:space="preserve">and over 120 million </w:t>
      </w:r>
      <w:r w:rsidR="00256C56">
        <w:rPr>
          <w:color w:val="000000"/>
        </w:rPr>
        <w:lastRenderedPageBreak/>
        <w:t>active mobile social users</w:t>
      </w:r>
      <w:r w:rsidR="005252F3">
        <w:rPr>
          <w:color w:val="000000"/>
        </w:rPr>
        <w:t xml:space="preserve"> </w:t>
      </w:r>
      <w:r w:rsidR="00D46289">
        <w:rPr>
          <w:color w:val="000000"/>
        </w:rPr>
        <w:fldChar w:fldCharType="begin" w:fldLock="1"/>
      </w:r>
      <w:r w:rsidR="00132F61">
        <w:rPr>
          <w:color w:val="000000"/>
        </w:rPr>
        <w:instrText>ADDIN CSL_CITATION {"citationItems":[{"id":"ITEM-1","itemData":{"URL":"http://industri.bisnis.com/read/20180201/101/733037/pengguna-perangkat-mobile-di-indonesia-semakin-tinggi-ini-datanya","accessed":{"date-parts":[["2018","10","7"]]},"author":[{"dropping-particle":"","family":"Sidik","given":"Fajar","non-dropping-particle":"","parse-names":false,"suffix":""}],"id":"ITEM-1","issued":{"date-parts":[["2018"]]},"title":"Pengguna Perangkat Mobile di Indonesia Semakin Tinggi, Ini Datanya!","type":"webpage"},"uris":["http://www.mendeley.com/documents/?uuid=8c733fa1-a7c3-3712-a411-fcfb73d58d39"]}],"mendeley":{"formattedCitation":"[6]","plainTextFormattedCitation":"[6]","previouslyFormattedCitation":"[6]"},"properties":{"noteIndex":0},"schema":"https://github.com/citation-style-language/schema/raw/master/csl-citation.json"}</w:instrText>
      </w:r>
      <w:r w:rsidR="00D46289">
        <w:rPr>
          <w:color w:val="000000"/>
        </w:rPr>
        <w:fldChar w:fldCharType="separate"/>
      </w:r>
      <w:r w:rsidR="00C63075" w:rsidRPr="00C63075">
        <w:rPr>
          <w:noProof/>
          <w:color w:val="000000"/>
        </w:rPr>
        <w:t>[6]</w:t>
      </w:r>
      <w:r w:rsidR="00D46289">
        <w:rPr>
          <w:color w:val="000000"/>
        </w:rPr>
        <w:fldChar w:fldCharType="end"/>
      </w:r>
      <w:r w:rsidR="00E826A4">
        <w:rPr>
          <w:color w:val="000000"/>
        </w:rPr>
        <w:t>.</w:t>
      </w:r>
      <w:r w:rsidR="005C6B65">
        <w:rPr>
          <w:color w:val="000000"/>
        </w:rPr>
        <w:t xml:space="preserve"> </w:t>
      </w:r>
      <w:r w:rsidR="00202B44">
        <w:rPr>
          <w:color w:val="000000"/>
        </w:rPr>
        <w:t xml:space="preserve">Traditional client-server based services </w:t>
      </w:r>
      <w:r w:rsidR="0071577D">
        <w:rPr>
          <w:color w:val="000000"/>
        </w:rPr>
        <w:t xml:space="preserve">will not be </w:t>
      </w:r>
      <w:r w:rsidR="00202B44">
        <w:rPr>
          <w:color w:val="000000"/>
        </w:rPr>
        <w:t xml:space="preserve">able to meet </w:t>
      </w:r>
      <w:r w:rsidR="008B4B02">
        <w:rPr>
          <w:color w:val="000000"/>
        </w:rPr>
        <w:t xml:space="preserve">these </w:t>
      </w:r>
      <w:r w:rsidR="00202B44">
        <w:rPr>
          <w:color w:val="000000"/>
        </w:rPr>
        <w:t>demands</w:t>
      </w:r>
      <w:r w:rsidR="00937E7C">
        <w:rPr>
          <w:color w:val="000000"/>
        </w:rPr>
        <w:t>, thus the solution is</w:t>
      </w:r>
      <w:r w:rsidR="008F188A">
        <w:rPr>
          <w:color w:val="000000"/>
        </w:rPr>
        <w:t xml:space="preserve"> to use Mobil</w:t>
      </w:r>
      <w:r w:rsidR="00DD0514">
        <w:rPr>
          <w:color w:val="000000"/>
        </w:rPr>
        <w:t xml:space="preserve">e Cloud Computing (MCC) application to </w:t>
      </w:r>
      <w:r w:rsidR="001B5212">
        <w:rPr>
          <w:color w:val="000000"/>
        </w:rPr>
        <w:t>satisfy these demands</w:t>
      </w:r>
      <w:r w:rsidR="00701367">
        <w:rPr>
          <w:color w:val="000000"/>
        </w:rPr>
        <w:t xml:space="preserve"> </w:t>
      </w:r>
      <w:r w:rsidR="00132F61">
        <w:rPr>
          <w:color w:val="000000"/>
        </w:rPr>
        <w:fldChar w:fldCharType="begin" w:fldLock="1"/>
      </w:r>
      <w:r w:rsidR="00492793">
        <w:rPr>
          <w:color w:val="000000"/>
        </w:rPr>
        <w:instrText>ADDIN CSL_CITATION {"citationItems":[{"id":"ITEM-1","itemData":{"DOI":"10.1109/MNET.2013.6616109","ISBN":"0890-8044","ISSN":"08908044","abstract":"Mobile devices are rapidly becoming the major service participants nowadays. However, traditional client-server based mobile service models are not able to meet the increasing demands from mobile users in terms of services diversity, user experience, security and privacy, and so on. Cloud computing enables mobile devices to offload complex operations of mobile applications, which are infeasible on mobile devices alone. In this article, we provide a comprehensive study to lay out existing mobile cloud computing service models and key achievements, and present a new user-centric mobile cloud computing service model to advance existing mobile cloud computing research.","author":[{"dropping-particle":"","family":"Huang","given":"Dijiang","non-dropping-particle":"","parse-names":false,"suffix":""},{"dropping-particle":"","family":"Xing","given":"Tianyi","non-dropping-particle":"","parse-names":false,"suffix":""},{"dropping-particle":"","family":"Wu","given":"Huijun","non-dropping-particle":"","parse-names":false,"suffix":""}],"container-title":"IEEE Network","id":"ITEM-1","issue":"5","issued":{"date-parts":[["2013"]]},"page":"6-11","title":"Mobile cloud computing service models: A user-centric approach","type":"article-journal","volume":"27"},"uris":["http://www.mendeley.com/documents/?uuid=c5c3e0d8-d841-4975-a13b-47b1d85ec687"]}],"mendeley":{"formattedCitation":"[7]","plainTextFormattedCitation":"[7]","previouslyFormattedCitation":"[7]"},"properties":{"noteIndex":0},"schema":"https://github.com/citation-style-language/schema/raw/master/csl-citation.json"}</w:instrText>
      </w:r>
      <w:r w:rsidR="00132F61">
        <w:rPr>
          <w:color w:val="000000"/>
        </w:rPr>
        <w:fldChar w:fldCharType="separate"/>
      </w:r>
      <w:r w:rsidR="00132F61" w:rsidRPr="00132F61">
        <w:rPr>
          <w:noProof/>
          <w:color w:val="000000"/>
        </w:rPr>
        <w:t>[7]</w:t>
      </w:r>
      <w:r w:rsidR="00132F61">
        <w:rPr>
          <w:color w:val="000000"/>
        </w:rPr>
        <w:fldChar w:fldCharType="end"/>
      </w:r>
      <w:r w:rsidR="00493E72">
        <w:rPr>
          <w:color w:val="000000"/>
        </w:rPr>
        <w:t xml:space="preserve">. </w:t>
      </w:r>
      <w:r w:rsidR="006F1A6D">
        <w:rPr>
          <w:color w:val="000000"/>
        </w:rPr>
        <w:t xml:space="preserve">Mobile Cloud Computing allows </w:t>
      </w:r>
      <w:r w:rsidR="00D56987">
        <w:rPr>
          <w:color w:val="000000"/>
        </w:rPr>
        <w:t>mobile devices to offload tasks to preserver computational resources including CPU, memory, storage usages as well as extending battery life</w:t>
      </w:r>
      <w:r w:rsidR="00754630">
        <w:rPr>
          <w:color w:val="000000"/>
        </w:rPr>
        <w:t xml:space="preserve"> </w:t>
      </w:r>
      <w:r w:rsidR="00492793">
        <w:rPr>
          <w:color w:val="000000"/>
        </w:rPr>
        <w:fldChar w:fldCharType="begin" w:fldLock="1"/>
      </w:r>
      <w:r w:rsidR="00492793">
        <w:rPr>
          <w:color w:val="000000"/>
        </w:rPr>
        <w:instrText>ADDIN CSL_CITATION {"citationItems":[{"id":"ITEM-1","itemData":{"DOI":"10.1002/wcm","ISBN":"1530-8677","ISSN":"15308669","PMID":"37249090793","abstract":"In this paper, we present three experimental proof-of-concepts: First, we demonstrate a Ubiquitous Computing Framework (UCF), which is a network of interacting technologies that support humans ubiquitously. We then present practical work based on this UCF framework: TalkingPoints, which was originally developed for use at trading fairs in order to identify each participant and company via transponder and provide specific information during and after use. Finally, we propose GARFID, a concept for using advanced technologies for teaching young children. The main outcome of this research is that the concept of UCF raises a lot of possibilities, which can bring value and benefits for end-users. When one follows the Working-is-Learning paradigm, it can be seen that the implementation of this type of technology can support Life Long Learning, thereby providing evidence that technology can benefit everybody and make life easier.","author":[{"dropping-particle":"","family":"Xu, Wu, Daneshmand, Liu","given":"Wang","non-dropping-particle":"","parse-names":false,"suffix":""}],"container-title":"Wireless Communications and Mobile Computing","id":"ITEM-1","issue":"February 2015","issued":{"date-parts":[["2015"]]},"page":"421-430","title":"A data privacy protective mechanism for WBAN","type":"article-journal"},"uris":["http://www.mendeley.com/documents/?uuid=9667e301-708f-4482-a5ab-59813b2a7fe0"]}],"mendeley":{"formattedCitation":"[8]","plainTextFormattedCitation":"[8]"},"properties":{"noteIndex":0},"schema":"https://github.com/citation-style-language/schema/raw/master/csl-citation.json"}</w:instrText>
      </w:r>
      <w:r w:rsidR="00492793">
        <w:rPr>
          <w:color w:val="000000"/>
        </w:rPr>
        <w:fldChar w:fldCharType="separate"/>
      </w:r>
      <w:r w:rsidR="00492793" w:rsidRPr="00492793">
        <w:rPr>
          <w:noProof/>
          <w:color w:val="000000"/>
        </w:rPr>
        <w:t>[8]</w:t>
      </w:r>
      <w:r w:rsidR="00492793">
        <w:rPr>
          <w:color w:val="000000"/>
        </w:rPr>
        <w:fldChar w:fldCharType="end"/>
      </w:r>
      <w:r w:rsidR="00D56987">
        <w:rPr>
          <w:color w:val="000000"/>
        </w:rPr>
        <w:t>.</w:t>
      </w:r>
      <w:r w:rsidR="00166434">
        <w:rPr>
          <w:color w:val="000000"/>
        </w:rPr>
        <w:t xml:space="preserve"> </w:t>
      </w:r>
    </w:p>
    <w:p w:rsidR="003A79F1" w:rsidRDefault="003A79F1" w:rsidP="00E922C1">
      <w:pPr>
        <w:widowControl w:val="0"/>
        <w:autoSpaceDE w:val="0"/>
        <w:autoSpaceDN w:val="0"/>
        <w:adjustRightInd w:val="0"/>
        <w:spacing w:after="120" w:line="240" w:lineRule="auto"/>
        <w:rPr>
          <w:color w:val="000000"/>
        </w:rPr>
      </w:pPr>
    </w:p>
    <w:p w:rsidR="007E0CFF" w:rsidRDefault="005372F8" w:rsidP="00E922C1">
      <w:pPr>
        <w:widowControl w:val="0"/>
        <w:autoSpaceDE w:val="0"/>
        <w:autoSpaceDN w:val="0"/>
        <w:adjustRightInd w:val="0"/>
        <w:spacing w:after="120" w:line="240" w:lineRule="auto"/>
        <w:rPr>
          <w:color w:val="000000"/>
        </w:rPr>
      </w:pPr>
      <w:r>
        <w:rPr>
          <w:color w:val="000000"/>
        </w:rPr>
        <w:t xml:space="preserve">In this paper, the author </w:t>
      </w:r>
      <w:r w:rsidR="001662A7">
        <w:rPr>
          <w:color w:val="000000"/>
        </w:rPr>
        <w:t>propose</w:t>
      </w:r>
      <w:r w:rsidR="00AA7C90">
        <w:rPr>
          <w:color w:val="000000"/>
        </w:rPr>
        <w:t>s</w:t>
      </w:r>
      <w:r w:rsidR="001662A7">
        <w:rPr>
          <w:color w:val="000000"/>
        </w:rPr>
        <w:t xml:space="preserve"> a solution for an MCC application that can be used for older people that allow them to access information of the prescribed medication they are taking, the dosages they are meant to take </w:t>
      </w:r>
      <w:r w:rsidR="001747EE">
        <w:rPr>
          <w:color w:val="000000"/>
        </w:rPr>
        <w:t>advised by the doctor, lastly the required preparation before or after taking the medication</w:t>
      </w:r>
      <w:r w:rsidR="00D4317A">
        <w:rPr>
          <w:color w:val="000000"/>
        </w:rPr>
        <w:t>, and lastly reminder on when the scheduled medicine is supposed to be taken</w:t>
      </w:r>
      <w:r w:rsidR="001747EE">
        <w:rPr>
          <w:color w:val="000000"/>
        </w:rPr>
        <w:t>.</w:t>
      </w:r>
    </w:p>
    <w:p w:rsidR="007E0CFF" w:rsidRDefault="007E0CFF" w:rsidP="00E922C1">
      <w:pPr>
        <w:widowControl w:val="0"/>
        <w:autoSpaceDE w:val="0"/>
        <w:autoSpaceDN w:val="0"/>
        <w:adjustRightInd w:val="0"/>
        <w:spacing w:after="120" w:line="240" w:lineRule="auto"/>
        <w:rPr>
          <w:color w:val="000000"/>
        </w:rPr>
      </w:pPr>
    </w:p>
    <w:p w:rsidR="00362B82" w:rsidRDefault="00362B82" w:rsidP="00E922C1">
      <w:pPr>
        <w:widowControl w:val="0"/>
        <w:autoSpaceDE w:val="0"/>
        <w:autoSpaceDN w:val="0"/>
        <w:adjustRightInd w:val="0"/>
        <w:spacing w:after="120" w:line="240" w:lineRule="auto"/>
        <w:rPr>
          <w:color w:val="000000"/>
        </w:rPr>
      </w:pPr>
    </w:p>
    <w:p w:rsidR="00362B82" w:rsidRDefault="00362B82" w:rsidP="00E922C1">
      <w:pPr>
        <w:widowControl w:val="0"/>
        <w:autoSpaceDE w:val="0"/>
        <w:autoSpaceDN w:val="0"/>
        <w:adjustRightInd w:val="0"/>
        <w:spacing w:after="120" w:line="240" w:lineRule="auto"/>
        <w:rPr>
          <w:color w:val="000000"/>
        </w:rPr>
      </w:pPr>
    </w:p>
    <w:p w:rsidR="00362B82" w:rsidRDefault="00362B82" w:rsidP="00E922C1">
      <w:pPr>
        <w:widowControl w:val="0"/>
        <w:autoSpaceDE w:val="0"/>
        <w:autoSpaceDN w:val="0"/>
        <w:adjustRightInd w:val="0"/>
        <w:spacing w:after="120" w:line="240" w:lineRule="auto"/>
        <w:rPr>
          <w:color w:val="000000"/>
        </w:rPr>
      </w:pPr>
    </w:p>
    <w:p w:rsidR="00362B82" w:rsidRDefault="00362B82" w:rsidP="00E922C1">
      <w:pPr>
        <w:widowControl w:val="0"/>
        <w:autoSpaceDE w:val="0"/>
        <w:autoSpaceDN w:val="0"/>
        <w:adjustRightInd w:val="0"/>
        <w:spacing w:after="120" w:line="240" w:lineRule="auto"/>
        <w:rPr>
          <w:color w:val="000000"/>
        </w:rPr>
      </w:pPr>
    </w:p>
    <w:p w:rsidR="00B9610A" w:rsidRDefault="00B9610A" w:rsidP="00E922C1">
      <w:pPr>
        <w:widowControl w:val="0"/>
        <w:autoSpaceDE w:val="0"/>
        <w:autoSpaceDN w:val="0"/>
        <w:adjustRightInd w:val="0"/>
        <w:spacing w:after="120" w:line="240" w:lineRule="auto"/>
        <w:rPr>
          <w:color w:val="000000"/>
        </w:rPr>
      </w:pPr>
    </w:p>
    <w:p w:rsidR="00B9610A" w:rsidRDefault="00B9610A" w:rsidP="00E922C1">
      <w:pPr>
        <w:widowControl w:val="0"/>
        <w:autoSpaceDE w:val="0"/>
        <w:autoSpaceDN w:val="0"/>
        <w:adjustRightInd w:val="0"/>
        <w:spacing w:after="120" w:line="240" w:lineRule="auto"/>
        <w:rPr>
          <w:color w:val="000000"/>
        </w:rPr>
      </w:pPr>
    </w:p>
    <w:p w:rsidR="00B9610A" w:rsidRDefault="00B9610A" w:rsidP="00E922C1">
      <w:pPr>
        <w:widowControl w:val="0"/>
        <w:autoSpaceDE w:val="0"/>
        <w:autoSpaceDN w:val="0"/>
        <w:adjustRightInd w:val="0"/>
        <w:spacing w:after="120" w:line="240" w:lineRule="auto"/>
        <w:rPr>
          <w:color w:val="000000"/>
        </w:rPr>
      </w:pPr>
    </w:p>
    <w:p w:rsidR="00B9610A" w:rsidRDefault="00B9610A" w:rsidP="00E922C1">
      <w:pPr>
        <w:widowControl w:val="0"/>
        <w:autoSpaceDE w:val="0"/>
        <w:autoSpaceDN w:val="0"/>
        <w:adjustRightInd w:val="0"/>
        <w:spacing w:after="120" w:line="240" w:lineRule="auto"/>
        <w:rPr>
          <w:color w:val="000000"/>
        </w:rPr>
      </w:pPr>
    </w:p>
    <w:p w:rsidR="00CC3218" w:rsidRDefault="00CC3218" w:rsidP="00E922C1">
      <w:pPr>
        <w:widowControl w:val="0"/>
        <w:autoSpaceDE w:val="0"/>
        <w:autoSpaceDN w:val="0"/>
        <w:adjustRightInd w:val="0"/>
        <w:spacing w:after="120" w:line="240" w:lineRule="auto"/>
        <w:rPr>
          <w:b/>
          <w:color w:val="000000"/>
        </w:rPr>
      </w:pPr>
      <w:r>
        <w:rPr>
          <w:b/>
          <w:color w:val="000000"/>
        </w:rPr>
        <w:lastRenderedPageBreak/>
        <w:t>References</w:t>
      </w:r>
    </w:p>
    <w:p w:rsidR="00492793" w:rsidRPr="00492793" w:rsidRDefault="005A2D9C" w:rsidP="00492793">
      <w:pPr>
        <w:widowControl w:val="0"/>
        <w:autoSpaceDE w:val="0"/>
        <w:autoSpaceDN w:val="0"/>
        <w:adjustRightInd w:val="0"/>
        <w:spacing w:after="120" w:line="240" w:lineRule="auto"/>
        <w:ind w:left="640" w:hanging="640"/>
        <w:rPr>
          <w:rFonts w:ascii="Calibri" w:hAnsi="Calibri" w:cs="Calibri"/>
          <w:noProof/>
          <w:szCs w:val="24"/>
        </w:rPr>
      </w:pPr>
      <w:r>
        <w:rPr>
          <w:color w:val="000000"/>
        </w:rPr>
        <w:fldChar w:fldCharType="begin" w:fldLock="1"/>
      </w:r>
      <w:r>
        <w:rPr>
          <w:color w:val="000000"/>
        </w:rPr>
        <w:instrText xml:space="preserve">ADDIN Mendeley Bibliography CSL_BIBLIOGRAPHY </w:instrText>
      </w:r>
      <w:r>
        <w:rPr>
          <w:color w:val="000000"/>
        </w:rPr>
        <w:fldChar w:fldCharType="separate"/>
      </w:r>
      <w:r w:rsidR="00492793" w:rsidRPr="00492793">
        <w:rPr>
          <w:rFonts w:ascii="Calibri" w:hAnsi="Calibri" w:cs="Calibri"/>
          <w:noProof/>
          <w:szCs w:val="24"/>
        </w:rPr>
        <w:t>[1]</w:t>
      </w:r>
      <w:r w:rsidR="00492793" w:rsidRPr="00492793">
        <w:rPr>
          <w:rFonts w:ascii="Calibri" w:hAnsi="Calibri" w:cs="Calibri"/>
          <w:noProof/>
          <w:szCs w:val="24"/>
        </w:rPr>
        <w:tab/>
        <w:t xml:space="preserve">United Nations, “World Population Ageing, 2009,” </w:t>
      </w:r>
      <w:r w:rsidR="00492793" w:rsidRPr="00492793">
        <w:rPr>
          <w:rFonts w:ascii="Calibri" w:hAnsi="Calibri" w:cs="Calibri"/>
          <w:i/>
          <w:iCs/>
          <w:noProof/>
          <w:szCs w:val="24"/>
        </w:rPr>
        <w:t>Dep. Econ. Soc. Aff. Popul. Div.</w:t>
      </w:r>
      <w:r w:rsidR="00492793" w:rsidRPr="00492793">
        <w:rPr>
          <w:rFonts w:ascii="Calibri" w:hAnsi="Calibri" w:cs="Calibri"/>
          <w:noProof/>
          <w:szCs w:val="24"/>
        </w:rPr>
        <w:t>, p. 73, 2009.</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t>[2]</w:t>
      </w:r>
      <w:r w:rsidRPr="00492793">
        <w:rPr>
          <w:rFonts w:ascii="Calibri" w:hAnsi="Calibri" w:cs="Calibri"/>
          <w:noProof/>
          <w:szCs w:val="24"/>
        </w:rPr>
        <w:tab/>
        <w:t xml:space="preserve">K. Kesehatan and R. Indonesia, </w:t>
      </w:r>
      <w:r w:rsidRPr="00492793">
        <w:rPr>
          <w:rFonts w:ascii="Calibri" w:hAnsi="Calibri" w:cs="Calibri"/>
          <w:i/>
          <w:iCs/>
          <w:noProof/>
          <w:szCs w:val="24"/>
        </w:rPr>
        <w:t>PROFIL KESEHATAN INDONESIA TAHUN 2017</w:t>
      </w:r>
      <w:r w:rsidRPr="00492793">
        <w:rPr>
          <w:rFonts w:ascii="Calibri" w:hAnsi="Calibri" w:cs="Calibri"/>
          <w:noProof/>
          <w:szCs w:val="24"/>
        </w:rPr>
        <w:t>. .</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t>[3]</w:t>
      </w:r>
      <w:r w:rsidRPr="00492793">
        <w:rPr>
          <w:rFonts w:ascii="Calibri" w:hAnsi="Calibri" w:cs="Calibri"/>
          <w:noProof/>
          <w:szCs w:val="24"/>
        </w:rPr>
        <w:tab/>
        <w:t xml:space="preserve">K. Notenboom </w:t>
      </w:r>
      <w:r w:rsidRPr="00492793">
        <w:rPr>
          <w:rFonts w:ascii="Calibri" w:hAnsi="Calibri" w:cs="Calibri"/>
          <w:i/>
          <w:iCs/>
          <w:noProof/>
          <w:szCs w:val="24"/>
        </w:rPr>
        <w:t>et al.</w:t>
      </w:r>
      <w:r w:rsidRPr="00492793">
        <w:rPr>
          <w:rFonts w:ascii="Calibri" w:hAnsi="Calibri" w:cs="Calibri"/>
          <w:noProof/>
          <w:szCs w:val="24"/>
        </w:rPr>
        <w:t xml:space="preserve">, “Practical Problems with Medication Use that Older People Experience: A Qualitative Study,” </w:t>
      </w:r>
      <w:r w:rsidRPr="00492793">
        <w:rPr>
          <w:rFonts w:ascii="Calibri" w:hAnsi="Calibri" w:cs="Calibri"/>
          <w:i/>
          <w:iCs/>
          <w:noProof/>
          <w:szCs w:val="24"/>
        </w:rPr>
        <w:t>J. Am. Geriatr. Soc.</w:t>
      </w:r>
      <w:r w:rsidRPr="00492793">
        <w:rPr>
          <w:rFonts w:ascii="Calibri" w:hAnsi="Calibri" w:cs="Calibri"/>
          <w:noProof/>
          <w:szCs w:val="24"/>
        </w:rPr>
        <w:t>, vol. 62, no. 12, pp. 2339–2344, 2014.</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t>[4]</w:t>
      </w:r>
      <w:r w:rsidRPr="00492793">
        <w:rPr>
          <w:rFonts w:ascii="Calibri" w:hAnsi="Calibri" w:cs="Calibri"/>
          <w:noProof/>
          <w:szCs w:val="24"/>
        </w:rPr>
        <w:tab/>
        <w:t xml:space="preserve">T. Kairuz </w:t>
      </w:r>
      <w:r w:rsidRPr="00492793">
        <w:rPr>
          <w:rFonts w:ascii="Calibri" w:hAnsi="Calibri" w:cs="Calibri"/>
          <w:i/>
          <w:iCs/>
          <w:noProof/>
          <w:szCs w:val="24"/>
        </w:rPr>
        <w:t>et al.</w:t>
      </w:r>
      <w:r w:rsidRPr="00492793">
        <w:rPr>
          <w:rFonts w:ascii="Calibri" w:hAnsi="Calibri" w:cs="Calibri"/>
          <w:noProof/>
          <w:szCs w:val="24"/>
        </w:rPr>
        <w:t xml:space="preserve">, “Identifying compliance issues with prescription medicines among older people: A pilot study,” </w:t>
      </w:r>
      <w:r w:rsidRPr="00492793">
        <w:rPr>
          <w:rFonts w:ascii="Calibri" w:hAnsi="Calibri" w:cs="Calibri"/>
          <w:i/>
          <w:iCs/>
          <w:noProof/>
          <w:szCs w:val="24"/>
        </w:rPr>
        <w:t>Drugs and Aging</w:t>
      </w:r>
      <w:r w:rsidRPr="00492793">
        <w:rPr>
          <w:rFonts w:ascii="Calibri" w:hAnsi="Calibri" w:cs="Calibri"/>
          <w:noProof/>
          <w:szCs w:val="24"/>
        </w:rPr>
        <w:t>, vol. 25, no. 2, pp. 153–162, 2008.</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t>[5]</w:t>
      </w:r>
      <w:r w:rsidRPr="00492793">
        <w:rPr>
          <w:rFonts w:ascii="Calibri" w:hAnsi="Calibri" w:cs="Calibri"/>
          <w:noProof/>
          <w:szCs w:val="24"/>
        </w:rPr>
        <w:tab/>
        <w:t>KataData, “Usia Produktif Mendominasi Pengguna Internet,” p. 2017, 2018.</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lastRenderedPageBreak/>
        <w:t>[6]</w:t>
      </w:r>
      <w:r w:rsidRPr="00492793">
        <w:rPr>
          <w:rFonts w:ascii="Calibri" w:hAnsi="Calibri" w:cs="Calibri"/>
          <w:noProof/>
          <w:szCs w:val="24"/>
        </w:rPr>
        <w:tab/>
        <w:t>F. Sidik, “Pengguna Perangkat Mobile di Indonesia Semakin Tinggi, Ini Datanya!,” 2018. [Online]. Available: http://industri.bisnis.com/read/20180201/101/733037/pengguna-perangkat-mobile-di-indonesia-semakin-tinggi-ini-datanya. [Accessed: 07-Oct-2018].</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szCs w:val="24"/>
        </w:rPr>
      </w:pPr>
      <w:r w:rsidRPr="00492793">
        <w:rPr>
          <w:rFonts w:ascii="Calibri" w:hAnsi="Calibri" w:cs="Calibri"/>
          <w:noProof/>
          <w:szCs w:val="24"/>
        </w:rPr>
        <w:t>[7]</w:t>
      </w:r>
      <w:r w:rsidRPr="00492793">
        <w:rPr>
          <w:rFonts w:ascii="Calibri" w:hAnsi="Calibri" w:cs="Calibri"/>
          <w:noProof/>
          <w:szCs w:val="24"/>
        </w:rPr>
        <w:tab/>
        <w:t xml:space="preserve">D. Huang, T. Xing, and H. Wu, “Mobile cloud computing service models: A user-centric approach,” </w:t>
      </w:r>
      <w:r w:rsidRPr="00492793">
        <w:rPr>
          <w:rFonts w:ascii="Calibri" w:hAnsi="Calibri" w:cs="Calibri"/>
          <w:i/>
          <w:iCs/>
          <w:noProof/>
          <w:szCs w:val="24"/>
        </w:rPr>
        <w:t>IEEE Netw.</w:t>
      </w:r>
      <w:r w:rsidRPr="00492793">
        <w:rPr>
          <w:rFonts w:ascii="Calibri" w:hAnsi="Calibri" w:cs="Calibri"/>
          <w:noProof/>
          <w:szCs w:val="24"/>
        </w:rPr>
        <w:t>, vol. 27, no. 5, pp. 6–11, 2013.</w:t>
      </w:r>
    </w:p>
    <w:p w:rsidR="00492793" w:rsidRPr="00492793" w:rsidRDefault="00492793" w:rsidP="00492793">
      <w:pPr>
        <w:widowControl w:val="0"/>
        <w:autoSpaceDE w:val="0"/>
        <w:autoSpaceDN w:val="0"/>
        <w:adjustRightInd w:val="0"/>
        <w:spacing w:after="120" w:line="240" w:lineRule="auto"/>
        <w:ind w:left="640" w:hanging="640"/>
        <w:rPr>
          <w:rFonts w:ascii="Calibri" w:hAnsi="Calibri" w:cs="Calibri"/>
          <w:noProof/>
        </w:rPr>
      </w:pPr>
      <w:r w:rsidRPr="00492793">
        <w:rPr>
          <w:rFonts w:ascii="Calibri" w:hAnsi="Calibri" w:cs="Calibri"/>
          <w:noProof/>
          <w:szCs w:val="24"/>
        </w:rPr>
        <w:t>[8]</w:t>
      </w:r>
      <w:r w:rsidRPr="00492793">
        <w:rPr>
          <w:rFonts w:ascii="Calibri" w:hAnsi="Calibri" w:cs="Calibri"/>
          <w:noProof/>
          <w:szCs w:val="24"/>
        </w:rPr>
        <w:tab/>
        <w:t xml:space="preserve">W. Xu, Wu, Daneshmand, Liu, “A data privacy protective mechanism for WBAN,” </w:t>
      </w:r>
      <w:r w:rsidRPr="00492793">
        <w:rPr>
          <w:rFonts w:ascii="Calibri" w:hAnsi="Calibri" w:cs="Calibri"/>
          <w:i/>
          <w:iCs/>
          <w:noProof/>
          <w:szCs w:val="24"/>
        </w:rPr>
        <w:t>Wirel. Commun. Mob. Comput.</w:t>
      </w:r>
      <w:r w:rsidRPr="00492793">
        <w:rPr>
          <w:rFonts w:ascii="Calibri" w:hAnsi="Calibri" w:cs="Calibri"/>
          <w:noProof/>
          <w:szCs w:val="24"/>
        </w:rPr>
        <w:t>, no. February 2015, pp. 421–430, 2015.</w:t>
      </w:r>
    </w:p>
    <w:p w:rsidR="00CC3218" w:rsidRPr="00CC3218" w:rsidRDefault="005A2D9C" w:rsidP="00492793">
      <w:pPr>
        <w:widowControl w:val="0"/>
        <w:autoSpaceDE w:val="0"/>
        <w:autoSpaceDN w:val="0"/>
        <w:adjustRightInd w:val="0"/>
        <w:spacing w:after="120" w:line="240" w:lineRule="auto"/>
        <w:ind w:left="640" w:hanging="640"/>
        <w:rPr>
          <w:color w:val="000000"/>
        </w:rPr>
      </w:pPr>
      <w:r>
        <w:rPr>
          <w:color w:val="000000"/>
        </w:rPr>
        <w:fldChar w:fldCharType="end"/>
      </w:r>
    </w:p>
    <w:p w:rsidR="00CC3218" w:rsidRDefault="00CC3218" w:rsidP="00E922C1">
      <w:pPr>
        <w:widowControl w:val="0"/>
        <w:autoSpaceDE w:val="0"/>
        <w:autoSpaceDN w:val="0"/>
        <w:adjustRightInd w:val="0"/>
        <w:spacing w:after="120" w:line="240" w:lineRule="auto"/>
        <w:rPr>
          <w:color w:val="000000"/>
        </w:rPr>
      </w:pPr>
    </w:p>
    <w:p w:rsidR="0093421A" w:rsidRDefault="0093421A" w:rsidP="0093421A">
      <w:pPr>
        <w:pBdr>
          <w:top w:val="nil"/>
          <w:left w:val="nil"/>
          <w:bottom w:val="nil"/>
          <w:right w:val="nil"/>
          <w:between w:val="nil"/>
        </w:pBdr>
        <w:spacing w:after="0" w:line="240" w:lineRule="auto"/>
        <w:ind w:left="720"/>
        <w:jc w:val="both"/>
        <w:rPr>
          <w:b/>
          <w:sz w:val="24"/>
          <w:u w:val="single"/>
        </w:rPr>
        <w:sectPr w:rsidR="0093421A" w:rsidSect="009E70BD">
          <w:type w:val="continuous"/>
          <w:pgSz w:w="12240" w:h="15840"/>
          <w:pgMar w:top="1440" w:right="1440" w:bottom="1440" w:left="1440" w:header="720" w:footer="720" w:gutter="0"/>
          <w:cols w:num="2" w:space="720"/>
          <w:docGrid w:linePitch="360"/>
        </w:sectPr>
      </w:pPr>
    </w:p>
    <w:p w:rsidR="0093421A" w:rsidRDefault="0093421A" w:rsidP="0093421A">
      <w:pPr>
        <w:pBdr>
          <w:top w:val="nil"/>
          <w:left w:val="nil"/>
          <w:bottom w:val="nil"/>
          <w:right w:val="nil"/>
          <w:between w:val="nil"/>
        </w:pBdr>
        <w:spacing w:after="0" w:line="240" w:lineRule="auto"/>
        <w:ind w:left="720"/>
        <w:jc w:val="both"/>
        <w:rPr>
          <w:b/>
          <w:sz w:val="24"/>
          <w:u w:val="single"/>
        </w:rPr>
      </w:pPr>
    </w:p>
    <w:p w:rsidR="0093421A" w:rsidRDefault="0093421A" w:rsidP="0093421A">
      <w:pPr>
        <w:pBdr>
          <w:top w:val="nil"/>
          <w:left w:val="nil"/>
          <w:bottom w:val="nil"/>
          <w:right w:val="nil"/>
          <w:between w:val="nil"/>
        </w:pBdr>
        <w:spacing w:after="0" w:line="240" w:lineRule="auto"/>
        <w:ind w:left="720"/>
        <w:jc w:val="both"/>
        <w:rPr>
          <w:b/>
          <w:sz w:val="24"/>
          <w:u w:val="single"/>
        </w:rPr>
      </w:pPr>
    </w:p>
    <w:p w:rsidR="0093421A" w:rsidRDefault="0093421A" w:rsidP="0093421A">
      <w:pPr>
        <w:pBdr>
          <w:top w:val="nil"/>
          <w:left w:val="nil"/>
          <w:bottom w:val="nil"/>
          <w:right w:val="nil"/>
          <w:between w:val="nil"/>
        </w:pBdr>
        <w:spacing w:after="0" w:line="240" w:lineRule="auto"/>
        <w:jc w:val="both"/>
        <w:rPr>
          <w:b/>
          <w:sz w:val="24"/>
          <w:u w:val="single"/>
        </w:rPr>
      </w:pPr>
    </w:p>
    <w:p w:rsidR="0093421A" w:rsidRDefault="0093421A" w:rsidP="0093421A">
      <w:pPr>
        <w:pBdr>
          <w:top w:val="nil"/>
          <w:left w:val="nil"/>
          <w:bottom w:val="nil"/>
          <w:right w:val="nil"/>
          <w:between w:val="nil"/>
        </w:pBdr>
        <w:spacing w:after="0" w:line="240" w:lineRule="auto"/>
        <w:jc w:val="both"/>
        <w:rPr>
          <w:b/>
          <w:sz w:val="24"/>
          <w:u w:val="single"/>
        </w:rPr>
      </w:pPr>
    </w:p>
    <w:p w:rsidR="0093421A" w:rsidRPr="00F10A3A" w:rsidRDefault="0093421A" w:rsidP="0093421A">
      <w:pPr>
        <w:pBdr>
          <w:top w:val="nil"/>
          <w:left w:val="nil"/>
          <w:bottom w:val="nil"/>
          <w:right w:val="nil"/>
          <w:between w:val="nil"/>
        </w:pBdr>
        <w:spacing w:after="0" w:line="240" w:lineRule="auto"/>
        <w:jc w:val="both"/>
        <w:rPr>
          <w:b/>
          <w:sz w:val="24"/>
          <w:u w:val="single"/>
        </w:rPr>
      </w:pPr>
      <w:bookmarkStart w:id="0" w:name="_GoBack"/>
      <w:bookmarkEnd w:id="0"/>
      <w:r w:rsidRPr="00F10A3A">
        <w:rPr>
          <w:b/>
          <w:sz w:val="24"/>
          <w:u w:val="single"/>
        </w:rPr>
        <w:t>Feedback:</w:t>
      </w:r>
    </w:p>
    <w:p w:rsidR="0093421A" w:rsidRDefault="0093421A" w:rsidP="0093421A">
      <w:pPr>
        <w:pBdr>
          <w:top w:val="nil"/>
          <w:left w:val="nil"/>
          <w:bottom w:val="nil"/>
          <w:right w:val="nil"/>
          <w:between w:val="nil"/>
        </w:pBdr>
        <w:spacing w:after="0" w:line="240" w:lineRule="auto"/>
        <w:ind w:left="720"/>
        <w:jc w:val="both"/>
      </w:pPr>
    </w:p>
    <w:p w:rsidR="0093421A" w:rsidRDefault="0093421A" w:rsidP="0093421A">
      <w:pPr>
        <w:pStyle w:val="ListParagraph"/>
        <w:pBdr>
          <w:top w:val="nil"/>
          <w:left w:val="nil"/>
          <w:bottom w:val="nil"/>
          <w:right w:val="nil"/>
          <w:between w:val="nil"/>
        </w:pBdr>
        <w:spacing w:after="0" w:line="240" w:lineRule="auto"/>
        <w:ind w:left="450"/>
        <w:jc w:val="both"/>
      </w:pPr>
      <w:r>
        <w:t>Interesting topic, but you need to format your paper better. Tidy it up.</w:t>
      </w:r>
    </w:p>
    <w:p w:rsidR="00CC3218" w:rsidRPr="00CC3218" w:rsidRDefault="00CC3218" w:rsidP="00E922C1">
      <w:pPr>
        <w:widowControl w:val="0"/>
        <w:autoSpaceDE w:val="0"/>
        <w:autoSpaceDN w:val="0"/>
        <w:adjustRightInd w:val="0"/>
        <w:spacing w:after="120" w:line="240" w:lineRule="auto"/>
        <w:rPr>
          <w:b/>
          <w:color w:val="000000"/>
        </w:rPr>
      </w:pPr>
    </w:p>
    <w:sectPr w:rsidR="00CC3218" w:rsidRPr="00CC3218" w:rsidSect="009342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F21E3"/>
    <w:multiLevelType w:val="hybridMultilevel"/>
    <w:tmpl w:val="7548E9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F5551"/>
    <w:multiLevelType w:val="hybridMultilevel"/>
    <w:tmpl w:val="A510F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5669BC"/>
    <w:multiLevelType w:val="hybridMultilevel"/>
    <w:tmpl w:val="25B2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32249"/>
    <w:multiLevelType w:val="hybridMultilevel"/>
    <w:tmpl w:val="1E503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4B2EFD"/>
    <w:multiLevelType w:val="hybridMultilevel"/>
    <w:tmpl w:val="DEA04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601F2A"/>
    <w:multiLevelType w:val="hybridMultilevel"/>
    <w:tmpl w:val="9A9E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F6040C"/>
    <w:multiLevelType w:val="hybridMultilevel"/>
    <w:tmpl w:val="F7401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ED1297"/>
    <w:multiLevelType w:val="hybridMultilevel"/>
    <w:tmpl w:val="AA004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C00BB9"/>
    <w:multiLevelType w:val="hybridMultilevel"/>
    <w:tmpl w:val="DC204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433A30"/>
    <w:multiLevelType w:val="hybridMultilevel"/>
    <w:tmpl w:val="25B2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9E39D3"/>
    <w:multiLevelType w:val="hybridMultilevel"/>
    <w:tmpl w:val="30442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3746AE"/>
    <w:multiLevelType w:val="hybridMultilevel"/>
    <w:tmpl w:val="86F031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4"/>
  </w:num>
  <w:num w:numId="6">
    <w:abstractNumId w:val="7"/>
  </w:num>
  <w:num w:numId="7">
    <w:abstractNumId w:val="10"/>
  </w:num>
  <w:num w:numId="8">
    <w:abstractNumId w:val="2"/>
  </w:num>
  <w:num w:numId="9">
    <w:abstractNumId w:val="11"/>
  </w:num>
  <w:num w:numId="10">
    <w:abstractNumId w:val="5"/>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F2"/>
    <w:rsid w:val="000005E6"/>
    <w:rsid w:val="000022F5"/>
    <w:rsid w:val="00002961"/>
    <w:rsid w:val="00005813"/>
    <w:rsid w:val="0000584F"/>
    <w:rsid w:val="0001047B"/>
    <w:rsid w:val="00010B74"/>
    <w:rsid w:val="00013845"/>
    <w:rsid w:val="00014AE8"/>
    <w:rsid w:val="00034351"/>
    <w:rsid w:val="00034C61"/>
    <w:rsid w:val="00037D6A"/>
    <w:rsid w:val="00051894"/>
    <w:rsid w:val="00056556"/>
    <w:rsid w:val="00070D82"/>
    <w:rsid w:val="00070E1C"/>
    <w:rsid w:val="00075063"/>
    <w:rsid w:val="000768F7"/>
    <w:rsid w:val="00077907"/>
    <w:rsid w:val="000808D0"/>
    <w:rsid w:val="00081E4D"/>
    <w:rsid w:val="000834F3"/>
    <w:rsid w:val="000935EF"/>
    <w:rsid w:val="000A00A3"/>
    <w:rsid w:val="000A039C"/>
    <w:rsid w:val="000C2100"/>
    <w:rsid w:val="000C5B66"/>
    <w:rsid w:val="000D10BD"/>
    <w:rsid w:val="000E20D5"/>
    <w:rsid w:val="000F2347"/>
    <w:rsid w:val="000F3D3A"/>
    <w:rsid w:val="0010342D"/>
    <w:rsid w:val="001042D6"/>
    <w:rsid w:val="001107AC"/>
    <w:rsid w:val="00113247"/>
    <w:rsid w:val="00120116"/>
    <w:rsid w:val="00126608"/>
    <w:rsid w:val="001275BD"/>
    <w:rsid w:val="00127786"/>
    <w:rsid w:val="00130E42"/>
    <w:rsid w:val="00132F61"/>
    <w:rsid w:val="00152A0B"/>
    <w:rsid w:val="001662A7"/>
    <w:rsid w:val="00166434"/>
    <w:rsid w:val="00167E89"/>
    <w:rsid w:val="001747EE"/>
    <w:rsid w:val="001A00A7"/>
    <w:rsid w:val="001A1B97"/>
    <w:rsid w:val="001B187C"/>
    <w:rsid w:val="001B2FE4"/>
    <w:rsid w:val="001B5212"/>
    <w:rsid w:val="001B782D"/>
    <w:rsid w:val="001C2A6D"/>
    <w:rsid w:val="001C5D3C"/>
    <w:rsid w:val="001C6981"/>
    <w:rsid w:val="001C7367"/>
    <w:rsid w:val="001D04B1"/>
    <w:rsid w:val="001E4336"/>
    <w:rsid w:val="001E4740"/>
    <w:rsid w:val="001F02B6"/>
    <w:rsid w:val="001F037D"/>
    <w:rsid w:val="001F38CD"/>
    <w:rsid w:val="001F4DAD"/>
    <w:rsid w:val="001F6C3E"/>
    <w:rsid w:val="001F7FEF"/>
    <w:rsid w:val="00202B44"/>
    <w:rsid w:val="00206DA2"/>
    <w:rsid w:val="00216A1A"/>
    <w:rsid w:val="00220375"/>
    <w:rsid w:val="00230928"/>
    <w:rsid w:val="00246D95"/>
    <w:rsid w:val="0025239F"/>
    <w:rsid w:val="00255C37"/>
    <w:rsid w:val="00256393"/>
    <w:rsid w:val="00256C56"/>
    <w:rsid w:val="002648FD"/>
    <w:rsid w:val="00274E46"/>
    <w:rsid w:val="00276625"/>
    <w:rsid w:val="00277BB3"/>
    <w:rsid w:val="00282C59"/>
    <w:rsid w:val="00294C58"/>
    <w:rsid w:val="002B4700"/>
    <w:rsid w:val="002C7053"/>
    <w:rsid w:val="002C7B3C"/>
    <w:rsid w:val="002E421F"/>
    <w:rsid w:val="002E6D34"/>
    <w:rsid w:val="002F56D5"/>
    <w:rsid w:val="002F7D06"/>
    <w:rsid w:val="00303485"/>
    <w:rsid w:val="003046DB"/>
    <w:rsid w:val="00313829"/>
    <w:rsid w:val="0031384B"/>
    <w:rsid w:val="00314BD4"/>
    <w:rsid w:val="00316C06"/>
    <w:rsid w:val="003209F6"/>
    <w:rsid w:val="00321D19"/>
    <w:rsid w:val="00330F68"/>
    <w:rsid w:val="00345EB2"/>
    <w:rsid w:val="003608EC"/>
    <w:rsid w:val="00362B82"/>
    <w:rsid w:val="0037411C"/>
    <w:rsid w:val="00374AF4"/>
    <w:rsid w:val="00377FC5"/>
    <w:rsid w:val="00386429"/>
    <w:rsid w:val="00387AE0"/>
    <w:rsid w:val="00392649"/>
    <w:rsid w:val="003A2442"/>
    <w:rsid w:val="003A763C"/>
    <w:rsid w:val="003A79F1"/>
    <w:rsid w:val="003B23D5"/>
    <w:rsid w:val="003B2804"/>
    <w:rsid w:val="003C0018"/>
    <w:rsid w:val="003C5678"/>
    <w:rsid w:val="003C6265"/>
    <w:rsid w:val="003E19BE"/>
    <w:rsid w:val="003E541C"/>
    <w:rsid w:val="003E56FF"/>
    <w:rsid w:val="003E6083"/>
    <w:rsid w:val="003E62CD"/>
    <w:rsid w:val="003E64EF"/>
    <w:rsid w:val="003E7396"/>
    <w:rsid w:val="003F4176"/>
    <w:rsid w:val="003F543B"/>
    <w:rsid w:val="0040532F"/>
    <w:rsid w:val="004061E0"/>
    <w:rsid w:val="00421615"/>
    <w:rsid w:val="0043053E"/>
    <w:rsid w:val="00432971"/>
    <w:rsid w:val="00432D12"/>
    <w:rsid w:val="00432EE6"/>
    <w:rsid w:val="00434A0E"/>
    <w:rsid w:val="00442A07"/>
    <w:rsid w:val="004478EE"/>
    <w:rsid w:val="00457237"/>
    <w:rsid w:val="0045759C"/>
    <w:rsid w:val="004577E5"/>
    <w:rsid w:val="00460BFD"/>
    <w:rsid w:val="00470E3E"/>
    <w:rsid w:val="00491278"/>
    <w:rsid w:val="00491C0A"/>
    <w:rsid w:val="00492793"/>
    <w:rsid w:val="00493E57"/>
    <w:rsid w:val="00493E72"/>
    <w:rsid w:val="00493EA1"/>
    <w:rsid w:val="004958AE"/>
    <w:rsid w:val="004A2F70"/>
    <w:rsid w:val="004A68B5"/>
    <w:rsid w:val="004A71FD"/>
    <w:rsid w:val="004C38CE"/>
    <w:rsid w:val="004C3915"/>
    <w:rsid w:val="004C3E2E"/>
    <w:rsid w:val="004C3E3E"/>
    <w:rsid w:val="004C3EDB"/>
    <w:rsid w:val="004D31C1"/>
    <w:rsid w:val="004D6059"/>
    <w:rsid w:val="004E137F"/>
    <w:rsid w:val="004E2E4B"/>
    <w:rsid w:val="004F4214"/>
    <w:rsid w:val="00511709"/>
    <w:rsid w:val="00515EEB"/>
    <w:rsid w:val="005252F3"/>
    <w:rsid w:val="00525ED9"/>
    <w:rsid w:val="005265FE"/>
    <w:rsid w:val="00533651"/>
    <w:rsid w:val="00533D0F"/>
    <w:rsid w:val="0053496D"/>
    <w:rsid w:val="005372F8"/>
    <w:rsid w:val="00571A63"/>
    <w:rsid w:val="005766F1"/>
    <w:rsid w:val="00576DF3"/>
    <w:rsid w:val="005775C0"/>
    <w:rsid w:val="00577EAD"/>
    <w:rsid w:val="005806CD"/>
    <w:rsid w:val="005810B0"/>
    <w:rsid w:val="005830EF"/>
    <w:rsid w:val="005867D2"/>
    <w:rsid w:val="005874C0"/>
    <w:rsid w:val="00593CA1"/>
    <w:rsid w:val="00595CCC"/>
    <w:rsid w:val="005965CC"/>
    <w:rsid w:val="005A0A02"/>
    <w:rsid w:val="005A2D9C"/>
    <w:rsid w:val="005A31DC"/>
    <w:rsid w:val="005B244D"/>
    <w:rsid w:val="005B2BE7"/>
    <w:rsid w:val="005B7AD2"/>
    <w:rsid w:val="005C0236"/>
    <w:rsid w:val="005C2CEB"/>
    <w:rsid w:val="005C52CF"/>
    <w:rsid w:val="005C6B65"/>
    <w:rsid w:val="005D1019"/>
    <w:rsid w:val="005D2963"/>
    <w:rsid w:val="005D5648"/>
    <w:rsid w:val="005E29A4"/>
    <w:rsid w:val="005E52C7"/>
    <w:rsid w:val="005F54FF"/>
    <w:rsid w:val="005F65A2"/>
    <w:rsid w:val="00603556"/>
    <w:rsid w:val="00603F0D"/>
    <w:rsid w:val="00604B2B"/>
    <w:rsid w:val="00604F96"/>
    <w:rsid w:val="006133D9"/>
    <w:rsid w:val="006150A3"/>
    <w:rsid w:val="00616B7F"/>
    <w:rsid w:val="00617662"/>
    <w:rsid w:val="00620AD4"/>
    <w:rsid w:val="00621E63"/>
    <w:rsid w:val="0062300E"/>
    <w:rsid w:val="00624ECD"/>
    <w:rsid w:val="006308C7"/>
    <w:rsid w:val="0063215C"/>
    <w:rsid w:val="00635877"/>
    <w:rsid w:val="006376AB"/>
    <w:rsid w:val="00645C40"/>
    <w:rsid w:val="00647AFC"/>
    <w:rsid w:val="00651831"/>
    <w:rsid w:val="0065283B"/>
    <w:rsid w:val="006529AC"/>
    <w:rsid w:val="00652AB9"/>
    <w:rsid w:val="006554B3"/>
    <w:rsid w:val="0066255B"/>
    <w:rsid w:val="00671B7C"/>
    <w:rsid w:val="006773F2"/>
    <w:rsid w:val="006834C9"/>
    <w:rsid w:val="00693855"/>
    <w:rsid w:val="006A193C"/>
    <w:rsid w:val="006A5CF9"/>
    <w:rsid w:val="006B3F44"/>
    <w:rsid w:val="006C6337"/>
    <w:rsid w:val="006C65C6"/>
    <w:rsid w:val="006D3A67"/>
    <w:rsid w:val="006E178E"/>
    <w:rsid w:val="006E2671"/>
    <w:rsid w:val="006F1A6D"/>
    <w:rsid w:val="006F4561"/>
    <w:rsid w:val="00701367"/>
    <w:rsid w:val="00702F45"/>
    <w:rsid w:val="007114FA"/>
    <w:rsid w:val="0071342A"/>
    <w:rsid w:val="007146C9"/>
    <w:rsid w:val="0071577D"/>
    <w:rsid w:val="00716E4A"/>
    <w:rsid w:val="00720FA7"/>
    <w:rsid w:val="007273E0"/>
    <w:rsid w:val="007416DE"/>
    <w:rsid w:val="007507BF"/>
    <w:rsid w:val="00754630"/>
    <w:rsid w:val="00754CC2"/>
    <w:rsid w:val="00763487"/>
    <w:rsid w:val="00765A6A"/>
    <w:rsid w:val="00765B97"/>
    <w:rsid w:val="007730C8"/>
    <w:rsid w:val="00774974"/>
    <w:rsid w:val="007765FF"/>
    <w:rsid w:val="00776FE3"/>
    <w:rsid w:val="00780015"/>
    <w:rsid w:val="00782D8B"/>
    <w:rsid w:val="0078320C"/>
    <w:rsid w:val="0078733E"/>
    <w:rsid w:val="00787800"/>
    <w:rsid w:val="007922DC"/>
    <w:rsid w:val="00792409"/>
    <w:rsid w:val="00793C9F"/>
    <w:rsid w:val="007941E6"/>
    <w:rsid w:val="00797A3D"/>
    <w:rsid w:val="007A15A3"/>
    <w:rsid w:val="007A74EA"/>
    <w:rsid w:val="007A7916"/>
    <w:rsid w:val="007B3322"/>
    <w:rsid w:val="007B3440"/>
    <w:rsid w:val="007B4AF6"/>
    <w:rsid w:val="007B6706"/>
    <w:rsid w:val="007B74F8"/>
    <w:rsid w:val="007C01AC"/>
    <w:rsid w:val="007C3A78"/>
    <w:rsid w:val="007C6C5C"/>
    <w:rsid w:val="007D2EA3"/>
    <w:rsid w:val="007D3849"/>
    <w:rsid w:val="007E0CFF"/>
    <w:rsid w:val="007E1986"/>
    <w:rsid w:val="007F4B8F"/>
    <w:rsid w:val="007F5150"/>
    <w:rsid w:val="00805AF3"/>
    <w:rsid w:val="00812B82"/>
    <w:rsid w:val="0081537A"/>
    <w:rsid w:val="008166B5"/>
    <w:rsid w:val="00820317"/>
    <w:rsid w:val="00841C3D"/>
    <w:rsid w:val="00853502"/>
    <w:rsid w:val="00855E85"/>
    <w:rsid w:val="0086121A"/>
    <w:rsid w:val="00867073"/>
    <w:rsid w:val="008731F0"/>
    <w:rsid w:val="00874D02"/>
    <w:rsid w:val="00875221"/>
    <w:rsid w:val="008850E9"/>
    <w:rsid w:val="00891EBF"/>
    <w:rsid w:val="00892557"/>
    <w:rsid w:val="00894364"/>
    <w:rsid w:val="00895805"/>
    <w:rsid w:val="008A152C"/>
    <w:rsid w:val="008B085B"/>
    <w:rsid w:val="008B0BA1"/>
    <w:rsid w:val="008B3827"/>
    <w:rsid w:val="008B4A69"/>
    <w:rsid w:val="008B4B02"/>
    <w:rsid w:val="008B7D81"/>
    <w:rsid w:val="008C03B6"/>
    <w:rsid w:val="008C2622"/>
    <w:rsid w:val="008C5C3F"/>
    <w:rsid w:val="008E21DD"/>
    <w:rsid w:val="008E33D3"/>
    <w:rsid w:val="008E3A6D"/>
    <w:rsid w:val="008E5345"/>
    <w:rsid w:val="008E6D4C"/>
    <w:rsid w:val="008F0931"/>
    <w:rsid w:val="008F188A"/>
    <w:rsid w:val="00900C29"/>
    <w:rsid w:val="0090246D"/>
    <w:rsid w:val="0090781D"/>
    <w:rsid w:val="00910551"/>
    <w:rsid w:val="00910F18"/>
    <w:rsid w:val="0091146B"/>
    <w:rsid w:val="00913AF3"/>
    <w:rsid w:val="00913E5A"/>
    <w:rsid w:val="009261B0"/>
    <w:rsid w:val="00931430"/>
    <w:rsid w:val="00931DF1"/>
    <w:rsid w:val="0093421A"/>
    <w:rsid w:val="0093741B"/>
    <w:rsid w:val="00937E7C"/>
    <w:rsid w:val="00942EC3"/>
    <w:rsid w:val="00944CBC"/>
    <w:rsid w:val="00945492"/>
    <w:rsid w:val="0094637B"/>
    <w:rsid w:val="00954879"/>
    <w:rsid w:val="00975786"/>
    <w:rsid w:val="00981782"/>
    <w:rsid w:val="00982029"/>
    <w:rsid w:val="009820E6"/>
    <w:rsid w:val="00983AF4"/>
    <w:rsid w:val="00984E90"/>
    <w:rsid w:val="0099040C"/>
    <w:rsid w:val="00992A55"/>
    <w:rsid w:val="009A0095"/>
    <w:rsid w:val="009A1F22"/>
    <w:rsid w:val="009A236A"/>
    <w:rsid w:val="009A4899"/>
    <w:rsid w:val="009C47EB"/>
    <w:rsid w:val="009D2DC2"/>
    <w:rsid w:val="009E23DD"/>
    <w:rsid w:val="009E6B09"/>
    <w:rsid w:val="009E70BD"/>
    <w:rsid w:val="009F449C"/>
    <w:rsid w:val="00A05628"/>
    <w:rsid w:val="00A07214"/>
    <w:rsid w:val="00A079B0"/>
    <w:rsid w:val="00A100F4"/>
    <w:rsid w:val="00A10CB3"/>
    <w:rsid w:val="00A2378F"/>
    <w:rsid w:val="00A26239"/>
    <w:rsid w:val="00A34E27"/>
    <w:rsid w:val="00A53646"/>
    <w:rsid w:val="00A53671"/>
    <w:rsid w:val="00A566C8"/>
    <w:rsid w:val="00A60A77"/>
    <w:rsid w:val="00A63B25"/>
    <w:rsid w:val="00A63D04"/>
    <w:rsid w:val="00A7358A"/>
    <w:rsid w:val="00A759B6"/>
    <w:rsid w:val="00A82975"/>
    <w:rsid w:val="00A834AF"/>
    <w:rsid w:val="00A83CD1"/>
    <w:rsid w:val="00A85267"/>
    <w:rsid w:val="00A903CA"/>
    <w:rsid w:val="00A92212"/>
    <w:rsid w:val="00A93884"/>
    <w:rsid w:val="00AA7C90"/>
    <w:rsid w:val="00AB1C25"/>
    <w:rsid w:val="00AB6088"/>
    <w:rsid w:val="00AB6190"/>
    <w:rsid w:val="00AE07B7"/>
    <w:rsid w:val="00AE16B0"/>
    <w:rsid w:val="00AE42ED"/>
    <w:rsid w:val="00AE5020"/>
    <w:rsid w:val="00AE6A50"/>
    <w:rsid w:val="00AE7BF7"/>
    <w:rsid w:val="00AF52F3"/>
    <w:rsid w:val="00B047DF"/>
    <w:rsid w:val="00B04AE0"/>
    <w:rsid w:val="00B12A6C"/>
    <w:rsid w:val="00B20AD4"/>
    <w:rsid w:val="00B426F7"/>
    <w:rsid w:val="00B44073"/>
    <w:rsid w:val="00B47B02"/>
    <w:rsid w:val="00B54194"/>
    <w:rsid w:val="00B578E7"/>
    <w:rsid w:val="00B618CF"/>
    <w:rsid w:val="00B62F1E"/>
    <w:rsid w:val="00B67670"/>
    <w:rsid w:val="00B71EAD"/>
    <w:rsid w:val="00B7607F"/>
    <w:rsid w:val="00B77005"/>
    <w:rsid w:val="00B84D68"/>
    <w:rsid w:val="00B87199"/>
    <w:rsid w:val="00B9610A"/>
    <w:rsid w:val="00B96ACF"/>
    <w:rsid w:val="00BA3976"/>
    <w:rsid w:val="00BA7E95"/>
    <w:rsid w:val="00BB3CEF"/>
    <w:rsid w:val="00BC5873"/>
    <w:rsid w:val="00BC6BE5"/>
    <w:rsid w:val="00BE1BE0"/>
    <w:rsid w:val="00BE5041"/>
    <w:rsid w:val="00BE66D4"/>
    <w:rsid w:val="00BF2DB0"/>
    <w:rsid w:val="00BF4A31"/>
    <w:rsid w:val="00BF4DE7"/>
    <w:rsid w:val="00BF6830"/>
    <w:rsid w:val="00C15338"/>
    <w:rsid w:val="00C21D56"/>
    <w:rsid w:val="00C22F9B"/>
    <w:rsid w:val="00C25945"/>
    <w:rsid w:val="00C3290D"/>
    <w:rsid w:val="00C40C1A"/>
    <w:rsid w:val="00C432E6"/>
    <w:rsid w:val="00C51A13"/>
    <w:rsid w:val="00C55B7B"/>
    <w:rsid w:val="00C55E03"/>
    <w:rsid w:val="00C63075"/>
    <w:rsid w:val="00C6464C"/>
    <w:rsid w:val="00C653D6"/>
    <w:rsid w:val="00C73FB5"/>
    <w:rsid w:val="00C83C89"/>
    <w:rsid w:val="00C863AA"/>
    <w:rsid w:val="00C87599"/>
    <w:rsid w:val="00CA028A"/>
    <w:rsid w:val="00CA23BA"/>
    <w:rsid w:val="00CA38B6"/>
    <w:rsid w:val="00CA70F2"/>
    <w:rsid w:val="00CB07EF"/>
    <w:rsid w:val="00CB4597"/>
    <w:rsid w:val="00CB5A51"/>
    <w:rsid w:val="00CB6C7A"/>
    <w:rsid w:val="00CC0167"/>
    <w:rsid w:val="00CC3218"/>
    <w:rsid w:val="00CC3641"/>
    <w:rsid w:val="00CC54E4"/>
    <w:rsid w:val="00CC6CBF"/>
    <w:rsid w:val="00CC6EDC"/>
    <w:rsid w:val="00CD0C03"/>
    <w:rsid w:val="00CD15F6"/>
    <w:rsid w:val="00CD32B7"/>
    <w:rsid w:val="00CE3EF2"/>
    <w:rsid w:val="00CE784D"/>
    <w:rsid w:val="00CF15E1"/>
    <w:rsid w:val="00CF25A8"/>
    <w:rsid w:val="00CF7C11"/>
    <w:rsid w:val="00D04143"/>
    <w:rsid w:val="00D06006"/>
    <w:rsid w:val="00D066E4"/>
    <w:rsid w:val="00D176A5"/>
    <w:rsid w:val="00D20A6D"/>
    <w:rsid w:val="00D21EE9"/>
    <w:rsid w:val="00D22AC4"/>
    <w:rsid w:val="00D24272"/>
    <w:rsid w:val="00D247B1"/>
    <w:rsid w:val="00D2767F"/>
    <w:rsid w:val="00D32AC3"/>
    <w:rsid w:val="00D352FE"/>
    <w:rsid w:val="00D353A6"/>
    <w:rsid w:val="00D42A07"/>
    <w:rsid w:val="00D4317A"/>
    <w:rsid w:val="00D46103"/>
    <w:rsid w:val="00D46289"/>
    <w:rsid w:val="00D47BC6"/>
    <w:rsid w:val="00D5469C"/>
    <w:rsid w:val="00D56987"/>
    <w:rsid w:val="00D579F9"/>
    <w:rsid w:val="00D606E4"/>
    <w:rsid w:val="00D61443"/>
    <w:rsid w:val="00D623E6"/>
    <w:rsid w:val="00D64F8E"/>
    <w:rsid w:val="00D734AD"/>
    <w:rsid w:val="00D76AC2"/>
    <w:rsid w:val="00D87AFE"/>
    <w:rsid w:val="00D92919"/>
    <w:rsid w:val="00D92D4E"/>
    <w:rsid w:val="00DA63AA"/>
    <w:rsid w:val="00DB38CA"/>
    <w:rsid w:val="00DB454F"/>
    <w:rsid w:val="00DC0224"/>
    <w:rsid w:val="00DD0514"/>
    <w:rsid w:val="00DE3C46"/>
    <w:rsid w:val="00DF7320"/>
    <w:rsid w:val="00E03F83"/>
    <w:rsid w:val="00E2380E"/>
    <w:rsid w:val="00E24FB0"/>
    <w:rsid w:val="00E31D3A"/>
    <w:rsid w:val="00E36173"/>
    <w:rsid w:val="00E44E73"/>
    <w:rsid w:val="00E4552A"/>
    <w:rsid w:val="00E529D3"/>
    <w:rsid w:val="00E52E04"/>
    <w:rsid w:val="00E5426F"/>
    <w:rsid w:val="00E5476D"/>
    <w:rsid w:val="00E625AA"/>
    <w:rsid w:val="00E72B47"/>
    <w:rsid w:val="00E753AF"/>
    <w:rsid w:val="00E826A4"/>
    <w:rsid w:val="00E8394A"/>
    <w:rsid w:val="00E84185"/>
    <w:rsid w:val="00E842F9"/>
    <w:rsid w:val="00E87A95"/>
    <w:rsid w:val="00E915A4"/>
    <w:rsid w:val="00E922C1"/>
    <w:rsid w:val="00E93D1A"/>
    <w:rsid w:val="00EA3EA2"/>
    <w:rsid w:val="00EA437E"/>
    <w:rsid w:val="00EA5D03"/>
    <w:rsid w:val="00EB12BC"/>
    <w:rsid w:val="00EB53EF"/>
    <w:rsid w:val="00EB799B"/>
    <w:rsid w:val="00EC4202"/>
    <w:rsid w:val="00ED2A2D"/>
    <w:rsid w:val="00ED36FF"/>
    <w:rsid w:val="00ED3A08"/>
    <w:rsid w:val="00ED3EEA"/>
    <w:rsid w:val="00ED41C3"/>
    <w:rsid w:val="00EE1676"/>
    <w:rsid w:val="00EF06B4"/>
    <w:rsid w:val="00F0246C"/>
    <w:rsid w:val="00F06CFE"/>
    <w:rsid w:val="00F11CA1"/>
    <w:rsid w:val="00F2567A"/>
    <w:rsid w:val="00F262DF"/>
    <w:rsid w:val="00F31F61"/>
    <w:rsid w:val="00F35800"/>
    <w:rsid w:val="00F35D77"/>
    <w:rsid w:val="00F435F3"/>
    <w:rsid w:val="00F45E16"/>
    <w:rsid w:val="00F51FB7"/>
    <w:rsid w:val="00F61CDE"/>
    <w:rsid w:val="00F62F1E"/>
    <w:rsid w:val="00F81A9C"/>
    <w:rsid w:val="00F907B3"/>
    <w:rsid w:val="00F93BD0"/>
    <w:rsid w:val="00F9558A"/>
    <w:rsid w:val="00FA1267"/>
    <w:rsid w:val="00FA1580"/>
    <w:rsid w:val="00FA171D"/>
    <w:rsid w:val="00FA4814"/>
    <w:rsid w:val="00FA4FF8"/>
    <w:rsid w:val="00FB7A8F"/>
    <w:rsid w:val="00FD03ED"/>
    <w:rsid w:val="00FD1F6B"/>
    <w:rsid w:val="00FD612D"/>
    <w:rsid w:val="00FE03FA"/>
    <w:rsid w:val="00FF49D2"/>
    <w:rsid w:val="00FF4E37"/>
    <w:rsid w:val="00FF7526"/>
    <w:rsid w:val="00FF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43C59-1B54-47EB-849F-875D56EA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0BD"/>
    <w:pPr>
      <w:ind w:left="720"/>
      <w:contextualSpacing/>
    </w:pPr>
  </w:style>
  <w:style w:type="paragraph" w:styleId="NormalWeb">
    <w:name w:val="Normal (Web)"/>
    <w:basedOn w:val="Normal"/>
    <w:uiPriority w:val="99"/>
    <w:semiHidden/>
    <w:unhideWhenUsed/>
    <w:rsid w:val="001F02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4927">
      <w:bodyDiv w:val="1"/>
      <w:marLeft w:val="0"/>
      <w:marRight w:val="0"/>
      <w:marTop w:val="0"/>
      <w:marBottom w:val="0"/>
      <w:divBdr>
        <w:top w:val="none" w:sz="0" w:space="0" w:color="auto"/>
        <w:left w:val="none" w:sz="0" w:space="0" w:color="auto"/>
        <w:bottom w:val="none" w:sz="0" w:space="0" w:color="auto"/>
        <w:right w:val="none" w:sz="0" w:space="0" w:color="auto"/>
      </w:divBdr>
    </w:div>
    <w:div w:id="360857231">
      <w:bodyDiv w:val="1"/>
      <w:marLeft w:val="0"/>
      <w:marRight w:val="0"/>
      <w:marTop w:val="0"/>
      <w:marBottom w:val="0"/>
      <w:divBdr>
        <w:top w:val="none" w:sz="0" w:space="0" w:color="auto"/>
        <w:left w:val="none" w:sz="0" w:space="0" w:color="auto"/>
        <w:bottom w:val="none" w:sz="0" w:space="0" w:color="auto"/>
        <w:right w:val="none" w:sz="0" w:space="0" w:color="auto"/>
      </w:divBdr>
    </w:div>
    <w:div w:id="455296413">
      <w:bodyDiv w:val="1"/>
      <w:marLeft w:val="0"/>
      <w:marRight w:val="0"/>
      <w:marTop w:val="0"/>
      <w:marBottom w:val="0"/>
      <w:divBdr>
        <w:top w:val="none" w:sz="0" w:space="0" w:color="auto"/>
        <w:left w:val="none" w:sz="0" w:space="0" w:color="auto"/>
        <w:bottom w:val="none" w:sz="0" w:space="0" w:color="auto"/>
        <w:right w:val="none" w:sz="0" w:space="0" w:color="auto"/>
      </w:divBdr>
    </w:div>
    <w:div w:id="17102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8C6D3-BDEE-41FB-AF89-87330749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Amalia Zahra</cp:lastModifiedBy>
  <cp:revision>2</cp:revision>
  <dcterms:created xsi:type="dcterms:W3CDTF">2018-10-12T08:09:00Z</dcterms:created>
  <dcterms:modified xsi:type="dcterms:W3CDTF">2018-10-12T08:09:00Z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29eda09c-7bbb-3ab9-ae4f-8465b80a2d97</vt:lpwstr>
  </property>
  <property fmtid="{D5CDD505-2E9C-101B-9397-08002B2CF9AE}" pid="24" name="Mendeley Citation Style_1">
    <vt:lpwstr>http://www.zotero.org/styles/ieee</vt:lpwstr>
  </property>
</Properties>
</file>