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fmsabatini/sPlotOpen_Manuscript@4ebabbf</w:t>
        </w:r>
      </w:hyperlink>
      <w:r>
        <w:t xml:space="preserve"> </w:t>
      </w:r>
      <w:r>
        <w:t xml:space="preserve">on December 18,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96,97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97,106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based on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This step led us to exclude 42,878 vegetation plots for which no PC1 or PC2 values were available, mostly located along coastlines.</w:t>
      </w:r>
      <w:r>
        <w:t xml:space="preserve"> </w:t>
      </w: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thus represents a good compromise between selecting a high number of plots, and keeping the resampled dataset as much balanced as possible across the PC1-PC2 environmental space.</w:t>
      </w:r>
      <w:r>
        <w:t xml:space="preserve"> </w:t>
      </w:r>
      <w:r>
        <w:t xml:space="preserve">For each of these 858 cells, we thus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plots.</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As such, the three resampling iterations can be used as 3 replicates, albeit not necessarily independant as some plots selected during the first iteration can be selected again in the two other iterations.</w:t>
      </w:r>
      <w:r>
        <w:t xml:space="preserve"> </w:t>
      </w:r>
      <w:r>
        <w:t xml:space="preserve">Vegetation plots selected during the first iteration were our first choice, while we considered the vegetation plots additionally selected in the second and third iteration as</w:t>
      </w:r>
      <w:r>
        <w:t xml:space="preserve"> </w:t>
      </w:r>
      <w:r>
        <w:t xml:space="preserve">“</w:t>
      </w:r>
      <w:r>
        <w:t xml:space="preserve">reserves</w:t>
      </w:r>
      <w:r>
        <w:t xml:space="preserve">”</w:t>
      </w:r>
      <w:r>
        <w:t xml:space="preserve"> </w:t>
      </w:r>
      <w:r>
        <w:t xml:space="preserve">when asking for permission to release the data as open access to each dataset’s contributor(s).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12,134 vegetation plots, permission could not be granted because, for instance, the data are unpublished, confidential or sensitive.</w:t>
      </w:r>
      <w:r>
        <w:t xml:space="preserve"> </w:t>
      </w:r>
      <w:r>
        <w:t xml:space="preserve">Of these, 6,699 were first choice plots selected by the resampling iteration #1, and were distributed across 770 PC1-PC2 grid cells (44.1% of occupied cells).</w:t>
      </w:r>
      <w:r>
        <w:t xml:space="preserve"> </w:t>
      </w:r>
      <w:r>
        <w:t xml:space="preserve">The number of vegetation plots for which the open-access permission was not granted in resampling iteration #2 and #3 were 6,690 and 6,705, respectively.</w:t>
      </w:r>
      <w:r>
        <w:t xml:space="preserve"> </w:t>
      </w:r>
      <w:r>
        <w:t xml:space="preserve">As replacement of the 6,699 plots not granted as open access in the resampling iteration #1,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Compared to continents, the representation of biomes is more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vegetation plots in sPlotOpen (n = 95,104)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4"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0"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30"/>
    <w:bookmarkStart w:id="533"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1">
        <w:r>
          <w:rPr>
            <w:rStyle w:val="Hyperlink"/>
          </w:rPr>
          <w:t xml:space="preserve">https://doi.org/ghgt8v</w:t>
        </w:r>
      </w:hyperlink>
      <w:r>
        <w:t xml:space="preserve"> </w:t>
      </w:r>
      <w:r>
        <w:br/>
      </w:r>
      <w:r>
        <w:t xml:space="preserve">DOI:</w:t>
      </w:r>
      <w:r>
        <w:t xml:space="preserve"> </w:t>
      </w:r>
      <w:hyperlink r:id="rId532">
        <w:r>
          <w:rPr>
            <w:rStyle w:val="Hyperlink"/>
          </w:rPr>
          <w:t xml:space="preserve">10.1007/978-94-007-7750-7</w:t>
        </w:r>
      </w:hyperlink>
    </w:p>
    <w:bookmarkEnd w:id="533"/>
    <w:bookmarkEnd w:id="534"/>
    <w:p>
      <w:pPr>
        <w:pStyle w:val="Heading2"/>
      </w:pPr>
      <w:bookmarkStart w:id="535" w:name="supplementary-material"/>
      <w:r>
        <w:t xml:space="preserve">Supplementary Material</w:t>
      </w:r>
      <w:bookmarkEnd w:id="535"/>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6" w:name="supplementary-material-1"/>
      <w:r>
        <w:t xml:space="preserve">Supplementary Material</w:t>
      </w:r>
      <w:bookmarkEnd w:id="536"/>
    </w:p>
    <w:p>
      <w:pPr>
        <w:pStyle w:val="Heading2"/>
      </w:pPr>
      <w:bookmarkStart w:id="537" w:name="figure-s1"/>
      <w:r>
        <w:t xml:space="preserve">Figure S1</w:t>
      </w:r>
      <w:bookmarkEnd w:id="537"/>
    </w:p>
    <w:bookmarkStart w:id="0" w:name="fig:supplement"/>
    <w:p>
      <w:pPr>
        <w:pStyle w:val="CaptionedFigure"/>
      </w:pPr>
      <w:bookmarkStart w:id="539"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8"/>
                    <a:stretch>
                      <a:fillRect/>
                    </a:stretch>
                  </pic:blipFill>
                  <pic:spPr bwMode="auto">
                    <a:xfrm>
                      <a:off x="0" y="0"/>
                      <a:ext cx="5229511" cy="6422207"/>
                    </a:xfrm>
                    <a:prstGeom prst="rect">
                      <a:avLst/>
                    </a:prstGeom>
                    <a:noFill/>
                    <a:ln w="9525">
                      <a:noFill/>
                      <a:headEnd/>
                      <a:tailEnd/>
                    </a:ln>
                  </pic:spPr>
                </pic:pic>
              </a:graphicData>
            </a:graphic>
          </wp:inline>
        </w:drawing>
      </w:r>
      <w:bookmarkEnd w:id="539"/>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8" Target="media/rId538.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4ebabbffb0043c17982f5a8c194c41d54ba9da29/" TargetMode="External" /><Relationship Type="http://schemas.openxmlformats.org/officeDocument/2006/relationships/hyperlink" Id="rId21" Target="https://github.com/fmsabatini/sPlotOpen_Manuscript/tree/4ebabbffb0043c17982f5a8c194c41d54ba9da29"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4ebabbffb0043c17982f5a8c194c41d54ba9da29/" TargetMode="External" /><Relationship Type="http://schemas.openxmlformats.org/officeDocument/2006/relationships/hyperlink" Id="rId21" Target="https://github.com/fmsabatini/sPlotOpen_Manuscript/tree/4ebabbffb0043c17982f5a8c194c41d54ba9da29"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2020-12-18T10:58:48Z</dcterms:created>
  <dcterms:modified xsi:type="dcterms:W3CDTF">2020-12-18T10:58:48Z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