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Authoritarian Exit Dilemmas and Democratic Transition: The Role of Credible Exit Guarantees in Conflict Prevention</w:t>
      </w:r>
    </w:p>
    <w:p/>
    <w:p>
      <w:pPr>
        <w:jc w:val="center"/>
      </w:pPr>
      <w:r>
        <w:rPr>
          <w:rFonts w:ascii="Times New Roman" w:hAnsi="Times New Roman"/>
          <w:b w:val="0"/>
          <w:i w:val="0"/>
          <w:sz w:val="24"/>
        </w:rPr>
        <w:t>Dr. Fatih Sayin</w:t>
      </w:r>
    </w:p>
    <w:p>
      <w:pPr>
        <w:jc w:val="center"/>
      </w:pPr>
      <w:r>
        <w:rPr>
          <w:rFonts w:ascii="Times New Roman" w:hAnsi="Times New Roman"/>
          <w:b w:val="0"/>
          <w:i w:val="0"/>
          <w:sz w:val="24"/>
        </w:rPr>
        <w:t>Foundation for Multilateral Strategies (FMS)</w:t>
      </w:r>
    </w:p>
    <w:p>
      <w:pPr>
        <w:jc w:val="center"/>
      </w:pPr>
      <w:r>
        <w:rPr>
          <w:rFonts w:ascii="Times New Roman" w:hAnsi="Times New Roman"/>
          <w:b w:val="0"/>
          <w:i w:val="0"/>
          <w:sz w:val="24"/>
        </w:rPr>
        <w:t>www.fmsthinktank.org</w:t>
      </w:r>
    </w:p>
    <w:p>
      <w:pPr>
        <w:jc w:val="center"/>
      </w:pPr>
      <w:r>
        <w:rPr>
          <w:rFonts w:ascii="Times New Roman" w:hAnsi="Times New Roman"/>
          <w:b w:val="0"/>
          <w:i w:val="0"/>
          <w:sz w:val="24"/>
        </w:rPr>
        <w:t>May 2026</w:t>
      </w:r>
    </w:p>
    <w:p>
      <w:r>
        <w:br w:type="page"/>
      </w:r>
    </w:p>
    <w:p>
      <w:pPr>
        <w:pStyle w:val="Heading2"/>
      </w:pPr>
      <w:r>
        <w:t>Abstract</w:t>
      </w:r>
    </w:p>
    <w:p>
      <w:r>
        <w:rPr>
          <w:rFonts w:ascii="Times New Roman" w:hAnsi="Times New Roman"/>
          <w:b/>
          <w:i w:val="0"/>
          <w:sz w:val="24"/>
        </w:rPr>
        <w:t>Purpose:</w:t>
      </w:r>
      <w:r>
        <w:rPr>
          <w:rFonts w:ascii="Times New Roman" w:hAnsi="Times New Roman"/>
          <w:b w:val="0"/>
          <w:i w:val="0"/>
          <w:sz w:val="24"/>
        </w:rPr>
        <w:t xml:space="preserve"> This article examines why authoritarian leaders frequently escalate repression and violence during political crises, and whether credible post-exit guarantees—negotiated transitions, exile arrangements, conditional amnesties, and transitional justice mechanisms—can reduce violence and facilitate democratic transition.</w:t>
      </w:r>
    </w:p>
    <w:p>
      <w:r>
        <w:rPr>
          <w:rFonts w:ascii="Times New Roman" w:hAnsi="Times New Roman"/>
          <w:b/>
          <w:i w:val="0"/>
          <w:sz w:val="24"/>
        </w:rPr>
        <w:t>Methodology:</w:t>
      </w:r>
      <w:r>
        <w:rPr>
          <w:rFonts w:ascii="Times New Roman" w:hAnsi="Times New Roman"/>
          <w:b w:val="0"/>
          <w:i w:val="0"/>
          <w:sz w:val="24"/>
        </w:rPr>
        <w:t xml:space="preserve"> The study develops the </w:t>
      </w:r>
      <w:r>
        <w:rPr>
          <w:rFonts w:ascii="Times New Roman" w:hAnsi="Times New Roman"/>
          <w:b w:val="0"/>
          <w:i/>
          <w:sz w:val="24"/>
        </w:rPr>
        <w:t>Authoritarian Exit Dilemma</w:t>
      </w:r>
      <w:r>
        <w:rPr>
          <w:rFonts w:ascii="Times New Roman" w:hAnsi="Times New Roman"/>
          <w:b w:val="0"/>
          <w:i w:val="0"/>
          <w:sz w:val="24"/>
        </w:rPr>
        <w:t xml:space="preserve"> as a formal theoretical framework and applies comparative qualitative case analysis with process-tracing across eight cases: South Africa, Chile, Spain, Tunisia, Egypt, Libya, Syria, and Yemen.</w:t>
      </w:r>
    </w:p>
    <w:p>
      <w:r>
        <w:rPr>
          <w:rFonts w:ascii="Times New Roman" w:hAnsi="Times New Roman"/>
          <w:b/>
          <w:i w:val="0"/>
          <w:sz w:val="24"/>
        </w:rPr>
        <w:t>Findings:</w:t>
      </w:r>
      <w:r>
        <w:rPr>
          <w:rFonts w:ascii="Times New Roman" w:hAnsi="Times New Roman"/>
          <w:b w:val="0"/>
          <w:i w:val="0"/>
          <w:sz w:val="24"/>
        </w:rPr>
        <w:t xml:space="preserve"> Rulers who perceive political exit as existentially dangerous—risking imprisonment, exile, asset confiscation, or death—face incentives to escalate rather than negotiate. Where third parties credibly guarantee safe exit or sequenced accountability, violence tends to decline and transition becomes more feasible. Where guarantees are absent, contested, or withdrawn, repression intensifies and conflict protracts. The analysis identifies systematic trade-offs between impunity, justice, and stability.</w:t>
      </w:r>
    </w:p>
    <w:p>
      <w:r>
        <w:rPr>
          <w:rFonts w:ascii="Times New Roman" w:hAnsi="Times New Roman"/>
          <w:b/>
          <w:i w:val="0"/>
          <w:sz w:val="24"/>
        </w:rPr>
        <w:t>Originality:</w:t>
      </w:r>
      <w:r>
        <w:rPr>
          <w:rFonts w:ascii="Times New Roman" w:hAnsi="Times New Roman"/>
          <w:b w:val="0"/>
          <w:i w:val="0"/>
          <w:sz w:val="24"/>
        </w:rPr>
        <w:t xml:space="preserve"> The article formalizes the Authoritarian Exit Dilemma as a distinct causal mechanism linking elite survival calculations to conflict escalation, integrating authoritarian survival literature with transitional justice and political settlement theory.</w:t>
      </w:r>
    </w:p>
    <w:p>
      <w:r>
        <w:rPr>
          <w:rFonts w:ascii="Times New Roman" w:hAnsi="Times New Roman"/>
          <w:b/>
          <w:i w:val="0"/>
          <w:sz w:val="24"/>
        </w:rPr>
        <w:t>Implications:</w:t>
      </w:r>
      <w:r>
        <w:rPr>
          <w:rFonts w:ascii="Times New Roman" w:hAnsi="Times New Roman"/>
          <w:b w:val="0"/>
          <w:i w:val="0"/>
          <w:sz w:val="24"/>
        </w:rPr>
        <w:t xml:space="preserve"> Mediators, regional organizations, and the United Nations should treat exit-credible bargaining infrastructure—conditional amnesties, verified exile, security guarantees, and phased transitional justice—as preventive diplomacy tools, not moral concessions divorced from empirical transition dynamics.</w:t>
      </w:r>
    </w:p>
    <w:p>
      <w:r>
        <w:rPr>
          <w:rFonts w:ascii="Times New Roman" w:hAnsi="Times New Roman"/>
          <w:b/>
          <w:i w:val="0"/>
          <w:sz w:val="24"/>
        </w:rPr>
        <w:t>Keywords:</w:t>
      </w:r>
      <w:r>
        <w:rPr>
          <w:rFonts w:ascii="Times New Roman" w:hAnsi="Times New Roman"/>
          <w:b w:val="0"/>
          <w:i w:val="0"/>
          <w:sz w:val="24"/>
        </w:rPr>
        <w:t xml:space="preserve"> authoritarian exit dilemma; democratic transition; credible exit guarantees; transitional justice; political settlements; conflict prevention; elite bargaining; amnesty; exile; repression</w:t>
      </w:r>
    </w:p>
    <w:p>
      <w:pPr>
        <w:pStyle w:val="Heading2"/>
      </w:pPr>
      <w:r>
        <w:t>1. Introduction</w:t>
      </w:r>
    </w:p>
    <w:p>
      <w:r>
        <w:rPr>
          <w:rFonts w:ascii="Times New Roman" w:hAnsi="Times New Roman"/>
          <w:b w:val="0"/>
          <w:i w:val="0"/>
          <w:sz w:val="24"/>
        </w:rPr>
        <w:t>Authoritarian leaders facing mass mobilization, military defection, or negotiated transition rarely behave as rational agents indifferent to personal survival. A recurring pattern in twentieth- and twenty-first-century transitions is that rulers who perceive political exit as existentially dangerous—risking imprisonment, exile, asset confiscation, or death—choose escalation over accommodation. Libya's collapse after 2011, Syria's protracted civil war, and Yemen's fragmented conflict illustrate how absent or non-credible exit pathways can transform reformist moments into zero-sum violence. Conversely, South Africa's negotiated settlement, Chile's phased transition, Spain's post-Franco pact, and Tunisia's relatively low-cost removal of Ben Ali suggest that sequenced guarantees can lower the cost of stepping down.</w:t>
      </w:r>
    </w:p>
    <w:p>
      <w:r>
        <w:rPr>
          <w:rFonts w:ascii="Times New Roman" w:hAnsi="Times New Roman"/>
          <w:b w:val="0"/>
          <w:i w:val="0"/>
          <w:sz w:val="24"/>
        </w:rPr>
        <w:t xml:space="preserve">This article addresses a research puzzle at the intersection of democratization, conflict prevention, and transitional justice: </w:t>
      </w:r>
      <w:r>
        <w:rPr>
          <w:rFonts w:ascii="Times New Roman" w:hAnsi="Times New Roman"/>
          <w:b w:val="0"/>
          <w:i/>
          <w:sz w:val="24"/>
        </w:rPr>
        <w:t>Why do authoritarian leaders resist transition even when continuation appears costly, and under what conditions can third parties reduce violence by altering exit expectations?</w:t>
      </w:r>
      <w:r>
        <w:rPr>
          <w:rFonts w:ascii="Times New Roman" w:hAnsi="Times New Roman"/>
          <w:b w:val="0"/>
          <w:i w:val="0"/>
          <w:sz w:val="24"/>
        </w:rPr>
        <w:t xml:space="preserve"> Existing literature explains authoritarian durability (Geddes, 1999; Svolik, 2012), transition typologies (O'Donnell &amp; Schmitter, 1986; Przeworski, 1991), and post-conflict justice (Hayner, 2011; Olsen et al., 2010), but often treats exit guarantees as background conditions rather than as causal variables shaping repression and bargaining.</w:t>
      </w:r>
    </w:p>
    <w:p>
      <w:r>
        <w:rPr>
          <w:rFonts w:ascii="Times New Roman" w:hAnsi="Times New Roman"/>
          <w:b w:val="0"/>
          <w:i w:val="0"/>
          <w:sz w:val="24"/>
        </w:rPr>
        <w:t xml:space="preserve">The article makes three contributions. First, it defines and formalizes the </w:t>
      </w:r>
      <w:r>
        <w:rPr>
          <w:rFonts w:ascii="Times New Roman" w:hAnsi="Times New Roman"/>
          <w:b/>
          <w:i w:val="0"/>
          <w:sz w:val="24"/>
        </w:rPr>
        <w:t>Authoritarian Exit Dilemma (AED)</w:t>
      </w:r>
      <w:r>
        <w:rPr>
          <w:rFonts w:ascii="Times New Roman" w:hAnsi="Times New Roman"/>
          <w:b w:val="0"/>
          <w:i w:val="0"/>
          <w:sz w:val="24"/>
        </w:rPr>
        <w:t>: a decision structure in which declining regime security increases the perceived cost of exit relative to the cost of continued repression, producing escalation incentives when guarantees are not credible. Second, it applies comparative process-tracing across eight cases selected for variation in exit guarantee credibility, violence intensity, and democratic outcomes. Third, it derives policy implications for mediators and international organizations without treating justice and stability as mutually exclusive categories.</w:t>
      </w:r>
    </w:p>
    <w:p>
      <w:r>
        <w:rPr>
          <w:rFonts w:ascii="Times New Roman" w:hAnsi="Times New Roman"/>
          <w:b w:val="0"/>
          <w:i w:val="0"/>
          <w:sz w:val="24"/>
        </w:rPr>
        <w:t>The empirical motivation extends beyond abstract regime typology. In the Middle East and North Africa (MENA), the 2011 uprisings exposed a recurring dynamic: incumbents who had closed institutional off-ramps for decades confronted mobilized societies with no credible bargain on the table. Where exile or conditional immunity was offered early—Tunisia—the human cost of leader removal remained comparatively contained. Where prosecution, ICC referral, or battlefield elimination was foregrounded—Libya and, in effect, Syria—the conflict arc shifted toward maximal violence. Egypt occupies an intermediate position: formal removal of Mubarak without guarantees to the coercive core produced a truncated transition and authoritarian restoration within three years. These patterns are not reducible to culture or religion; they align with elite survival calculus documented across regions (Brownlee, 2007; Howard &amp; Roessler, 2006).</w:t>
      </w:r>
    </w:p>
    <w:p>
      <w:r>
        <w:rPr>
          <w:rFonts w:ascii="Times New Roman" w:hAnsi="Times New Roman"/>
          <w:b w:val="0"/>
          <w:i w:val="0"/>
          <w:sz w:val="24"/>
        </w:rPr>
        <w:t xml:space="preserve">From a conflict prevention standpoint, the policy relevance is immediate. The Uppsala Conflict Data Program recorded fifty-nine state-based armed conflicts in 2023—the highest count in the post-1945 era (Uppsala University, 2024). A substantial share originate in or persist because of governance crises where incumbent removal becomes a zero-sum fight. Preventive diplomacy toolkits emphasize early warning and mediation, yet often under-specify the </w:t>
      </w:r>
      <w:r>
        <w:rPr>
          <w:rFonts w:ascii="Times New Roman" w:hAnsi="Times New Roman"/>
          <w:b/>
          <w:i w:val="0"/>
          <w:sz w:val="24"/>
        </w:rPr>
        <w:t>guarantee architecture</w:t>
      </w:r>
      <w:r>
        <w:rPr>
          <w:rFonts w:ascii="Times New Roman" w:hAnsi="Times New Roman"/>
          <w:b w:val="0"/>
          <w:i w:val="0"/>
          <w:sz w:val="24"/>
        </w:rPr>
        <w:t xml:space="preserve"> required for rulers to accept stand-down. This article supplies that specification.</w:t>
      </w:r>
    </w:p>
    <w:p>
      <w:r>
        <w:rPr>
          <w:rFonts w:ascii="Times New Roman" w:hAnsi="Times New Roman"/>
          <w:b w:val="0"/>
          <w:i w:val="0"/>
          <w:sz w:val="24"/>
        </w:rPr>
        <w:t>The analysis proceeds as follows. Section 2 reviews relevant literatures. Section 3 develops the AED framework and hypotheses. Section 4 describes methodology and case selection. Section 5 presents comparative case analysis. Sections 6–8 discuss findings, policy implications, and the justice–stability tension. Section 9 concludes.</w:t>
      </w:r>
    </w:p>
    <w:p>
      <w:pPr>
        <w:pStyle w:val="Heading2"/>
      </w:pPr>
      <w:r>
        <w:t>2. Literature Review</w:t>
      </w:r>
    </w:p>
    <w:p>
      <w:pPr>
        <w:pStyle w:val="Heading3"/>
      </w:pPr>
      <w:r>
        <w:t>2.1 Authoritarian Survival and Repression</w:t>
      </w:r>
    </w:p>
    <w:p>
      <w:r>
        <w:rPr>
          <w:rFonts w:ascii="Times New Roman" w:hAnsi="Times New Roman"/>
          <w:b w:val="0"/>
          <w:i w:val="0"/>
          <w:sz w:val="24"/>
        </w:rPr>
        <w:t>Comparative authoritarianism treats regime survival as a strategic problem of cooptation, repression, and information control (Geddes, 1999; Gandhi &amp; Przeworski, 2007). Svolik (2012) models dictators' core dilemma as managing elite threats while preventing mass rebellion. Levitsky and Way (2010) emphasize competitive authoritarianism, where incumbents manipulate institutions without fully abandoning pluralism. Hafner-Burton et al. (2018) document how repression intensity responds to perceived threat levels.</w:t>
      </w:r>
    </w:p>
    <w:p>
      <w:r>
        <w:rPr>
          <w:rFonts w:ascii="Times New Roman" w:hAnsi="Times New Roman"/>
          <w:b w:val="0"/>
          <w:i w:val="0"/>
          <w:sz w:val="24"/>
        </w:rPr>
        <w:t xml:space="preserve">This literature explains </w:t>
      </w:r>
      <w:r>
        <w:rPr>
          <w:rFonts w:ascii="Times New Roman" w:hAnsi="Times New Roman"/>
          <w:b w:val="0"/>
          <w:i/>
          <w:sz w:val="24"/>
        </w:rPr>
        <w:t>why</w:t>
      </w:r>
      <w:r>
        <w:rPr>
          <w:rFonts w:ascii="Times New Roman" w:hAnsi="Times New Roman"/>
          <w:b w:val="0"/>
          <w:i w:val="0"/>
          <w:sz w:val="24"/>
        </w:rPr>
        <w:t xml:space="preserve"> autocrats repress but less often specifies </w:t>
      </w:r>
      <w:r>
        <w:rPr>
          <w:rFonts w:ascii="Times New Roman" w:hAnsi="Times New Roman"/>
          <w:b w:val="0"/>
          <w:i/>
          <w:sz w:val="24"/>
        </w:rPr>
        <w:t>when</w:t>
      </w:r>
      <w:r>
        <w:rPr>
          <w:rFonts w:ascii="Times New Roman" w:hAnsi="Times New Roman"/>
          <w:b w:val="0"/>
          <w:i w:val="0"/>
          <w:sz w:val="24"/>
        </w:rPr>
        <w:t xml:space="preserve"> repression becomes a function of personal exit expectations rather than collective regime maintenance. Roeder (1994) and Lustick (1994) analyze institutional stickiness and state breakdown, noting that personalist regimes collapse differently from party-based systems because leader removal threatens entire patronage networks. Mainwaring and Pérez-Liñán (2013) demonstrate that Latin American autocrats' survival strategies varied with opposition strength and economic performance, conditioning when exit became preferable to fight. The AED framework extends this insight by treating personal survival calculations as independent variables affecting violence escalation.</w:t>
      </w:r>
    </w:p>
    <w:p>
      <w:pPr>
        <w:pStyle w:val="Heading3"/>
      </w:pPr>
      <w:r>
        <w:t>2.2 Democratic Transition Theory</w:t>
      </w:r>
    </w:p>
    <w:p>
      <w:r>
        <w:rPr>
          <w:rFonts w:ascii="Times New Roman" w:hAnsi="Times New Roman"/>
          <w:b w:val="0"/>
          <w:i w:val="0"/>
          <w:sz w:val="24"/>
        </w:rPr>
        <w:t>Classic transition theory distinguishes paths from authoritarian rule: pact-based, imposed, and uncertain transitions (O'Donnell &amp; Schmitter, 1986). Przeworski (1991) formalizes the "institutionalization dilemma": elites accept democracy only when they believe they can survive it electorally or physically. Karl (1990) and Linz and Stepan (1996) emphasize pact-making and civil society mobilization. Carothers (2002) later cautioned against teleological "transition paradigm" assumptions.</w:t>
      </w:r>
    </w:p>
    <w:p>
      <w:r>
        <w:rPr>
          <w:rFonts w:ascii="Times New Roman" w:hAnsi="Times New Roman"/>
          <w:b w:val="0"/>
          <w:i w:val="0"/>
          <w:sz w:val="24"/>
        </w:rPr>
        <w:t xml:space="preserve">The AED framework aligns with Przeworski's insight that uncertainty about post-transition treatment blocks cooperation, but shifts focus from electoral confidence alone to </w:t>
      </w:r>
      <w:r>
        <w:rPr>
          <w:rFonts w:ascii="Times New Roman" w:hAnsi="Times New Roman"/>
          <w:b w:val="0"/>
          <w:i/>
          <w:sz w:val="24"/>
        </w:rPr>
        <w:t>physical and legal</w:t>
      </w:r>
      <w:r>
        <w:rPr>
          <w:rFonts w:ascii="Times New Roman" w:hAnsi="Times New Roman"/>
          <w:b w:val="0"/>
          <w:i w:val="0"/>
          <w:sz w:val="24"/>
        </w:rPr>
        <w:t xml:space="preserve"> post-exit security. Where transition literature emphasizes elite splits and civil society pressure as triggers, this article specifies a mediating mechanism: credible guarantees convert existential uncertainty into negotiable risk.</w:t>
      </w:r>
    </w:p>
    <w:p>
      <w:pPr>
        <w:pStyle w:val="Heading3"/>
      </w:pPr>
      <w:r>
        <w:t>2.3 Elite Bargaining and Political Settlements</w:t>
      </w:r>
    </w:p>
    <w:p>
      <w:r>
        <w:rPr>
          <w:rFonts w:ascii="Times New Roman" w:hAnsi="Times New Roman"/>
          <w:b w:val="0"/>
          <w:i w:val="0"/>
          <w:sz w:val="24"/>
        </w:rPr>
        <w:t>Political settlement theory analyzes how dominant elites distribute power and resources to maintain order (Khan, 2010; Parks &amp; Cole, 2010). Di John and Putzel (2009) link settlements to tax, security, and legitimacy bargains. Bell (2015) and Paffenholz et al. (2016) connect inclusive negotiations to peace durability.</w:t>
      </w:r>
    </w:p>
    <w:p>
      <w:r>
        <w:rPr>
          <w:rFonts w:ascii="Times New Roman" w:hAnsi="Times New Roman"/>
          <w:b w:val="0"/>
          <w:i w:val="0"/>
          <w:sz w:val="24"/>
        </w:rPr>
        <w:t>Settlements fail when excluded actors reject terms or when guarantors lack enforcement capacity. The AED framework treats exit guarantees as settlement infrastructure: without credible third-party enforcement, personalist leaders rationally anticipate victors' justice and resist deals that appear reversible.</w:t>
      </w:r>
    </w:p>
    <w:p>
      <w:pPr>
        <w:pStyle w:val="Heading3"/>
      </w:pPr>
      <w:r>
        <w:t>2.4 Transitional Justice, Amnesty, and Exile</w:t>
      </w:r>
    </w:p>
    <w:p>
      <w:r>
        <w:rPr>
          <w:rFonts w:ascii="Times New Roman" w:hAnsi="Times New Roman"/>
          <w:b w:val="0"/>
          <w:i w:val="0"/>
          <w:sz w:val="24"/>
        </w:rPr>
        <w:t>Transitional justice scholarship examines truth commissions, trials, reparations, and institutional reform (Teitel, 2000; Hayner, 2011). Olsen et al. (2010) find mixed effects of justice mechanisms on human rights and democracy. Mallinder (2008) and Freeman (2009) analyze amnesty as a bargaining instrument rather than purely normative compromise. Snyder and Vinjamuri (2003) argue that pursuing accountability during ongoing conflict can intensify violence if it forecloses exit.</w:t>
      </w:r>
    </w:p>
    <w:p>
      <w:r>
        <w:rPr>
          <w:rFonts w:ascii="Times New Roman" w:hAnsi="Times New Roman"/>
          <w:b w:val="0"/>
          <w:i w:val="0"/>
          <w:sz w:val="24"/>
        </w:rPr>
        <w:t xml:space="preserve">Exile and negotiated removal appear in diplomatic practice but receive less systematic comparative treatment. Kersten (2015) documents international exile arrangements; Bass (2000) examines war crimes prosecutions' deterrent and destabilizing effects. The present study integrates these strands by treating amnesty, exile, and sequenced prosecution as </w:t>
      </w:r>
      <w:r>
        <w:rPr>
          <w:rFonts w:ascii="Times New Roman" w:hAnsi="Times New Roman"/>
          <w:b w:val="0"/>
          <w:i/>
          <w:sz w:val="24"/>
        </w:rPr>
        <w:t>credibility instruments</w:t>
      </w:r>
      <w:r>
        <w:rPr>
          <w:rFonts w:ascii="Times New Roman" w:hAnsi="Times New Roman"/>
          <w:b w:val="0"/>
          <w:i w:val="0"/>
          <w:sz w:val="24"/>
        </w:rPr>
        <w:t xml:space="preserve"> affecting AED resolution.</w:t>
      </w:r>
    </w:p>
    <w:p>
      <w:pPr>
        <w:pStyle w:val="Heading3"/>
      </w:pPr>
      <w:r>
        <w:t>2.5 Conflict Prevention and Mediation</w:t>
      </w:r>
    </w:p>
    <w:p>
      <w:r>
        <w:rPr>
          <w:rFonts w:ascii="Times New Roman" w:hAnsi="Times New Roman"/>
          <w:b w:val="0"/>
          <w:i w:val="0"/>
          <w:sz w:val="24"/>
        </w:rPr>
        <w:t>Preventive diplomacy literature emphasizes early intervention before violence hardens (United Nations, 2015; World Bank, 2017). Stedman et al. (2002) and Crocker et al. (2007) analyze mediation leverage and spoiler problems. De Waal (2015) critiques technocratic peacebuilding that ignores political marketplace dynamics.</w:t>
      </w:r>
    </w:p>
    <w:p>
      <w:r>
        <w:rPr>
          <w:rFonts w:ascii="Times New Roman" w:hAnsi="Times New Roman"/>
          <w:b w:val="0"/>
          <w:i w:val="0"/>
          <w:sz w:val="24"/>
        </w:rPr>
        <w:t>Conflict prevention often frames accountability and peace as competing goods. The AED framework reframes the trade-off: guarantees are not moral endorsements of impunity but structural preconditions that may reduce aggregate harm when sequenced with later accountability, as in Chile and South Africa.</w:t>
      </w:r>
    </w:p>
    <w:p>
      <w:pPr>
        <w:pStyle w:val="Heading3"/>
      </w:pPr>
      <w:r>
        <w:t>2.6 Synthesis: Gaps in the Literature</w:t>
      </w:r>
    </w:p>
    <w:p>
      <w:r>
        <w:rPr>
          <w:rFonts w:ascii="Times New Roman" w:hAnsi="Times New Roman"/>
          <w:b w:val="0"/>
          <w:i w:val="0"/>
          <w:sz w:val="24"/>
        </w:rPr>
        <w:t xml:space="preserve">Three gaps motivate the AED framework. First, authoritarian survival models treat repression as regime-level strategy but under-theorize </w:t>
      </w:r>
      <w:r>
        <w:rPr>
          <w:rFonts w:ascii="Times New Roman" w:hAnsi="Times New Roman"/>
          <w:b/>
          <w:i w:val="0"/>
          <w:sz w:val="24"/>
        </w:rPr>
        <w:t>personal exit cost</w:t>
      </w:r>
      <w:r>
        <w:rPr>
          <w:rFonts w:ascii="Times New Roman" w:hAnsi="Times New Roman"/>
          <w:b w:val="0"/>
          <w:i w:val="0"/>
          <w:sz w:val="24"/>
        </w:rPr>
        <w:t xml:space="preserve"> as a trigger of escalation. Second, transition theory emphasizes pacts and civil society without systematically coding guarantee credibility as an observable variable. Third, transitional justice debates polarize amnesty and prosecution rather than analyzing </w:t>
      </w:r>
      <w:r>
        <w:rPr>
          <w:rFonts w:ascii="Times New Roman" w:hAnsi="Times New Roman"/>
          <w:b/>
          <w:i w:val="0"/>
          <w:sz w:val="24"/>
        </w:rPr>
        <w:t>sequencing</w:t>
      </w:r>
      <w:r>
        <w:rPr>
          <w:rFonts w:ascii="Times New Roman" w:hAnsi="Times New Roman"/>
          <w:b w:val="0"/>
          <w:i w:val="0"/>
          <w:sz w:val="24"/>
        </w:rPr>
        <w:t xml:space="preserve"> under ongoing threat. The present study integrates these literatures into a single causal framework testable through comparative process-tracing.</w:t>
      </w:r>
    </w:p>
    <w:p>
      <w:pPr>
        <w:pStyle w:val="Heading2"/>
      </w:pPr>
      <w:r>
        <w:t>3. Theoretical Framework: The Authoritarian Exit Dilemma</w:t>
      </w:r>
    </w:p>
    <w:p>
      <w:pPr>
        <w:pStyle w:val="Heading3"/>
      </w:pPr>
      <w:r>
        <w:t>3.1 Definition</w:t>
      </w:r>
    </w:p>
    <w:p>
      <w:r>
        <w:rPr>
          <w:rFonts w:ascii="Times New Roman" w:hAnsi="Times New Roman"/>
          <w:b w:val="0"/>
          <w:i w:val="0"/>
          <w:sz w:val="24"/>
        </w:rPr>
        <w:t xml:space="preserve">The </w:t>
      </w:r>
      <w:r>
        <w:rPr>
          <w:rFonts w:ascii="Times New Roman" w:hAnsi="Times New Roman"/>
          <w:b/>
          <w:i w:val="0"/>
          <w:sz w:val="24"/>
        </w:rPr>
        <w:t>Authoritarian Exit Dilemma</w:t>
      </w:r>
      <w:r>
        <w:rPr>
          <w:rFonts w:ascii="Times New Roman" w:hAnsi="Times New Roman"/>
          <w:b w:val="0"/>
          <w:i w:val="0"/>
          <w:sz w:val="24"/>
        </w:rPr>
        <w:t xml:space="preserve"> arises when a ruler or ruling coalition perceives that relinquishing power exposes them to outcomes worse than continued repression: imprisonment, forced exile under unsafe conditions, confiscation of assets, violent retaliation, or death. Under AED, the ruler faces a sequential game: at each crisis node, choose among (a) concession/negotiation, (b) limited repression, or (c) maximal violence to forestall removal.</w:t>
      </w:r>
    </w:p>
    <w:p>
      <w:r>
        <w:rPr>
          <w:rFonts w:ascii="Times New Roman" w:hAnsi="Times New Roman"/>
          <w:b w:val="0"/>
          <w:i w:val="0"/>
          <w:sz w:val="24"/>
        </w:rPr>
        <w:t xml:space="preserve">The dilemma is </w:t>
      </w:r>
      <w:r>
        <w:rPr>
          <w:rFonts w:ascii="Times New Roman" w:hAnsi="Times New Roman"/>
          <w:b w:val="0"/>
          <w:i/>
          <w:sz w:val="24"/>
        </w:rPr>
        <w:t>authoritarian</w:t>
      </w:r>
      <w:r>
        <w:rPr>
          <w:rFonts w:ascii="Times New Roman" w:hAnsi="Times New Roman"/>
          <w:b w:val="0"/>
          <w:i w:val="0"/>
          <w:sz w:val="24"/>
        </w:rPr>
        <w:t xml:space="preserve"> because it is most acute in personalist and patrimonial systems where institutional succession is weak and leader fate is tied to network survival (Geddes, 1999; Svolik, 2012). It is an </w:t>
      </w:r>
      <w:r>
        <w:rPr>
          <w:rFonts w:ascii="Times New Roman" w:hAnsi="Times New Roman"/>
          <w:b w:val="0"/>
          <w:i/>
          <w:sz w:val="24"/>
        </w:rPr>
        <w:t>exit</w:t>
      </w:r>
      <w:r>
        <w:rPr>
          <w:rFonts w:ascii="Times New Roman" w:hAnsi="Times New Roman"/>
          <w:b w:val="0"/>
          <w:i w:val="0"/>
          <w:sz w:val="24"/>
        </w:rPr>
        <w:t xml:space="preserve"> dilemma because the blocking variable is not preference for democracy per se but expected post-exit treatment.</w:t>
      </w:r>
    </w:p>
    <w:p>
      <w:pPr>
        <w:pStyle w:val="Heading3"/>
      </w:pPr>
      <w:r>
        <w:t>3.2 Variables and Causal Mechanisms</w:t>
      </w:r>
    </w:p>
    <w:p>
      <w:r>
        <w:rPr>
          <w:rFonts w:ascii="Times New Roman" w:hAnsi="Times New Roman"/>
          <w:b/>
          <w:i w:val="0"/>
          <w:sz w:val="24"/>
        </w:rPr>
        <w:t>Independent variable:</w:t>
      </w:r>
      <w:r>
        <w:rPr>
          <w:rFonts w:ascii="Times New Roman" w:hAnsi="Times New Roman"/>
          <w:b w:val="0"/>
          <w:i w:val="0"/>
          <w:sz w:val="24"/>
        </w:rPr>
        <w:t xml:space="preserve"> credibility of post-exit guarantees (</w:t>
      </w:r>
      <w:r>
        <w:rPr>
          <w:rFonts w:ascii="Times New Roman" w:hAnsi="Times New Roman"/>
          <w:b w:val="0"/>
          <w:i/>
          <w:sz w:val="24"/>
        </w:rPr>
        <w:t>G</w:t>
      </w:r>
      <w:r>
        <w:rPr>
          <w:rFonts w:ascii="Times New Roman" w:hAnsi="Times New Roman"/>
          <w:b w:val="0"/>
          <w:i w:val="0"/>
          <w:sz w:val="24"/>
        </w:rPr>
        <w:t>), composed of:</w:t>
      </w:r>
    </w:p>
    <w:p>
      <w:pPr>
        <w:pStyle w:val="ListBullet"/>
      </w:pPr>
      <w:r>
        <w:rPr>
          <w:rFonts w:ascii="Times New Roman" w:hAnsi="Times New Roman"/>
          <w:b w:val="0"/>
          <w:i/>
          <w:sz w:val="24"/>
        </w:rPr>
        <w:t>G₁</w:t>
      </w:r>
      <w:r>
        <w:rPr>
          <w:rFonts w:ascii="Times New Roman" w:hAnsi="Times New Roman"/>
          <w:b w:val="0"/>
          <w:i w:val="0"/>
          <w:sz w:val="24"/>
        </w:rPr>
        <w:t xml:space="preserve"> Legal immunity or conditional amnesty enforceability</w:t>
      </w:r>
    </w:p>
    <w:p>
      <w:pPr>
        <w:pStyle w:val="ListBullet"/>
      </w:pPr>
      <w:r>
        <w:rPr>
          <w:rFonts w:ascii="Times New Roman" w:hAnsi="Times New Roman"/>
          <w:b w:val="0"/>
          <w:i/>
          <w:sz w:val="24"/>
        </w:rPr>
        <w:t>G₂</w:t>
      </w:r>
      <w:r>
        <w:rPr>
          <w:rFonts w:ascii="Times New Roman" w:hAnsi="Times New Roman"/>
          <w:b w:val="0"/>
          <w:i w:val="0"/>
          <w:sz w:val="24"/>
        </w:rPr>
        <w:t xml:space="preserve"> Verified exile with host-state and international monitoring</w:t>
      </w:r>
    </w:p>
    <w:p>
      <w:pPr>
        <w:pStyle w:val="ListBullet"/>
      </w:pPr>
      <w:r>
        <w:rPr>
          <w:rFonts w:ascii="Times New Roman" w:hAnsi="Times New Roman"/>
          <w:b w:val="0"/>
          <w:i/>
          <w:sz w:val="24"/>
        </w:rPr>
        <w:t>G₃</w:t>
      </w:r>
      <w:r>
        <w:rPr>
          <w:rFonts w:ascii="Times New Roman" w:hAnsi="Times New Roman"/>
          <w:b w:val="0"/>
          <w:i w:val="0"/>
          <w:sz w:val="24"/>
        </w:rPr>
        <w:t xml:space="preserve"> Asset protection or sequenced forfeiture rules</w:t>
      </w:r>
    </w:p>
    <w:p>
      <w:pPr>
        <w:pStyle w:val="ListBullet"/>
      </w:pPr>
      <w:r>
        <w:rPr>
          <w:rFonts w:ascii="Times New Roman" w:hAnsi="Times New Roman"/>
          <w:b w:val="0"/>
          <w:i/>
          <w:sz w:val="24"/>
        </w:rPr>
        <w:t>G₄</w:t>
      </w:r>
      <w:r>
        <w:rPr>
          <w:rFonts w:ascii="Times New Roman" w:hAnsi="Times New Roman"/>
          <w:b w:val="0"/>
          <w:i w:val="0"/>
          <w:sz w:val="24"/>
        </w:rPr>
        <w:t xml:space="preserve"> Security guarantees for family and coalition members</w:t>
      </w:r>
    </w:p>
    <w:p>
      <w:pPr>
        <w:pStyle w:val="ListBullet"/>
      </w:pPr>
      <w:r>
        <w:rPr>
          <w:rFonts w:ascii="Times New Roman" w:hAnsi="Times New Roman"/>
          <w:b w:val="0"/>
          <w:i/>
          <w:sz w:val="24"/>
        </w:rPr>
        <w:t>G₅</w:t>
      </w:r>
      <w:r>
        <w:rPr>
          <w:rFonts w:ascii="Times New Roman" w:hAnsi="Times New Roman"/>
          <w:b w:val="0"/>
          <w:i w:val="0"/>
          <w:sz w:val="24"/>
        </w:rPr>
        <w:t xml:space="preserve"> Credible sequencing to accountability (e.g., truth commission before prosecution)</w:t>
      </w:r>
    </w:p>
    <w:p>
      <w:r>
        <w:rPr>
          <w:rFonts w:ascii="Times New Roman" w:hAnsi="Times New Roman"/>
          <w:b/>
          <w:i w:val="0"/>
          <w:sz w:val="24"/>
        </w:rPr>
        <w:t>Dependent variables:</w:t>
      </w:r>
    </w:p>
    <w:p>
      <w:pPr>
        <w:pStyle w:val="ListBullet"/>
      </w:pPr>
      <w:r>
        <w:rPr>
          <w:rFonts w:ascii="Times New Roman" w:hAnsi="Times New Roman"/>
          <w:b w:val="0"/>
          <w:i/>
          <w:sz w:val="24"/>
        </w:rPr>
        <w:t>V</w:t>
      </w:r>
      <w:r>
        <w:rPr>
          <w:rFonts w:ascii="Times New Roman" w:hAnsi="Times New Roman"/>
          <w:b w:val="0"/>
          <w:i w:val="0"/>
          <w:sz w:val="24"/>
        </w:rPr>
        <w:t xml:space="preserve"> Violence intensity (state repression, civil war battle deaths)</w:t>
      </w:r>
    </w:p>
    <w:p>
      <w:pPr>
        <w:pStyle w:val="ListBullet"/>
      </w:pPr>
      <w:r>
        <w:rPr>
          <w:rFonts w:ascii="Times New Roman" w:hAnsi="Times New Roman"/>
          <w:b w:val="0"/>
          <w:i/>
          <w:sz w:val="24"/>
        </w:rPr>
        <w:t>T</w:t>
      </w:r>
      <w:r>
        <w:rPr>
          <w:rFonts w:ascii="Times New Roman" w:hAnsi="Times New Roman"/>
          <w:b w:val="0"/>
          <w:i w:val="0"/>
          <w:sz w:val="24"/>
        </w:rPr>
        <w:t xml:space="preserve"> Transition outcome (democratic consolidation, authoritarian restoration, state collapse)</w:t>
      </w:r>
    </w:p>
    <w:p>
      <w:pPr>
        <w:pStyle w:val="ListBullet"/>
      </w:pPr>
      <w:r>
        <w:rPr>
          <w:rFonts w:ascii="Times New Roman" w:hAnsi="Times New Roman"/>
          <w:b w:val="0"/>
          <w:i/>
          <w:sz w:val="24"/>
        </w:rPr>
        <w:t>D</w:t>
      </w:r>
      <w:r>
        <w:rPr>
          <w:rFonts w:ascii="Times New Roman" w:hAnsi="Times New Roman"/>
          <w:b w:val="0"/>
          <w:i w:val="0"/>
          <w:sz w:val="24"/>
        </w:rPr>
        <w:t xml:space="preserve"> Duration of conflict or stalemate</w:t>
      </w:r>
    </w:p>
    <w:p>
      <w:r>
        <w:rPr>
          <w:rFonts w:ascii="Times New Roman" w:hAnsi="Times New Roman"/>
          <w:b/>
          <w:i w:val="0"/>
          <w:sz w:val="24"/>
        </w:rPr>
        <w:t>Mediating mechanisms:</w:t>
      </w:r>
    </w:p>
    <w:p>
      <w:pPr>
        <w:pStyle w:val="ListNumber"/>
      </w:pPr>
      <w:r>
        <w:rPr>
          <w:rFonts w:ascii="Times New Roman" w:hAnsi="Times New Roman"/>
          <w:b/>
          <w:i w:val="0"/>
          <w:sz w:val="24"/>
        </w:rPr>
        <w:t>Existential risk amplification:</w:t>
      </w:r>
      <w:r>
        <w:rPr>
          <w:rFonts w:ascii="Times New Roman" w:hAnsi="Times New Roman"/>
          <w:b w:val="0"/>
          <w:i w:val="0"/>
          <w:sz w:val="24"/>
        </w:rPr>
        <w:t xml:space="preserve"> Low </w:t>
      </w:r>
      <w:r>
        <w:rPr>
          <w:rFonts w:ascii="Times New Roman" w:hAnsi="Times New Roman"/>
          <w:b w:val="0"/>
          <w:i/>
          <w:sz w:val="24"/>
        </w:rPr>
        <w:t>G</w:t>
      </w:r>
      <w:r>
        <w:rPr>
          <w:rFonts w:ascii="Times New Roman" w:hAnsi="Times New Roman"/>
          <w:b w:val="0"/>
          <w:i w:val="0"/>
          <w:sz w:val="24"/>
        </w:rPr>
        <w:t xml:space="preserve"> raises perceived cost of exit → increases willingness to use force.</w:t>
      </w:r>
    </w:p>
    <w:p>
      <w:pPr>
        <w:pStyle w:val="ListNumber"/>
      </w:pPr>
      <w:r>
        <w:rPr>
          <w:rFonts w:ascii="Times New Roman" w:hAnsi="Times New Roman"/>
          <w:b/>
          <w:i w:val="0"/>
          <w:sz w:val="24"/>
        </w:rPr>
        <w:t>Spoiler consolidation:</w:t>
      </w:r>
      <w:r>
        <w:rPr>
          <w:rFonts w:ascii="Times New Roman" w:hAnsi="Times New Roman"/>
          <w:b w:val="0"/>
          <w:i w:val="0"/>
          <w:sz w:val="24"/>
        </w:rPr>
        <w:t xml:space="preserve"> Uncertainty binds security elites to the leader ("coup trap"), reducing internal pressure to negotiate (Svolik, 2012).</w:t>
      </w:r>
    </w:p>
    <w:p>
      <w:pPr>
        <w:pStyle w:val="ListNumber"/>
      </w:pPr>
      <w:r>
        <w:rPr>
          <w:rFonts w:ascii="Times New Roman" w:hAnsi="Times New Roman"/>
          <w:b/>
          <w:i w:val="0"/>
          <w:sz w:val="24"/>
        </w:rPr>
        <w:t>Audience costs inversion:</w:t>
      </w:r>
      <w:r>
        <w:rPr>
          <w:rFonts w:ascii="Times New Roman" w:hAnsi="Times New Roman"/>
          <w:b w:val="0"/>
          <w:i w:val="0"/>
          <w:sz w:val="24"/>
        </w:rPr>
        <w:t xml:space="preserve"> Public trials or ICC threats intended to deter abuse may signal non-negotiability to incumbents (Snyder &amp; Vinjamuri, 2003).</w:t>
      </w:r>
    </w:p>
    <w:p>
      <w:pPr>
        <w:pStyle w:val="ListNumber"/>
      </w:pPr>
      <w:r>
        <w:rPr>
          <w:rFonts w:ascii="Times New Roman" w:hAnsi="Times New Roman"/>
          <w:b/>
          <w:i w:val="0"/>
          <w:sz w:val="24"/>
        </w:rPr>
        <w:t>Credible sequencing:</w:t>
      </w:r>
      <w:r>
        <w:rPr>
          <w:rFonts w:ascii="Times New Roman" w:hAnsi="Times New Roman"/>
          <w:b w:val="0"/>
          <w:i w:val="0"/>
          <w:sz w:val="24"/>
        </w:rPr>
        <w:t xml:space="preserve"> Partial guarantees with phased accountability reduce short-run existential risk while preserving long-run justice (South Africa, Chile).</w:t>
      </w:r>
    </w:p>
    <w:p>
      <w:r>
        <w:rPr>
          <w:rFonts w:ascii="Times New Roman" w:hAnsi="Times New Roman"/>
          <w:b/>
          <w:i w:val="0"/>
          <w:sz w:val="24"/>
        </w:rPr>
        <w:t>Moderating factors:</w:t>
      </w:r>
      <w:r>
        <w:rPr>
          <w:rFonts w:ascii="Times New Roman" w:hAnsi="Times New Roman"/>
          <w:b w:val="0"/>
          <w:i w:val="0"/>
          <w:sz w:val="24"/>
        </w:rPr>
        <w:t xml:space="preserve"> regime type (personalist vs. military vs. single-party), external patron support, military cohesion, international mediator capacity, and civil society mobilization strength.</w:t>
      </w:r>
    </w:p>
    <w:p>
      <w:pPr>
        <w:pStyle w:val="Heading3"/>
      </w:pPr>
      <w:r>
        <w:t>3.3 Hypotheses</w:t>
      </w:r>
    </w:p>
    <w:p>
      <w:r>
        <w:rPr>
          <w:rFonts w:ascii="Times New Roman" w:hAnsi="Times New Roman"/>
          <w:b/>
          <w:i w:val="0"/>
          <w:sz w:val="24"/>
        </w:rPr>
        <w:t>H1:</w:t>
      </w:r>
      <w:r>
        <w:rPr>
          <w:rFonts w:ascii="Times New Roman" w:hAnsi="Times New Roman"/>
          <w:b w:val="0"/>
          <w:i w:val="0"/>
          <w:sz w:val="24"/>
        </w:rPr>
        <w:t xml:space="preserve"> Lower credibility of post-exit guarantees (</w:t>
      </w:r>
      <w:r>
        <w:rPr>
          <w:rFonts w:ascii="Times New Roman" w:hAnsi="Times New Roman"/>
          <w:b w:val="0"/>
          <w:i/>
          <w:sz w:val="24"/>
        </w:rPr>
        <w:t>G</w:t>
      </w:r>
      <w:r>
        <w:rPr>
          <w:rFonts w:ascii="Times New Roman" w:hAnsi="Times New Roman"/>
          <w:b w:val="0"/>
          <w:i w:val="0"/>
          <w:sz w:val="24"/>
        </w:rPr>
        <w:t>) is associated with higher violence intensity (</w:t>
      </w:r>
      <w:r>
        <w:rPr>
          <w:rFonts w:ascii="Times New Roman" w:hAnsi="Times New Roman"/>
          <w:b w:val="0"/>
          <w:i/>
          <w:sz w:val="24"/>
        </w:rPr>
        <w:t>V</w:t>
      </w:r>
      <w:r>
        <w:rPr>
          <w:rFonts w:ascii="Times New Roman" w:hAnsi="Times New Roman"/>
          <w:b w:val="0"/>
          <w:i w:val="0"/>
          <w:sz w:val="24"/>
        </w:rPr>
        <w:t>) during crisis periods.</w:t>
      </w:r>
    </w:p>
    <w:p>
      <w:r>
        <w:rPr>
          <w:rFonts w:ascii="Times New Roman" w:hAnsi="Times New Roman"/>
          <w:b/>
          <w:i w:val="0"/>
          <w:sz w:val="24"/>
        </w:rPr>
        <w:t>H2:</w:t>
      </w:r>
      <w:r>
        <w:rPr>
          <w:rFonts w:ascii="Times New Roman" w:hAnsi="Times New Roman"/>
          <w:b w:val="0"/>
          <w:i w:val="0"/>
          <w:sz w:val="24"/>
        </w:rPr>
        <w:t xml:space="preserve"> Credible sequenced guarantees increase the probability of negotiated transition (</w:t>
      </w:r>
      <w:r>
        <w:rPr>
          <w:rFonts w:ascii="Times New Roman" w:hAnsi="Times New Roman"/>
          <w:b w:val="0"/>
          <w:i/>
          <w:sz w:val="24"/>
        </w:rPr>
        <w:t>T</w:t>
      </w:r>
      <w:r>
        <w:rPr>
          <w:rFonts w:ascii="Times New Roman" w:hAnsi="Times New Roman"/>
          <w:b w:val="0"/>
          <w:i w:val="0"/>
          <w:sz w:val="24"/>
        </w:rPr>
        <w:t>) without full state collapse.</w:t>
      </w:r>
    </w:p>
    <w:p>
      <w:r>
        <w:rPr>
          <w:rFonts w:ascii="Times New Roman" w:hAnsi="Times New Roman"/>
          <w:b/>
          <w:i w:val="0"/>
          <w:sz w:val="24"/>
        </w:rPr>
        <w:t>H3:</w:t>
      </w:r>
      <w:r>
        <w:rPr>
          <w:rFonts w:ascii="Times New Roman" w:hAnsi="Times New Roman"/>
          <w:b w:val="0"/>
          <w:i w:val="0"/>
          <w:sz w:val="24"/>
        </w:rPr>
        <w:t xml:space="preserve"> Unconditional impunity maximizes short-term violence reduction but correlates with weaker democratic consolidation and higher long-term recurrence risk.</w:t>
      </w:r>
    </w:p>
    <w:p>
      <w:r>
        <w:rPr>
          <w:rFonts w:ascii="Times New Roman" w:hAnsi="Times New Roman"/>
          <w:b/>
          <w:i w:val="0"/>
          <w:sz w:val="24"/>
        </w:rPr>
        <w:t>H4:</w:t>
      </w:r>
      <w:r>
        <w:rPr>
          <w:rFonts w:ascii="Times New Roman" w:hAnsi="Times New Roman"/>
          <w:b w:val="0"/>
          <w:i w:val="0"/>
          <w:sz w:val="24"/>
        </w:rPr>
        <w:t xml:space="preserve"> Withdrawn or deceptive guarantees (promised exile followed by prosecution or extradition) increase distrust and prolong conflict in subsequent crises.</w:t>
      </w:r>
    </w:p>
    <w:p>
      <w:pPr>
        <w:pStyle w:val="Caption"/>
        <w:jc w:val="center"/>
      </w:pPr>
      <w:r>
        <w:t>Figure 1.** Authoritarian Exit Dilemma — Causal Pathways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Stage</w:t>
            </w:r>
          </w:p>
        </w:tc>
        <w:tc>
          <w:tcPr>
            <w:tcW w:type="dxa" w:w="3120"/>
          </w:tcPr>
          <w:p>
            <w:r/>
            <w:r>
              <w:rPr>
                <w:rFonts w:ascii="Times New Roman" w:hAnsi="Times New Roman"/>
                <w:b w:val="0"/>
                <w:i w:val="0"/>
                <w:sz w:val="24"/>
              </w:rPr>
              <w:t>Condition</w:t>
            </w:r>
          </w:p>
        </w:tc>
        <w:tc>
          <w:tcPr>
            <w:tcW w:type="dxa" w:w="3120"/>
          </w:tcPr>
          <w:p>
            <w:r/>
            <w:r>
              <w:rPr>
                <w:rFonts w:ascii="Times New Roman" w:hAnsi="Times New Roman"/>
                <w:b w:val="0"/>
                <w:i w:val="0"/>
                <w:sz w:val="24"/>
              </w:rPr>
              <w:t>Expected outcome</w:t>
            </w:r>
          </w:p>
        </w:tc>
      </w:tr>
      <w:tr>
        <w:tc>
          <w:tcPr>
            <w:tcW w:type="dxa" w:w="3120"/>
          </w:tcPr>
          <w:p>
            <w:r/>
            <w:r>
              <w:rPr>
                <w:rFonts w:ascii="Times New Roman" w:hAnsi="Times New Roman"/>
                <w:b w:val="0"/>
                <w:i w:val="0"/>
                <w:sz w:val="24"/>
              </w:rPr>
              <w:t>Crisis onset</w:t>
            </w:r>
          </w:p>
        </w:tc>
        <w:tc>
          <w:tcPr>
            <w:tcW w:type="dxa" w:w="3120"/>
          </w:tcPr>
          <w:p>
            <w:r/>
            <w:r>
              <w:rPr>
                <w:rFonts w:ascii="Times New Roman" w:hAnsi="Times New Roman"/>
                <w:b w:val="0"/>
                <w:i w:val="0"/>
                <w:sz w:val="24"/>
              </w:rPr>
              <w:t>Mass mobilization or elite defection</w:t>
            </w:r>
          </w:p>
        </w:tc>
        <w:tc>
          <w:tcPr>
            <w:tcW w:type="dxa" w:w="3120"/>
          </w:tcPr>
          <w:p>
            <w:r/>
            <w:r>
              <w:rPr>
                <w:rFonts w:ascii="Times New Roman" w:hAnsi="Times New Roman"/>
                <w:b w:val="0"/>
                <w:i w:val="0"/>
                <w:sz w:val="24"/>
              </w:rPr>
              <w:t>Ruler assesses exit cost</w:t>
            </w:r>
          </w:p>
        </w:tc>
      </w:tr>
      <w:tr>
        <w:tc>
          <w:tcPr>
            <w:tcW w:type="dxa" w:w="3120"/>
          </w:tcPr>
          <w:p>
            <w:r/>
            <w:r>
              <w:rPr>
                <w:rFonts w:ascii="Times New Roman" w:hAnsi="Times New Roman"/>
                <w:b w:val="0"/>
                <w:i w:val="0"/>
                <w:sz w:val="24"/>
              </w:rPr>
              <w:t xml:space="preserve">Low </w:t>
            </w:r>
            <w:r>
              <w:rPr>
                <w:rFonts w:ascii="Times New Roman" w:hAnsi="Times New Roman"/>
                <w:b w:val="0"/>
                <w:i/>
                <w:sz w:val="24"/>
              </w:rPr>
              <w:t>G</w:t>
            </w:r>
          </w:p>
        </w:tc>
        <w:tc>
          <w:tcPr>
            <w:tcW w:type="dxa" w:w="3120"/>
          </w:tcPr>
          <w:p>
            <w:r/>
            <w:r>
              <w:rPr>
                <w:rFonts w:ascii="Times New Roman" w:hAnsi="Times New Roman"/>
                <w:b w:val="0"/>
                <w:i w:val="0"/>
                <w:sz w:val="24"/>
              </w:rPr>
              <w:t>No credible amnesty/exile/security</w:t>
            </w:r>
          </w:p>
        </w:tc>
        <w:tc>
          <w:tcPr>
            <w:tcW w:type="dxa" w:w="3120"/>
          </w:tcPr>
          <w:p>
            <w:r/>
            <w:r>
              <w:rPr>
                <w:rFonts w:ascii="Times New Roman" w:hAnsi="Times New Roman"/>
                <w:b w:val="0"/>
                <w:i w:val="0"/>
                <w:sz w:val="24"/>
              </w:rPr>
              <w:t>Escalation (</w:t>
            </w:r>
            <w:r>
              <w:rPr>
                <w:rFonts w:ascii="Times New Roman" w:hAnsi="Times New Roman"/>
                <w:b w:val="0"/>
                <w:i/>
                <w:sz w:val="24"/>
              </w:rPr>
              <w:t>V</w:t>
            </w:r>
            <w:r>
              <w:rPr>
                <w:rFonts w:ascii="Times New Roman" w:hAnsi="Times New Roman"/>
                <w:b w:val="0"/>
                <w:i w:val="0"/>
                <w:sz w:val="24"/>
              </w:rPr>
              <w:t xml:space="preserve"> ↑); stalemate or collapse</w:t>
            </w:r>
          </w:p>
        </w:tc>
      </w:tr>
      <w:tr>
        <w:tc>
          <w:tcPr>
            <w:tcW w:type="dxa" w:w="3120"/>
          </w:tcPr>
          <w:p>
            <w:r/>
            <w:r>
              <w:rPr>
                <w:rFonts w:ascii="Times New Roman" w:hAnsi="Times New Roman"/>
                <w:b w:val="0"/>
                <w:i w:val="0"/>
                <w:sz w:val="24"/>
              </w:rPr>
              <w:t xml:space="preserve">Medium </w:t>
            </w:r>
            <w:r>
              <w:rPr>
                <w:rFonts w:ascii="Times New Roman" w:hAnsi="Times New Roman"/>
                <w:b w:val="0"/>
                <w:i/>
                <w:sz w:val="24"/>
              </w:rPr>
              <w:t>G</w:t>
            </w:r>
          </w:p>
        </w:tc>
        <w:tc>
          <w:tcPr>
            <w:tcW w:type="dxa" w:w="3120"/>
          </w:tcPr>
          <w:p>
            <w:r/>
            <w:r>
              <w:rPr>
                <w:rFonts w:ascii="Times New Roman" w:hAnsi="Times New Roman"/>
                <w:b w:val="0"/>
                <w:i w:val="0"/>
                <w:sz w:val="24"/>
              </w:rPr>
              <w:t>Sequenced guarantees + external enforcement</w:t>
            </w:r>
          </w:p>
        </w:tc>
        <w:tc>
          <w:tcPr>
            <w:tcW w:type="dxa" w:w="3120"/>
          </w:tcPr>
          <w:p>
            <w:r/>
            <w:r>
              <w:rPr>
                <w:rFonts w:ascii="Times New Roman" w:hAnsi="Times New Roman"/>
                <w:b w:val="0"/>
                <w:i w:val="0"/>
                <w:sz w:val="24"/>
              </w:rPr>
              <w:t xml:space="preserve">Negotiated transition; phased </w:t>
            </w:r>
            <w:r>
              <w:rPr>
                <w:rFonts w:ascii="Times New Roman" w:hAnsi="Times New Roman"/>
                <w:b w:val="0"/>
                <w:i/>
                <w:sz w:val="24"/>
              </w:rPr>
              <w:t>T</w:t>
            </w:r>
          </w:p>
        </w:tc>
      </w:tr>
      <w:tr>
        <w:tc>
          <w:tcPr>
            <w:tcW w:type="dxa" w:w="3120"/>
          </w:tcPr>
          <w:p>
            <w:r/>
            <w:r>
              <w:rPr>
                <w:rFonts w:ascii="Times New Roman" w:hAnsi="Times New Roman"/>
                <w:b w:val="0"/>
                <w:i w:val="0"/>
                <w:sz w:val="24"/>
              </w:rPr>
              <w:t>High impunity</w:t>
            </w:r>
          </w:p>
        </w:tc>
        <w:tc>
          <w:tcPr>
            <w:tcW w:type="dxa" w:w="3120"/>
          </w:tcPr>
          <w:p>
            <w:r/>
            <w:r>
              <w:rPr>
                <w:rFonts w:ascii="Times New Roman" w:hAnsi="Times New Roman"/>
                <w:b w:val="0"/>
                <w:i w:val="0"/>
                <w:sz w:val="24"/>
              </w:rPr>
              <w:t>Total immunity, no accountability sequencing</w:t>
            </w:r>
          </w:p>
        </w:tc>
        <w:tc>
          <w:tcPr>
            <w:tcW w:type="dxa" w:w="3120"/>
          </w:tcPr>
          <w:p>
            <w:r/>
            <w:r>
              <w:rPr>
                <w:rFonts w:ascii="Times New Roman" w:hAnsi="Times New Roman"/>
                <w:b w:val="0"/>
                <w:i w:val="0"/>
                <w:sz w:val="24"/>
              </w:rPr>
              <w:t xml:space="preserve">Low immediate </w:t>
            </w:r>
            <w:r>
              <w:rPr>
                <w:rFonts w:ascii="Times New Roman" w:hAnsi="Times New Roman"/>
                <w:b w:val="0"/>
                <w:i/>
                <w:sz w:val="24"/>
              </w:rPr>
              <w:t>V</w:t>
            </w:r>
            <w:r>
              <w:rPr>
                <w:rFonts w:ascii="Times New Roman" w:hAnsi="Times New Roman"/>
                <w:b w:val="0"/>
                <w:i w:val="0"/>
                <w:sz w:val="24"/>
              </w:rPr>
              <w:t xml:space="preserve">; weak rule-of-law </w:t>
            </w:r>
            <w:r>
              <w:rPr>
                <w:rFonts w:ascii="Times New Roman" w:hAnsi="Times New Roman"/>
                <w:b w:val="0"/>
                <w:i/>
                <w:sz w:val="24"/>
              </w:rPr>
              <w:t>T</w:t>
            </w:r>
          </w:p>
        </w:tc>
      </w:tr>
      <w:tr>
        <w:tc>
          <w:tcPr>
            <w:tcW w:type="dxa" w:w="3120"/>
          </w:tcPr>
          <w:p>
            <w:r/>
            <w:r>
              <w:rPr>
                <w:rFonts w:ascii="Times New Roman" w:hAnsi="Times New Roman"/>
                <w:b w:val="0"/>
                <w:i w:val="0"/>
                <w:sz w:val="24"/>
              </w:rPr>
              <w:t>Guarantee betrayal</w:t>
            </w:r>
          </w:p>
        </w:tc>
        <w:tc>
          <w:tcPr>
            <w:tcW w:type="dxa" w:w="3120"/>
          </w:tcPr>
          <w:p>
            <w:r/>
            <w:r>
              <w:rPr>
                <w:rFonts w:ascii="Times New Roman" w:hAnsi="Times New Roman"/>
                <w:b w:val="0"/>
                <w:i w:val="0"/>
                <w:sz w:val="24"/>
              </w:rPr>
              <w:t>Exit promise revoked</w:t>
            </w:r>
          </w:p>
        </w:tc>
        <w:tc>
          <w:tcPr>
            <w:tcW w:type="dxa" w:w="3120"/>
          </w:tcPr>
          <w:p>
            <w:r/>
            <w:r>
              <w:rPr>
                <w:rFonts w:ascii="Times New Roman" w:hAnsi="Times New Roman"/>
                <w:b w:val="0"/>
                <w:i/>
                <w:sz w:val="24"/>
              </w:rPr>
              <w:t>H4</w:t>
            </w:r>
            <w:r>
              <w:rPr>
                <w:rFonts w:ascii="Times New Roman" w:hAnsi="Times New Roman"/>
                <w:b w:val="0"/>
                <w:i w:val="0"/>
                <w:sz w:val="24"/>
              </w:rPr>
              <w:t xml:space="preserve">: future non-cooperation; </w:t>
            </w:r>
            <w:r>
              <w:rPr>
                <w:rFonts w:ascii="Times New Roman" w:hAnsi="Times New Roman"/>
                <w:b w:val="0"/>
                <w:i/>
                <w:sz w:val="24"/>
              </w:rPr>
              <w:t>V</w:t>
            </w:r>
            <w:r>
              <w:rPr>
                <w:rFonts w:ascii="Times New Roman" w:hAnsi="Times New Roman"/>
                <w:b w:val="0"/>
                <w:i w:val="0"/>
                <w:sz w:val="24"/>
              </w:rPr>
              <w:t xml:space="preserve"> ↑ in later episodes</w:t>
            </w:r>
          </w:p>
        </w:tc>
      </w:tr>
    </w:tbl>
    <w:p>
      <w:pPr>
        <w:pStyle w:val="Heading3"/>
      </w:pPr>
      <w:r>
        <w:t>3.4 Scope Conditions</w:t>
      </w:r>
    </w:p>
    <w:p>
      <w:r>
        <w:rPr>
          <w:rFonts w:ascii="Times New Roman" w:hAnsi="Times New Roman"/>
          <w:b w:val="0"/>
          <w:i w:val="0"/>
          <w:sz w:val="24"/>
        </w:rPr>
        <w:t>AED applies most directly to personalist and patrimonial authoritarian regimes facing internal challenge. It is less determinative in military juntas with institutional succession rules, or in external regime-change wars where leader exit is militarily imposed. The framework is probabilistic: guarantees are neither sufficient nor always necessary, but they systematically alter incentives.</w:t>
      </w:r>
    </w:p>
    <w:p>
      <w:pPr>
        <w:pStyle w:val="Heading3"/>
      </w:pPr>
      <w:r>
        <w:t>3.5 Observable Indicators</w:t>
      </w:r>
    </w:p>
    <w:p>
      <w:r>
        <w:rPr>
          <w:rFonts w:ascii="Times New Roman" w:hAnsi="Times New Roman"/>
          <w:b w:val="0"/>
          <w:i w:val="0"/>
          <w:sz w:val="24"/>
        </w:rPr>
        <w:t xml:space="preserve">Operationalizing </w:t>
      </w:r>
      <w:r>
        <w:rPr>
          <w:rFonts w:ascii="Times New Roman" w:hAnsi="Times New Roman"/>
          <w:b w:val="0"/>
          <w:i/>
          <w:sz w:val="24"/>
        </w:rPr>
        <w:t>G</w:t>
      </w:r>
      <w:r>
        <w:rPr>
          <w:rFonts w:ascii="Times New Roman" w:hAnsi="Times New Roman"/>
          <w:b w:val="0"/>
          <w:i w:val="0"/>
          <w:sz w:val="24"/>
        </w:rPr>
        <w:t xml:space="preserve"> for case analysis requires transparent indicators: (1) written or publicly acknowledged amnesty or immunity provisions; (2) formal exile agreements with host-state recognition; (3) third-party guarantor statements (UN, AU, GCC, regional powers); (4) absence of ICC referral or explicit prosecution commitments during negotiation windows; (5) subsequent enforcement or reversal of guarantees. Violence (</w:t>
      </w:r>
      <w:r>
        <w:rPr>
          <w:rFonts w:ascii="Times New Roman" w:hAnsi="Times New Roman"/>
          <w:b w:val="0"/>
          <w:i/>
          <w:sz w:val="24"/>
        </w:rPr>
        <w:t>V</w:t>
      </w:r>
      <w:r>
        <w:rPr>
          <w:rFonts w:ascii="Times New Roman" w:hAnsi="Times New Roman"/>
          <w:b w:val="0"/>
          <w:i w:val="0"/>
          <w:sz w:val="24"/>
        </w:rPr>
        <w:t>) is assessed via battle deaths, Political Terror Scale scores, and documented security-force fatalities during defined crisis windows. Transition (</w:t>
      </w:r>
      <w:r>
        <w:rPr>
          <w:rFonts w:ascii="Times New Roman" w:hAnsi="Times New Roman"/>
          <w:b w:val="0"/>
          <w:i/>
          <w:sz w:val="24"/>
        </w:rPr>
        <w:t>T</w:t>
      </w:r>
      <w:r>
        <w:rPr>
          <w:rFonts w:ascii="Times New Roman" w:hAnsi="Times New Roman"/>
          <w:b w:val="0"/>
          <w:i w:val="0"/>
          <w:sz w:val="24"/>
        </w:rPr>
        <w:t>) is coded from regime type indices and expert assessments at five-year horizons post-crisis onset.</w:t>
      </w:r>
    </w:p>
    <w:p>
      <w:pPr>
        <w:pStyle w:val="Heading2"/>
      </w:pPr>
      <w:r>
        <w:t>4. Methodology</w:t>
      </w:r>
    </w:p>
    <w:p>
      <w:pPr>
        <w:pStyle w:val="Heading3"/>
      </w:pPr>
      <w:r>
        <w:t>4.1 Research Design</w:t>
      </w:r>
    </w:p>
    <w:p>
      <w:r>
        <w:rPr>
          <w:rFonts w:ascii="Times New Roman" w:hAnsi="Times New Roman"/>
          <w:b w:val="0"/>
          <w:i w:val="0"/>
          <w:sz w:val="24"/>
        </w:rPr>
        <w:t xml:space="preserve">The study employs a </w:t>
      </w:r>
      <w:r>
        <w:rPr>
          <w:rFonts w:ascii="Times New Roman" w:hAnsi="Times New Roman"/>
          <w:b/>
          <w:i w:val="0"/>
          <w:sz w:val="24"/>
        </w:rPr>
        <w:t>comparative qualitative case study</w:t>
      </w:r>
      <w:r>
        <w:rPr>
          <w:rFonts w:ascii="Times New Roman" w:hAnsi="Times New Roman"/>
          <w:b w:val="0"/>
          <w:i w:val="0"/>
          <w:sz w:val="24"/>
        </w:rPr>
        <w:t xml:space="preserve"> design with </w:t>
      </w:r>
      <w:r>
        <w:rPr>
          <w:rFonts w:ascii="Times New Roman" w:hAnsi="Times New Roman"/>
          <w:b/>
          <w:i w:val="0"/>
          <w:sz w:val="24"/>
        </w:rPr>
        <w:t>process-tracing</w:t>
      </w:r>
      <w:r>
        <w:rPr>
          <w:rFonts w:ascii="Times New Roman" w:hAnsi="Times New Roman"/>
          <w:b w:val="0"/>
          <w:i w:val="0"/>
          <w:sz w:val="24"/>
        </w:rPr>
        <w:t xml:space="preserve"> (Bennett &amp; Checkel, 2015; George &amp; Bennett, 2005). The objective is not statistical generalization but identification of causal mechanisms linking exit guarantee credibility to violence and transition outcomes across structurally comparable episodes of authoritarian crisis.</w:t>
      </w:r>
    </w:p>
    <w:p>
      <w:pPr>
        <w:pStyle w:val="Heading3"/>
      </w:pPr>
      <w:r>
        <w:t>4.2 Case Selection</w:t>
      </w:r>
    </w:p>
    <w:p>
      <w:r>
        <w:rPr>
          <w:rFonts w:ascii="Times New Roman" w:hAnsi="Times New Roman"/>
          <w:b w:val="0"/>
          <w:i w:val="0"/>
          <w:sz w:val="24"/>
        </w:rPr>
        <w:t xml:space="preserve">Eight cases were selected using </w:t>
      </w:r>
      <w:r>
        <w:rPr>
          <w:rFonts w:ascii="Times New Roman" w:hAnsi="Times New Roman"/>
          <w:b/>
          <w:i w:val="0"/>
          <w:sz w:val="24"/>
        </w:rPr>
        <w:t>most similar systems</w:t>
      </w:r>
      <w:r>
        <w:rPr>
          <w:rFonts w:ascii="Times New Roman" w:hAnsi="Times New Roman"/>
          <w:b w:val="0"/>
          <w:i w:val="0"/>
          <w:sz w:val="24"/>
        </w:rPr>
        <w:t xml:space="preserve"> and </w:t>
      </w:r>
      <w:r>
        <w:rPr>
          <w:rFonts w:ascii="Times New Roman" w:hAnsi="Times New Roman"/>
          <w:b/>
          <w:i w:val="0"/>
          <w:sz w:val="24"/>
        </w:rPr>
        <w:t>variation on the independent variable</w:t>
      </w:r>
      <w:r>
        <w:rPr>
          <w:rFonts w:ascii="Times New Roman" w:hAnsi="Times New Roman"/>
          <w:b w:val="0"/>
          <w:i w:val="0"/>
          <w:sz w:val="24"/>
        </w:rPr>
        <w:t xml:space="preserve"> logic: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val="0"/>
                <w:i w:val="0"/>
                <w:sz w:val="24"/>
              </w:rPr>
              <w:t>Case</w:t>
            </w:r>
          </w:p>
        </w:tc>
        <w:tc>
          <w:tcPr>
            <w:tcW w:type="dxa" w:w="1872"/>
          </w:tcPr>
          <w:p>
            <w:r/>
            <w:r>
              <w:rPr>
                <w:rFonts w:ascii="Times New Roman" w:hAnsi="Times New Roman"/>
                <w:b w:val="0"/>
                <w:i w:val="0"/>
                <w:sz w:val="24"/>
              </w:rPr>
              <w:t>Crisis period</w:t>
            </w:r>
          </w:p>
        </w:tc>
        <w:tc>
          <w:tcPr>
            <w:tcW w:type="dxa" w:w="1872"/>
          </w:tcPr>
          <w:p>
            <w:r/>
            <w:r>
              <w:rPr>
                <w:rFonts w:ascii="Times New Roman" w:hAnsi="Times New Roman"/>
                <w:b w:val="0"/>
                <w:i w:val="0"/>
                <w:sz w:val="24"/>
              </w:rPr>
              <w:t>Exit guarantee profile</w:t>
            </w:r>
          </w:p>
        </w:tc>
        <w:tc>
          <w:tcPr>
            <w:tcW w:type="dxa" w:w="1872"/>
          </w:tcPr>
          <w:p>
            <w:r/>
            <w:r>
              <w:rPr>
                <w:rFonts w:ascii="Times New Roman" w:hAnsi="Times New Roman"/>
                <w:b w:val="0"/>
                <w:i w:val="0"/>
                <w:sz w:val="24"/>
              </w:rPr>
              <w:t>Violence level</w:t>
            </w:r>
          </w:p>
        </w:tc>
        <w:tc>
          <w:tcPr>
            <w:tcW w:type="dxa" w:w="1872"/>
          </w:tcPr>
          <w:p>
            <w:r/>
            <w:r>
              <w:rPr>
                <w:rFonts w:ascii="Times New Roman" w:hAnsi="Times New Roman"/>
                <w:b w:val="0"/>
                <w:i w:val="0"/>
                <w:sz w:val="24"/>
              </w:rPr>
              <w:t>Transition outcome</w:t>
            </w:r>
          </w:p>
        </w:tc>
      </w:tr>
      <w:tr>
        <w:tc>
          <w:tcPr>
            <w:tcW w:type="dxa" w:w="1872"/>
          </w:tcPr>
          <w:p>
            <w:r/>
            <w:r>
              <w:rPr>
                <w:rFonts w:ascii="Times New Roman" w:hAnsi="Times New Roman"/>
                <w:b w:val="0"/>
                <w:i w:val="0"/>
                <w:sz w:val="24"/>
              </w:rPr>
              <w:t>South Africa</w:t>
            </w:r>
          </w:p>
        </w:tc>
        <w:tc>
          <w:tcPr>
            <w:tcW w:type="dxa" w:w="1872"/>
          </w:tcPr>
          <w:p>
            <w:r/>
            <w:r>
              <w:rPr>
                <w:rFonts w:ascii="Times New Roman" w:hAnsi="Times New Roman"/>
                <w:b w:val="0"/>
                <w:i w:val="0"/>
                <w:sz w:val="24"/>
              </w:rPr>
              <w:t>1990–1994</w:t>
            </w:r>
          </w:p>
        </w:tc>
        <w:tc>
          <w:tcPr>
            <w:tcW w:type="dxa" w:w="1872"/>
          </w:tcPr>
          <w:p>
            <w:r/>
            <w:r>
              <w:rPr>
                <w:rFonts w:ascii="Times New Roman" w:hAnsi="Times New Roman"/>
                <w:b w:val="0"/>
                <w:i w:val="0"/>
                <w:sz w:val="24"/>
              </w:rPr>
              <w:t>High sequenced (</w:t>
            </w:r>
            <w:r>
              <w:rPr>
                <w:rFonts w:ascii="Times New Roman" w:hAnsi="Times New Roman"/>
                <w:b w:val="0"/>
                <w:i/>
                <w:sz w:val="24"/>
              </w:rPr>
              <w:t>G₅</w:t>
            </w:r>
            <w:r>
              <w:rPr>
                <w:rFonts w:ascii="Times New Roman" w:hAnsi="Times New Roman"/>
                <w:b w:val="0"/>
                <w:i w:val="0"/>
                <w:sz w:val="24"/>
              </w:rPr>
              <w:t xml:space="preserve"> TRC; elite pact)</w:t>
            </w:r>
          </w:p>
        </w:tc>
        <w:tc>
          <w:tcPr>
            <w:tcW w:type="dxa" w:w="1872"/>
          </w:tcPr>
          <w:p>
            <w:r/>
            <w:r>
              <w:rPr>
                <w:rFonts w:ascii="Times New Roman" w:hAnsi="Times New Roman"/>
                <w:b w:val="0"/>
                <w:i w:val="0"/>
                <w:sz w:val="24"/>
              </w:rPr>
              <w:t>Moderate (low civil war)</w:t>
            </w:r>
          </w:p>
        </w:tc>
        <w:tc>
          <w:tcPr>
            <w:tcW w:type="dxa" w:w="1872"/>
          </w:tcPr>
          <w:p>
            <w:r/>
            <w:r>
              <w:rPr>
                <w:rFonts w:ascii="Times New Roman" w:hAnsi="Times New Roman"/>
                <w:b w:val="0"/>
                <w:i w:val="0"/>
                <w:sz w:val="24"/>
              </w:rPr>
              <w:t>Democratic consolidation</w:t>
            </w:r>
          </w:p>
        </w:tc>
      </w:tr>
      <w:tr>
        <w:tc>
          <w:tcPr>
            <w:tcW w:type="dxa" w:w="1872"/>
          </w:tcPr>
          <w:p>
            <w:r/>
            <w:r>
              <w:rPr>
                <w:rFonts w:ascii="Times New Roman" w:hAnsi="Times New Roman"/>
                <w:b w:val="0"/>
                <w:i w:val="0"/>
                <w:sz w:val="24"/>
              </w:rPr>
              <w:t>Chile</w:t>
            </w:r>
          </w:p>
        </w:tc>
        <w:tc>
          <w:tcPr>
            <w:tcW w:type="dxa" w:w="1872"/>
          </w:tcPr>
          <w:p>
            <w:r/>
            <w:r>
              <w:rPr>
                <w:rFonts w:ascii="Times New Roman" w:hAnsi="Times New Roman"/>
                <w:b w:val="0"/>
                <w:i w:val="0"/>
                <w:sz w:val="24"/>
              </w:rPr>
              <w:t>1988–1990+</w:t>
            </w:r>
          </w:p>
        </w:tc>
        <w:tc>
          <w:tcPr>
            <w:tcW w:type="dxa" w:w="1872"/>
          </w:tcPr>
          <w:p>
            <w:r/>
            <w:r>
              <w:rPr>
                <w:rFonts w:ascii="Times New Roman" w:hAnsi="Times New Roman"/>
                <w:b w:val="0"/>
                <w:i w:val="0"/>
                <w:sz w:val="24"/>
              </w:rPr>
              <w:t>Medium sequenced (Pinochet immunity contested)</w:t>
            </w:r>
          </w:p>
        </w:tc>
        <w:tc>
          <w:tcPr>
            <w:tcW w:type="dxa" w:w="1872"/>
          </w:tcPr>
          <w:p>
            <w:r/>
            <w:r>
              <w:rPr>
                <w:rFonts w:ascii="Times New Roman" w:hAnsi="Times New Roman"/>
                <w:b w:val="0"/>
                <w:i w:val="0"/>
                <w:sz w:val="24"/>
              </w:rPr>
              <w:t>Low post-plebiscite</w:t>
            </w:r>
          </w:p>
        </w:tc>
        <w:tc>
          <w:tcPr>
            <w:tcW w:type="dxa" w:w="1872"/>
          </w:tcPr>
          <w:p>
            <w:r/>
            <w:r>
              <w:rPr>
                <w:rFonts w:ascii="Times New Roman" w:hAnsi="Times New Roman"/>
                <w:b w:val="0"/>
                <w:i w:val="0"/>
                <w:sz w:val="24"/>
              </w:rPr>
              <w:t>Gradual democracy; delayed accountability</w:t>
            </w:r>
          </w:p>
        </w:tc>
      </w:tr>
      <w:tr>
        <w:tc>
          <w:tcPr>
            <w:tcW w:type="dxa" w:w="1872"/>
          </w:tcPr>
          <w:p>
            <w:r/>
            <w:r>
              <w:rPr>
                <w:rFonts w:ascii="Times New Roman" w:hAnsi="Times New Roman"/>
                <w:b w:val="0"/>
                <w:i w:val="0"/>
                <w:sz w:val="24"/>
              </w:rPr>
              <w:t>Spain</w:t>
            </w:r>
          </w:p>
        </w:tc>
        <w:tc>
          <w:tcPr>
            <w:tcW w:type="dxa" w:w="1872"/>
          </w:tcPr>
          <w:p>
            <w:r/>
            <w:r>
              <w:rPr>
                <w:rFonts w:ascii="Times New Roman" w:hAnsi="Times New Roman"/>
                <w:b w:val="0"/>
                <w:i w:val="0"/>
                <w:sz w:val="24"/>
              </w:rPr>
              <w:t>1975–1978</w:t>
            </w:r>
          </w:p>
        </w:tc>
        <w:tc>
          <w:tcPr>
            <w:tcW w:type="dxa" w:w="1872"/>
          </w:tcPr>
          <w:p>
            <w:r/>
            <w:r>
              <w:rPr>
                <w:rFonts w:ascii="Times New Roman" w:hAnsi="Times New Roman"/>
                <w:b w:val="0"/>
                <w:i w:val="0"/>
                <w:sz w:val="24"/>
              </w:rPr>
              <w:t>High impunity (Amnesty Law; pact of forgetting)</w:t>
            </w:r>
          </w:p>
        </w:tc>
        <w:tc>
          <w:tcPr>
            <w:tcW w:type="dxa" w:w="1872"/>
          </w:tcPr>
          <w:p>
            <w:r/>
            <w:r>
              <w:rPr>
                <w:rFonts w:ascii="Times New Roman" w:hAnsi="Times New Roman"/>
                <w:b w:val="0"/>
                <w:i w:val="0"/>
                <w:sz w:val="24"/>
              </w:rPr>
              <w:t>Very low</w:t>
            </w:r>
          </w:p>
        </w:tc>
        <w:tc>
          <w:tcPr>
            <w:tcW w:type="dxa" w:w="1872"/>
          </w:tcPr>
          <w:p>
            <w:r/>
            <w:r>
              <w:rPr>
                <w:rFonts w:ascii="Times New Roman" w:hAnsi="Times New Roman"/>
                <w:b w:val="0"/>
                <w:i w:val="0"/>
                <w:sz w:val="24"/>
              </w:rPr>
              <w:t>Stable democracy; delayed justice</w:t>
            </w:r>
          </w:p>
        </w:tc>
      </w:tr>
      <w:tr>
        <w:tc>
          <w:tcPr>
            <w:tcW w:type="dxa" w:w="1872"/>
          </w:tcPr>
          <w:p>
            <w:r/>
            <w:r>
              <w:rPr>
                <w:rFonts w:ascii="Times New Roman" w:hAnsi="Times New Roman"/>
                <w:b w:val="0"/>
                <w:i w:val="0"/>
                <w:sz w:val="24"/>
              </w:rPr>
              <w:t>Tunisia</w:t>
            </w:r>
          </w:p>
        </w:tc>
        <w:tc>
          <w:tcPr>
            <w:tcW w:type="dxa" w:w="1872"/>
          </w:tcPr>
          <w:p>
            <w:r/>
            <w:r>
              <w:rPr>
                <w:rFonts w:ascii="Times New Roman" w:hAnsi="Times New Roman"/>
                <w:b w:val="0"/>
                <w:i w:val="0"/>
                <w:sz w:val="24"/>
              </w:rPr>
              <w:t>2010–2014</w:t>
            </w:r>
          </w:p>
        </w:tc>
        <w:tc>
          <w:tcPr>
            <w:tcW w:type="dxa" w:w="1872"/>
          </w:tcPr>
          <w:p>
            <w:r/>
            <w:r>
              <w:rPr>
                <w:rFonts w:ascii="Times New Roman" w:hAnsi="Times New Roman"/>
                <w:b w:val="0"/>
                <w:i w:val="0"/>
                <w:sz w:val="24"/>
              </w:rPr>
              <w:t>Medium (</w:t>
            </w:r>
            <w:r>
              <w:rPr>
                <w:rFonts w:ascii="Times New Roman" w:hAnsi="Times New Roman"/>
                <w:b w:val="0"/>
                <w:i/>
                <w:sz w:val="24"/>
              </w:rPr>
              <w:t>G₂</w:t>
            </w:r>
            <w:r>
              <w:rPr>
                <w:rFonts w:ascii="Times New Roman" w:hAnsi="Times New Roman"/>
                <w:b w:val="0"/>
                <w:i w:val="0"/>
                <w:sz w:val="24"/>
              </w:rPr>
              <w:t xml:space="preserve"> Ben Ali exile to Saudi Arabia)</w:t>
            </w:r>
          </w:p>
        </w:tc>
        <w:tc>
          <w:tcPr>
            <w:tcW w:type="dxa" w:w="1872"/>
          </w:tcPr>
          <w:p>
            <w:r/>
            <w:r>
              <w:rPr>
                <w:rFonts w:ascii="Times New Roman" w:hAnsi="Times New Roman"/>
                <w:b w:val="0"/>
                <w:i w:val="0"/>
                <w:sz w:val="24"/>
              </w:rPr>
              <w:t>Low</w:t>
            </w:r>
          </w:p>
        </w:tc>
        <w:tc>
          <w:tcPr>
            <w:tcW w:type="dxa" w:w="1872"/>
          </w:tcPr>
          <w:p>
            <w:r/>
            <w:r>
              <w:rPr>
                <w:rFonts w:ascii="Times New Roman" w:hAnsi="Times New Roman"/>
                <w:b w:val="0"/>
                <w:i w:val="0"/>
                <w:sz w:val="24"/>
              </w:rPr>
              <w:t>Competitive authoritarian relapse</w:t>
            </w:r>
          </w:p>
        </w:tc>
      </w:tr>
      <w:tr>
        <w:tc>
          <w:tcPr>
            <w:tcW w:type="dxa" w:w="1872"/>
          </w:tcPr>
          <w:p>
            <w:r/>
            <w:r>
              <w:rPr>
                <w:rFonts w:ascii="Times New Roman" w:hAnsi="Times New Roman"/>
                <w:b w:val="0"/>
                <w:i w:val="0"/>
                <w:sz w:val="24"/>
              </w:rPr>
              <w:t>Egypt</w:t>
            </w:r>
          </w:p>
        </w:tc>
        <w:tc>
          <w:tcPr>
            <w:tcW w:type="dxa" w:w="1872"/>
          </w:tcPr>
          <w:p>
            <w:r/>
            <w:r>
              <w:rPr>
                <w:rFonts w:ascii="Times New Roman" w:hAnsi="Times New Roman"/>
                <w:b w:val="0"/>
                <w:i w:val="0"/>
                <w:sz w:val="24"/>
              </w:rPr>
              <w:t>2011–2013</w:t>
            </w:r>
          </w:p>
        </w:tc>
        <w:tc>
          <w:tcPr>
            <w:tcW w:type="dxa" w:w="1872"/>
          </w:tcPr>
          <w:p>
            <w:r/>
            <w:r>
              <w:rPr>
                <w:rFonts w:ascii="Times New Roman" w:hAnsi="Times New Roman"/>
                <w:b w:val="0"/>
                <w:i w:val="0"/>
                <w:sz w:val="24"/>
              </w:rPr>
              <w:t>Low (</w:t>
            </w:r>
            <w:r>
              <w:rPr>
                <w:rFonts w:ascii="Times New Roman" w:hAnsi="Times New Roman"/>
                <w:b w:val="0"/>
                <w:i/>
                <w:sz w:val="24"/>
              </w:rPr>
              <w:t>G</w:t>
            </w:r>
            <w:r>
              <w:rPr>
                <w:rFonts w:ascii="Times New Roman" w:hAnsi="Times New Roman"/>
                <w:b w:val="0"/>
                <w:i w:val="0"/>
                <w:sz w:val="24"/>
              </w:rPr>
              <w:t xml:space="preserve"> absent; Mubarak prosecuted)</w:t>
            </w:r>
          </w:p>
        </w:tc>
        <w:tc>
          <w:tcPr>
            <w:tcW w:type="dxa" w:w="1872"/>
          </w:tcPr>
          <w:p>
            <w:r/>
            <w:r>
              <w:rPr>
                <w:rFonts w:ascii="Times New Roman" w:hAnsi="Times New Roman"/>
                <w:b w:val="0"/>
                <w:i w:val="0"/>
                <w:sz w:val="24"/>
              </w:rPr>
              <w:t>Moderate</w:t>
            </w:r>
          </w:p>
        </w:tc>
        <w:tc>
          <w:tcPr>
            <w:tcW w:type="dxa" w:w="1872"/>
          </w:tcPr>
          <w:p>
            <w:r/>
            <w:r>
              <w:rPr>
                <w:rFonts w:ascii="Times New Roman" w:hAnsi="Times New Roman"/>
                <w:b w:val="0"/>
                <w:i w:val="0"/>
                <w:sz w:val="24"/>
              </w:rPr>
              <w:t>Authoritarian restoration</w:t>
            </w:r>
          </w:p>
        </w:tc>
      </w:tr>
      <w:tr>
        <w:tc>
          <w:tcPr>
            <w:tcW w:type="dxa" w:w="1872"/>
          </w:tcPr>
          <w:p>
            <w:r/>
            <w:r>
              <w:rPr>
                <w:rFonts w:ascii="Times New Roman" w:hAnsi="Times New Roman"/>
                <w:b w:val="0"/>
                <w:i w:val="0"/>
                <w:sz w:val="24"/>
              </w:rPr>
              <w:t>Libya</w:t>
            </w:r>
          </w:p>
        </w:tc>
        <w:tc>
          <w:tcPr>
            <w:tcW w:type="dxa" w:w="1872"/>
          </w:tcPr>
          <w:p>
            <w:r/>
            <w:r>
              <w:rPr>
                <w:rFonts w:ascii="Times New Roman" w:hAnsi="Times New Roman"/>
                <w:b w:val="0"/>
                <w:i w:val="0"/>
                <w:sz w:val="24"/>
              </w:rPr>
              <w:t>2011</w:t>
            </w:r>
          </w:p>
        </w:tc>
        <w:tc>
          <w:tcPr>
            <w:tcW w:type="dxa" w:w="1872"/>
          </w:tcPr>
          <w:p>
            <w:r/>
            <w:r>
              <w:rPr>
                <w:rFonts w:ascii="Times New Roman" w:hAnsi="Times New Roman"/>
                <w:b w:val="0"/>
                <w:i w:val="0"/>
                <w:sz w:val="24"/>
              </w:rPr>
              <w:t>None (</w:t>
            </w:r>
            <w:r>
              <w:rPr>
                <w:rFonts w:ascii="Times New Roman" w:hAnsi="Times New Roman"/>
                <w:b w:val="0"/>
                <w:i/>
                <w:sz w:val="24"/>
              </w:rPr>
              <w:t>G</w:t>
            </w:r>
            <w:r>
              <w:rPr>
                <w:rFonts w:ascii="Times New Roman" w:hAnsi="Times New Roman"/>
                <w:b w:val="0"/>
                <w:i w:val="0"/>
                <w:sz w:val="24"/>
              </w:rPr>
              <w:t xml:space="preserve"> = 0; ICC; military defeat)</w:t>
            </w:r>
          </w:p>
        </w:tc>
        <w:tc>
          <w:tcPr>
            <w:tcW w:type="dxa" w:w="1872"/>
          </w:tcPr>
          <w:p>
            <w:r/>
            <w:r>
              <w:rPr>
                <w:rFonts w:ascii="Times New Roman" w:hAnsi="Times New Roman"/>
                <w:b w:val="0"/>
                <w:i w:val="0"/>
                <w:sz w:val="24"/>
              </w:rPr>
              <w:t>Very high</w:t>
            </w:r>
          </w:p>
        </w:tc>
        <w:tc>
          <w:tcPr>
            <w:tcW w:type="dxa" w:w="1872"/>
          </w:tcPr>
          <w:p>
            <w:r/>
            <w:r>
              <w:rPr>
                <w:rFonts w:ascii="Times New Roman" w:hAnsi="Times New Roman"/>
                <w:b w:val="0"/>
                <w:i w:val="0"/>
                <w:sz w:val="24"/>
              </w:rPr>
              <w:t>State collapse</w:t>
            </w:r>
          </w:p>
        </w:tc>
      </w:tr>
      <w:tr>
        <w:tc>
          <w:tcPr>
            <w:tcW w:type="dxa" w:w="1872"/>
          </w:tcPr>
          <w:p>
            <w:r/>
            <w:r>
              <w:rPr>
                <w:rFonts w:ascii="Times New Roman" w:hAnsi="Times New Roman"/>
                <w:b w:val="0"/>
                <w:i w:val="0"/>
                <w:sz w:val="24"/>
              </w:rPr>
              <w:t>Syria</w:t>
            </w:r>
          </w:p>
        </w:tc>
        <w:tc>
          <w:tcPr>
            <w:tcW w:type="dxa" w:w="1872"/>
          </w:tcPr>
          <w:p>
            <w:r/>
            <w:r>
              <w:rPr>
                <w:rFonts w:ascii="Times New Roman" w:hAnsi="Times New Roman"/>
                <w:b w:val="0"/>
                <w:i w:val="0"/>
                <w:sz w:val="24"/>
              </w:rPr>
              <w:t>2011–present</w:t>
            </w:r>
          </w:p>
        </w:tc>
        <w:tc>
          <w:tcPr>
            <w:tcW w:type="dxa" w:w="1872"/>
          </w:tcPr>
          <w:p>
            <w:r/>
            <w:r>
              <w:rPr>
                <w:rFonts w:ascii="Times New Roman" w:hAnsi="Times New Roman"/>
                <w:b w:val="0"/>
                <w:i w:val="0"/>
                <w:sz w:val="24"/>
              </w:rPr>
              <w:t>None (Assad survival strategy)</w:t>
            </w:r>
          </w:p>
        </w:tc>
        <w:tc>
          <w:tcPr>
            <w:tcW w:type="dxa" w:w="1872"/>
          </w:tcPr>
          <w:p>
            <w:r/>
            <w:r>
              <w:rPr>
                <w:rFonts w:ascii="Times New Roman" w:hAnsi="Times New Roman"/>
                <w:b w:val="0"/>
                <w:i w:val="0"/>
                <w:sz w:val="24"/>
              </w:rPr>
              <w:t>Very high</w:t>
            </w:r>
          </w:p>
        </w:tc>
        <w:tc>
          <w:tcPr>
            <w:tcW w:type="dxa" w:w="1872"/>
          </w:tcPr>
          <w:p>
            <w:r/>
            <w:r>
              <w:rPr>
                <w:rFonts w:ascii="Times New Roman" w:hAnsi="Times New Roman"/>
                <w:b w:val="0"/>
                <w:i w:val="0"/>
                <w:sz w:val="24"/>
              </w:rPr>
              <w:t>Protracted civil war</w:t>
            </w:r>
          </w:p>
        </w:tc>
      </w:tr>
      <w:tr>
        <w:tc>
          <w:tcPr>
            <w:tcW w:type="dxa" w:w="1872"/>
          </w:tcPr>
          <w:p>
            <w:r/>
            <w:r>
              <w:rPr>
                <w:rFonts w:ascii="Times New Roman" w:hAnsi="Times New Roman"/>
                <w:b w:val="0"/>
                <w:i w:val="0"/>
                <w:sz w:val="24"/>
              </w:rPr>
              <w:t>Yemen</w:t>
            </w:r>
          </w:p>
        </w:tc>
        <w:tc>
          <w:tcPr>
            <w:tcW w:type="dxa" w:w="1872"/>
          </w:tcPr>
          <w:p>
            <w:r/>
            <w:r>
              <w:rPr>
                <w:rFonts w:ascii="Times New Roman" w:hAnsi="Times New Roman"/>
                <w:b w:val="0"/>
                <w:i w:val="0"/>
                <w:sz w:val="24"/>
              </w:rPr>
              <w:t>2011–present</w:t>
            </w:r>
          </w:p>
        </w:tc>
        <w:tc>
          <w:tcPr>
            <w:tcW w:type="dxa" w:w="1872"/>
          </w:tcPr>
          <w:p>
            <w:r/>
            <w:r>
              <w:rPr>
                <w:rFonts w:ascii="Times New Roman" w:hAnsi="Times New Roman"/>
                <w:b w:val="0"/>
                <w:i w:val="0"/>
                <w:sz w:val="24"/>
              </w:rPr>
              <w:t>Low/contested (Saleh GCC deal violated)</w:t>
            </w:r>
          </w:p>
        </w:tc>
        <w:tc>
          <w:tcPr>
            <w:tcW w:type="dxa" w:w="1872"/>
          </w:tcPr>
          <w:p>
            <w:r/>
            <w:r>
              <w:rPr>
                <w:rFonts w:ascii="Times New Roman" w:hAnsi="Times New Roman"/>
                <w:b w:val="0"/>
                <w:i w:val="0"/>
                <w:sz w:val="24"/>
              </w:rPr>
              <w:t>Very high</w:t>
            </w:r>
          </w:p>
        </w:tc>
        <w:tc>
          <w:tcPr>
            <w:tcW w:type="dxa" w:w="1872"/>
          </w:tcPr>
          <w:p>
            <w:r/>
            <w:r>
              <w:rPr>
                <w:rFonts w:ascii="Times New Roman" w:hAnsi="Times New Roman"/>
                <w:b w:val="0"/>
                <w:i w:val="0"/>
                <w:sz w:val="24"/>
              </w:rPr>
              <w:t>Fragmented conflict</w:t>
            </w:r>
          </w:p>
        </w:tc>
      </w:tr>
    </w:tbl>
    <w:p>
      <w:r>
        <w:rPr>
          <w:rFonts w:ascii="Times New Roman" w:hAnsi="Times New Roman"/>
          <w:b w:val="0"/>
          <w:i w:val="0"/>
          <w:sz w:val="24"/>
        </w:rPr>
        <w:t xml:space="preserve">Cases span four regions and vary on </w:t>
      </w:r>
      <w:r>
        <w:rPr>
          <w:rFonts w:ascii="Times New Roman" w:hAnsi="Times New Roman"/>
          <w:b w:val="0"/>
          <w:i/>
          <w:sz w:val="24"/>
        </w:rPr>
        <w:t>G</w:t>
      </w:r>
      <w:r>
        <w:rPr>
          <w:rFonts w:ascii="Times New Roman" w:hAnsi="Times New Roman"/>
          <w:b w:val="0"/>
          <w:i w:val="0"/>
          <w:sz w:val="24"/>
        </w:rPr>
        <w:t xml:space="preserve">, </w:t>
      </w:r>
      <w:r>
        <w:rPr>
          <w:rFonts w:ascii="Times New Roman" w:hAnsi="Times New Roman"/>
          <w:b w:val="0"/>
          <w:i/>
          <w:sz w:val="24"/>
        </w:rPr>
        <w:t>V</w:t>
      </w:r>
      <w:r>
        <w:rPr>
          <w:rFonts w:ascii="Times New Roman" w:hAnsi="Times New Roman"/>
          <w:b w:val="0"/>
          <w:i w:val="0"/>
          <w:sz w:val="24"/>
        </w:rPr>
        <w:t xml:space="preserve">, and </w:t>
      </w:r>
      <w:r>
        <w:rPr>
          <w:rFonts w:ascii="Times New Roman" w:hAnsi="Times New Roman"/>
          <w:b w:val="0"/>
          <w:i/>
          <w:sz w:val="24"/>
        </w:rPr>
        <w:t>T</w:t>
      </w:r>
      <w:r>
        <w:rPr>
          <w:rFonts w:ascii="Times New Roman" w:hAnsi="Times New Roman"/>
          <w:b w:val="0"/>
          <w:i w:val="0"/>
          <w:sz w:val="24"/>
        </w:rPr>
        <w:t>, enabling within-mechanism comparison. Middle Eastern cases (Tunisia, Egypt, Libya, Syria, Yemen) anchor contemporary relevance; Southern European and Southern African cases provide successful and sequenced comparators.</w:t>
      </w:r>
    </w:p>
    <w:p>
      <w:pPr>
        <w:pStyle w:val="Heading3"/>
      </w:pPr>
      <w:r>
        <w:t>4.3 Data and Evidence</w:t>
      </w:r>
    </w:p>
    <w:p>
      <w:r>
        <w:rPr>
          <w:rFonts w:ascii="Times New Roman" w:hAnsi="Times New Roman"/>
          <w:b w:val="0"/>
          <w:i w:val="0"/>
          <w:sz w:val="24"/>
        </w:rPr>
        <w:t>Evidence draws on secondary historiography, truth commission reports, UN mediation documents, human rights datasets (UCDP; Political Terror Scale), and peer-reviewed democratization studies. Process-tracing examines decision points: ruler statements, mediator proposals, amnesty/exile agreements, and subsequent enforcement or reversal.</w:t>
      </w:r>
    </w:p>
    <w:p>
      <w:r>
        <w:rPr>
          <w:rFonts w:ascii="Times New Roman" w:hAnsi="Times New Roman"/>
          <w:b w:val="0"/>
          <w:i w:val="0"/>
          <w:sz w:val="24"/>
        </w:rPr>
        <w:t xml:space="preserve">Following Bennett and Checkel (2015), each case applies </w:t>
      </w:r>
      <w:r>
        <w:rPr>
          <w:rFonts w:ascii="Times New Roman" w:hAnsi="Times New Roman"/>
          <w:b/>
          <w:i w:val="0"/>
          <w:sz w:val="24"/>
        </w:rPr>
        <w:t>hoop tests</w:t>
      </w:r>
      <w:r>
        <w:rPr>
          <w:rFonts w:ascii="Times New Roman" w:hAnsi="Times New Roman"/>
          <w:b w:val="0"/>
          <w:i w:val="0"/>
          <w:sz w:val="24"/>
        </w:rPr>
        <w:t xml:space="preserve"> (guarantee absence predicts escalation) and </w:t>
      </w:r>
      <w:r>
        <w:rPr>
          <w:rFonts w:ascii="Times New Roman" w:hAnsi="Times New Roman"/>
          <w:b/>
          <w:i w:val="0"/>
          <w:sz w:val="24"/>
        </w:rPr>
        <w:t>smoking gun probes</w:t>
      </w:r>
      <w:r>
        <w:rPr>
          <w:rFonts w:ascii="Times New Roman" w:hAnsi="Times New Roman"/>
          <w:b w:val="0"/>
          <w:i w:val="0"/>
          <w:sz w:val="24"/>
        </w:rPr>
        <w:t xml:space="preserve"> (documents or statements linking ruler decisions explicitly to exit fear). For South Africa, archival evidence of National Party negotiators' immunity concerns constitutes a smoking gun; for Libya, ICC referral timing relative to mediation contacts serves a similar function. Negative cases—Spain's low violence despite Francoist elite continuity—are analyzed for scope conditions rather than falsification.</w:t>
      </w:r>
    </w:p>
    <w:p>
      <w:pPr>
        <w:pStyle w:val="Heading3"/>
      </w:pPr>
      <w:r>
        <w:t>4.4 Analytic Narrative Standards</w:t>
      </w:r>
    </w:p>
    <w:p>
      <w:r>
        <w:rPr>
          <w:rFonts w:ascii="Times New Roman" w:hAnsi="Times New Roman"/>
          <w:b w:val="0"/>
          <w:i w:val="0"/>
          <w:sz w:val="24"/>
        </w:rPr>
        <w:t xml:space="preserve">Analytic narratives follow George and Bennett's (2005) standards: explicit causal claims, temporal ordering, and consideration of alternative explanations (economic shock, ethnic cleavage, external intervention). Where confounders dominate—Syria's internationalized war—AED claims are limited to </w:t>
      </w:r>
      <w:r>
        <w:rPr>
          <w:rFonts w:ascii="Times New Roman" w:hAnsi="Times New Roman"/>
          <w:b/>
          <w:i w:val="0"/>
          <w:sz w:val="24"/>
        </w:rPr>
        <w:t>leader-level bargaining constraints</w:t>
      </w:r>
      <w:r>
        <w:rPr>
          <w:rFonts w:ascii="Times New Roman" w:hAnsi="Times New Roman"/>
          <w:b w:val="0"/>
          <w:i w:val="0"/>
          <w:sz w:val="24"/>
        </w:rPr>
        <w:t xml:space="preserve"> rather than full war termination.</w:t>
      </w:r>
    </w:p>
    <w:p>
      <w:pPr>
        <w:pStyle w:val="Heading3"/>
      </w:pPr>
      <w:r>
        <w:t>4.5 Limitations</w:t>
      </w:r>
    </w:p>
    <w:p>
      <w:r>
        <w:rPr>
          <w:rFonts w:ascii="Times New Roman" w:hAnsi="Times New Roman"/>
          <w:b w:val="0"/>
          <w:i w:val="0"/>
          <w:sz w:val="24"/>
        </w:rPr>
        <w:t xml:space="preserve">Case selection limits external validity. Measurement of </w:t>
      </w:r>
      <w:r>
        <w:rPr>
          <w:rFonts w:ascii="Times New Roman" w:hAnsi="Times New Roman"/>
          <w:b w:val="0"/>
          <w:i/>
          <w:sz w:val="24"/>
        </w:rPr>
        <w:t>G</w:t>
      </w:r>
      <w:r>
        <w:rPr>
          <w:rFonts w:ascii="Times New Roman" w:hAnsi="Times New Roman"/>
          <w:b w:val="0"/>
          <w:i w:val="0"/>
          <w:sz w:val="24"/>
        </w:rPr>
        <w:t xml:space="preserve"> credibility involves judgment about counterfactual enforcement. Confounding variables—oil rents, geopolitical intervention, ethnic fragmentation—are addressed through within-case plausibility probes rather than eliminated statistically.</w:t>
      </w:r>
    </w:p>
    <w:p>
      <w:pPr>
        <w:pStyle w:val="Heading2"/>
      </w:pPr>
      <w:r>
        <w:t>5. Comparative Case Analysis</w:t>
      </w:r>
    </w:p>
    <w:p>
      <w:pPr>
        <w:pStyle w:val="Heading3"/>
      </w:pPr>
      <w:r>
        <w:t>5.1 South Africa: Sequenced Guarantees and Negotiated Transition</w:t>
      </w:r>
    </w:p>
    <w:p>
      <w:r>
        <w:rPr>
          <w:rFonts w:ascii="Times New Roman" w:hAnsi="Times New Roman"/>
          <w:b w:val="0"/>
          <w:i w:val="0"/>
          <w:sz w:val="24"/>
        </w:rPr>
        <w:t xml:space="preserve">South Africa approximates the </w:t>
      </w:r>
      <w:r>
        <w:rPr>
          <w:rFonts w:ascii="Times New Roman" w:hAnsi="Times New Roman"/>
          <w:b/>
          <w:i w:val="0"/>
          <w:sz w:val="24"/>
        </w:rPr>
        <w:t>medium–high sequenced guarantee</w:t>
      </w:r>
      <w:r>
        <w:rPr>
          <w:rFonts w:ascii="Times New Roman" w:hAnsi="Times New Roman"/>
          <w:b w:val="0"/>
          <w:i w:val="0"/>
          <w:sz w:val="24"/>
        </w:rPr>
        <w:t xml:space="preserve"> model. De Klerk's 1990 reforms occurred amid ongoing violence, but National Party elites received implicit assurances that wholesale victors' justice would not follow immediately. The 1993 interim constitution and 1995 Truth and Reconciliation Commission (TRC) institutionalized conditional amnesty: disclosure in exchange for legal immunity (Hayner, 2011; Gibson, 2004). Violence did not disappear—Boipatong, Chris Hani's assassination, and IFP–ANC conflict continued—but existential exit costs for regime elites fell sufficiently to sustain talks.</w:t>
      </w:r>
    </w:p>
    <w:p>
      <w:r>
        <w:rPr>
          <w:rFonts w:ascii="Times New Roman" w:hAnsi="Times New Roman"/>
          <w:b w:val="0"/>
          <w:i w:val="0"/>
          <w:sz w:val="24"/>
        </w:rPr>
        <w:t xml:space="preserve">Process-tracing supports </w:t>
      </w:r>
      <w:r>
        <w:rPr>
          <w:rFonts w:ascii="Times New Roman" w:hAnsi="Times New Roman"/>
          <w:b/>
          <w:i w:val="0"/>
          <w:sz w:val="24"/>
        </w:rPr>
        <w:t>H2</w:t>
      </w:r>
      <w:r>
        <w:rPr>
          <w:rFonts w:ascii="Times New Roman" w:hAnsi="Times New Roman"/>
          <w:b w:val="0"/>
          <w:i w:val="0"/>
          <w:sz w:val="24"/>
        </w:rPr>
        <w:t xml:space="preserve">: sequenced </w:t>
      </w:r>
      <w:r>
        <w:rPr>
          <w:rFonts w:ascii="Times New Roman" w:hAnsi="Times New Roman"/>
          <w:b w:val="0"/>
          <w:i/>
          <w:sz w:val="24"/>
        </w:rPr>
        <w:t>G₅</w:t>
      </w:r>
      <w:r>
        <w:rPr>
          <w:rFonts w:ascii="Times New Roman" w:hAnsi="Times New Roman"/>
          <w:b w:val="0"/>
          <w:i w:val="0"/>
          <w:sz w:val="24"/>
        </w:rPr>
        <w:t xml:space="preserve"> reduced incentives for security-sector scorched-earth resistance compared to scenarios where prosecution was immediate and certain. De Klerk's calculus explicitly referenced fears of revolutionary justice; ANC leadership, conversely, required assurance that apartheid security chiefs would not annihilate the transition (Gibson, 2004). The TRC's conditional amnesty—Applicants had to disclose political crimes fully; amnesty was not automatic for all offenses—created a middle path between victors' courts and blanket immunity.</w:t>
      </w:r>
    </w:p>
    <w:p>
      <w:r>
        <w:rPr>
          <w:rFonts w:ascii="Times New Roman" w:hAnsi="Times New Roman"/>
          <w:b/>
          <w:i w:val="0"/>
          <w:sz w:val="24"/>
        </w:rPr>
        <w:t>H3</w:t>
      </w:r>
      <w:r>
        <w:rPr>
          <w:rFonts w:ascii="Times New Roman" w:hAnsi="Times New Roman"/>
          <w:b w:val="0"/>
          <w:i w:val="0"/>
          <w:sz w:val="24"/>
        </w:rPr>
        <w:t xml:space="preserve"> partially applies: delayed accountability aided consolidation but left structural inequality and impunity grievances among victims who viewed elite pact as transactional. South Africa demonstrates that guarantees need not be morally unlimited to be politically effective, but sequenced design must retain victim voice to preserve legitimacy (Hayner, 2011).</w:t>
      </w:r>
    </w:p>
    <w:p>
      <w:pPr>
        <w:pStyle w:val="Heading3"/>
      </w:pPr>
      <w:r>
        <w:t>5.2 Chile: Plebiscite Transition and Contested Immunity</w:t>
      </w:r>
    </w:p>
    <w:p>
      <w:r>
        <w:rPr>
          <w:rFonts w:ascii="Times New Roman" w:hAnsi="Times New Roman"/>
          <w:b w:val="0"/>
          <w:i w:val="0"/>
          <w:sz w:val="24"/>
        </w:rPr>
        <w:t xml:space="preserve">Chile combines institutional exit (1988 plebiscite loss) with </w:t>
      </w:r>
      <w:r>
        <w:rPr>
          <w:rFonts w:ascii="Times New Roman" w:hAnsi="Times New Roman"/>
          <w:b/>
          <w:i w:val="0"/>
          <w:sz w:val="24"/>
        </w:rPr>
        <w:t>contested medium guarantees</w:t>
      </w:r>
      <w:r>
        <w:rPr>
          <w:rFonts w:ascii="Times New Roman" w:hAnsi="Times New Roman"/>
          <w:b w:val="0"/>
          <w:i w:val="0"/>
          <w:sz w:val="24"/>
        </w:rPr>
        <w:t xml:space="preserve">. Pinochet retained army command until 1998; the 1978 amnesty and transitional calendar limited immediate prosecution. Repression declined sharply post-1990, supporting </w:t>
      </w:r>
      <w:r>
        <w:rPr>
          <w:rFonts w:ascii="Times New Roman" w:hAnsi="Times New Roman"/>
          <w:b/>
          <w:i w:val="0"/>
          <w:sz w:val="24"/>
        </w:rPr>
        <w:t>H1</w:t>
      </w:r>
      <w:r>
        <w:rPr>
          <w:rFonts w:ascii="Times New Roman" w:hAnsi="Times New Roman"/>
          <w:b w:val="0"/>
          <w:i w:val="0"/>
          <w:sz w:val="24"/>
        </w:rPr>
        <w:t xml:space="preserve"> contrast with cases lacking any guarantee. Subsequent legal challenges—London arrest, domestic trials—illustrate </w:t>
      </w:r>
      <w:r>
        <w:rPr>
          <w:rFonts w:ascii="Times New Roman" w:hAnsi="Times New Roman"/>
          <w:b/>
          <w:i w:val="0"/>
          <w:sz w:val="24"/>
        </w:rPr>
        <w:t>sequenced accountability</w:t>
      </w:r>
      <w:r>
        <w:rPr>
          <w:rFonts w:ascii="Times New Roman" w:hAnsi="Times New Roman"/>
          <w:b w:val="0"/>
          <w:i w:val="0"/>
          <w:sz w:val="24"/>
        </w:rPr>
        <w:t xml:space="preserve"> without initial existential blockage.</w:t>
      </w:r>
    </w:p>
    <w:p>
      <w:r>
        <w:rPr>
          <w:rFonts w:ascii="Times New Roman" w:hAnsi="Times New Roman"/>
          <w:b w:val="0"/>
          <w:i w:val="0"/>
          <w:sz w:val="24"/>
        </w:rPr>
        <w:t xml:space="preserve">Pinochet's eventual accountability also shows </w:t>
      </w:r>
      <w:r>
        <w:rPr>
          <w:rFonts w:ascii="Times New Roman" w:hAnsi="Times New Roman"/>
          <w:b/>
          <w:i w:val="0"/>
          <w:sz w:val="24"/>
        </w:rPr>
        <w:t>H4</w:t>
      </w:r>
      <w:r>
        <w:rPr>
          <w:rFonts w:ascii="Times New Roman" w:hAnsi="Times New Roman"/>
          <w:b w:val="0"/>
          <w:i w:val="0"/>
          <w:sz w:val="24"/>
        </w:rPr>
        <w:t xml:space="preserve"> risk management: guarantees were political understandings as much as legal certainties. The 1980 constitution's transitional provisions and military autonomy delayed subordination to civilian courts until democratic institutions strengthened—a sequencing choice that human rights organizations criticized but that plausibly prevented armed resistance by the Carabineros and army factions (Linz &amp; Stepan, 1996).</w:t>
      </w:r>
    </w:p>
    <w:p>
      <w:r>
        <w:rPr>
          <w:rFonts w:ascii="Times New Roman" w:hAnsi="Times New Roman"/>
          <w:b w:val="0"/>
          <w:i w:val="0"/>
          <w:sz w:val="24"/>
        </w:rPr>
        <w:t xml:space="preserve">Chile's relatively stable democracy suggests medium </w:t>
      </w:r>
      <w:r>
        <w:rPr>
          <w:rFonts w:ascii="Times New Roman" w:hAnsi="Times New Roman"/>
          <w:b w:val="0"/>
          <w:i/>
          <w:sz w:val="24"/>
        </w:rPr>
        <w:t>G</w:t>
      </w:r>
      <w:r>
        <w:rPr>
          <w:rFonts w:ascii="Times New Roman" w:hAnsi="Times New Roman"/>
          <w:b w:val="0"/>
          <w:i w:val="0"/>
          <w:sz w:val="24"/>
        </w:rPr>
        <w:t xml:space="preserve"> with delayed justice can succeed, though human rights constituencies debate the moral cost. The case underscores that </w:t>
      </w:r>
      <w:r>
        <w:rPr>
          <w:rFonts w:ascii="Times New Roman" w:hAnsi="Times New Roman"/>
          <w:b/>
          <w:i w:val="0"/>
          <w:sz w:val="24"/>
        </w:rPr>
        <w:t>electoral exit</w:t>
      </w:r>
      <w:r>
        <w:rPr>
          <w:rFonts w:ascii="Times New Roman" w:hAnsi="Times New Roman"/>
          <w:b w:val="0"/>
          <w:i w:val="0"/>
          <w:sz w:val="24"/>
        </w:rPr>
        <w:t xml:space="preserve"> (plebiscite defeat) differs from </w:t>
      </w:r>
      <w:r>
        <w:rPr>
          <w:rFonts w:ascii="Times New Roman" w:hAnsi="Times New Roman"/>
          <w:b/>
          <w:i w:val="0"/>
          <w:sz w:val="24"/>
        </w:rPr>
        <w:t>physical security exit</w:t>
      </w:r>
      <w:r>
        <w:rPr>
          <w:rFonts w:ascii="Times New Roman" w:hAnsi="Times New Roman"/>
          <w:b w:val="0"/>
          <w:i w:val="0"/>
          <w:sz w:val="24"/>
        </w:rPr>
        <w:t>; Pinochet retained coercive leverage after losing the vote, requiring continued guarantee management.</w:t>
      </w:r>
    </w:p>
    <w:p>
      <w:pPr>
        <w:pStyle w:val="Heading3"/>
      </w:pPr>
      <w:r>
        <w:t>5.3 Spain: Impunity-Maximizing Pact and Democratic Consolidation</w:t>
      </w:r>
    </w:p>
    <w:p>
      <w:r>
        <w:rPr>
          <w:rFonts w:ascii="Times New Roman" w:hAnsi="Times New Roman"/>
          <w:b w:val="0"/>
          <w:i w:val="0"/>
          <w:sz w:val="24"/>
        </w:rPr>
        <w:t xml:space="preserve">Spain's post-Franco transition prioritized </w:t>
      </w:r>
      <w:r>
        <w:rPr>
          <w:rFonts w:ascii="Times New Roman" w:hAnsi="Times New Roman"/>
          <w:b/>
          <w:i w:val="0"/>
          <w:sz w:val="24"/>
        </w:rPr>
        <w:t>high impunity</w:t>
      </w:r>
      <w:r>
        <w:rPr>
          <w:rFonts w:ascii="Times New Roman" w:hAnsi="Times New Roman"/>
          <w:b w:val="0"/>
          <w:i w:val="0"/>
          <w:sz w:val="24"/>
        </w:rPr>
        <w:t xml:space="preserve"> via the 1977 Amnesty Law and elite pact of </w:t>
      </w:r>
      <w:r>
        <w:rPr>
          <w:rFonts w:ascii="Times New Roman" w:hAnsi="Times New Roman"/>
          <w:b w:val="0"/>
          <w:i/>
          <w:sz w:val="24"/>
        </w:rPr>
        <w:t>olvido</w:t>
      </w:r>
      <w:r>
        <w:rPr>
          <w:rFonts w:ascii="Times New Roman" w:hAnsi="Times New Roman"/>
          <w:b w:val="0"/>
          <w:i w:val="0"/>
          <w:sz w:val="24"/>
        </w:rPr>
        <w:t xml:space="preserve">. Violence remained minimal; democratic institutions consolidated rapidly (Linz &amp; Stepan, 1996). This supports </w:t>
      </w:r>
      <w:r>
        <w:rPr>
          <w:rFonts w:ascii="Times New Roman" w:hAnsi="Times New Roman"/>
          <w:b/>
          <w:i w:val="0"/>
          <w:sz w:val="24"/>
        </w:rPr>
        <w:t>H3</w:t>
      </w:r>
      <w:r>
        <w:rPr>
          <w:rFonts w:ascii="Times New Roman" w:hAnsi="Times New Roman"/>
          <w:b w:val="0"/>
          <w:i w:val="0"/>
          <w:sz w:val="24"/>
        </w:rPr>
        <w:t xml:space="preserve">: unconditional impunity correlated with low immediate </w:t>
      </w:r>
      <w:r>
        <w:rPr>
          <w:rFonts w:ascii="Times New Roman" w:hAnsi="Times New Roman"/>
          <w:b w:val="0"/>
          <w:i/>
          <w:sz w:val="24"/>
        </w:rPr>
        <w:t>V</w:t>
      </w:r>
      <w:r>
        <w:rPr>
          <w:rFonts w:ascii="Times New Roman" w:hAnsi="Times New Roman"/>
          <w:b w:val="0"/>
          <w:i w:val="0"/>
          <w:sz w:val="24"/>
        </w:rPr>
        <w:t xml:space="preserve"> and successful </w:t>
      </w:r>
      <w:r>
        <w:rPr>
          <w:rFonts w:ascii="Times New Roman" w:hAnsi="Times New Roman"/>
          <w:b w:val="0"/>
          <w:i/>
          <w:sz w:val="24"/>
        </w:rPr>
        <w:t>T</w:t>
      </w:r>
      <w:r>
        <w:rPr>
          <w:rFonts w:ascii="Times New Roman" w:hAnsi="Times New Roman"/>
          <w:b w:val="0"/>
          <w:i w:val="0"/>
          <w:sz w:val="24"/>
        </w:rPr>
        <w:t>, but decades of delayed justice for Franco-era crimes illustrate long-run legitimacy deficits.</w:t>
      </w:r>
    </w:p>
    <w:p>
      <w:r>
        <w:rPr>
          <w:rFonts w:ascii="Times New Roman" w:hAnsi="Times New Roman"/>
          <w:b w:val="0"/>
          <w:i w:val="0"/>
          <w:sz w:val="24"/>
        </w:rPr>
        <w:t xml:space="preserve">Spain is often treated as exceptional—European integration, homogenous elite consensus, Francoist technocratic continuity—but its exit logic aligns with AED: reformist Francoists and democrats mutually feared uncontrollable retribution without amnesty. The Moncloa Pact negotiations explicitly traded political inclusion for legal forgetting, demonstrating that </w:t>
      </w:r>
      <w:r>
        <w:rPr>
          <w:rFonts w:ascii="Times New Roman" w:hAnsi="Times New Roman"/>
          <w:b/>
          <w:i w:val="0"/>
          <w:sz w:val="24"/>
        </w:rPr>
        <w:t>elite fear of exit costs</w:t>
      </w:r>
      <w:r>
        <w:rPr>
          <w:rFonts w:ascii="Times New Roman" w:hAnsi="Times New Roman"/>
          <w:b w:val="0"/>
          <w:i w:val="0"/>
          <w:sz w:val="24"/>
        </w:rPr>
        <w:t xml:space="preserve"> operated even where mass violence was absent (Linz &amp; Stepan, 1996). Spain thus supports AED's claim that guarantee politics precedes violence outcomes rather than merely responding to them.</w:t>
      </w:r>
    </w:p>
    <w:p>
      <w:r>
        <w:rPr>
          <w:rFonts w:ascii="Times New Roman" w:hAnsi="Times New Roman"/>
          <w:b w:val="0"/>
          <w:i w:val="0"/>
          <w:sz w:val="24"/>
        </w:rPr>
        <w:t xml:space="preserve">The 2007 Historical Memory Law and later exhumation politics illustrate delayed justice pressures—consistent with </w:t>
      </w:r>
      <w:r>
        <w:rPr>
          <w:rFonts w:ascii="Times New Roman" w:hAnsi="Times New Roman"/>
          <w:b/>
          <w:i w:val="0"/>
          <w:sz w:val="24"/>
        </w:rPr>
        <w:t>H3</w:t>
      </w:r>
      <w:r>
        <w:rPr>
          <w:rFonts w:ascii="Times New Roman" w:hAnsi="Times New Roman"/>
          <w:b w:val="0"/>
          <w:i w:val="0"/>
          <w:sz w:val="24"/>
        </w:rPr>
        <w:t xml:space="preserve"> long-run trade-offs between stability and accountability.</w:t>
      </w:r>
    </w:p>
    <w:p>
      <w:pPr>
        <w:pStyle w:val="Heading3"/>
      </w:pPr>
      <w:r>
        <w:t>5.4 Tunisia: Exile Without Institutional Sequencing</w:t>
      </w:r>
    </w:p>
    <w:p>
      <w:r>
        <w:rPr>
          <w:rFonts w:ascii="Times New Roman" w:hAnsi="Times New Roman"/>
          <w:b w:val="0"/>
          <w:i w:val="0"/>
          <w:sz w:val="24"/>
        </w:rPr>
        <w:t>Ben Ali's January 2011 flight to Saudi Arabia exemplifies *</w:t>
      </w:r>
      <w:r>
        <w:rPr>
          <w:rFonts w:ascii="Times New Roman" w:hAnsi="Times New Roman"/>
          <w:b w:val="0"/>
          <w:i/>
          <w:sz w:val="24"/>
        </w:rPr>
        <w:t xml:space="preserve">medium </w:t>
      </w:r>
      <w:r>
        <w:rPr>
          <w:rFonts w:ascii="Times New Roman" w:hAnsi="Times New Roman"/>
          <w:b w:val="0"/>
          <w:i w:val="0"/>
          <w:sz w:val="24"/>
        </w:rPr>
        <w:t>G₂**</w:t>
      </w:r>
      <w:r>
        <w:rPr>
          <w:rFonts w:ascii="Times New Roman" w:hAnsi="Times New Roman"/>
          <w:b w:val="0"/>
          <w:i/>
          <w:sz w:val="24"/>
        </w:rPr>
        <w:t xml:space="preserve"> exile guarantee. Short-term violence was low relative to neighbors; Tunisia initiated constitutional reform and elections. However, absent robust </w:t>
      </w:r>
      <w:r>
        <w:rPr>
          <w:rFonts w:ascii="Times New Roman" w:hAnsi="Times New Roman"/>
          <w:b w:val="0"/>
          <w:i w:val="0"/>
          <w:sz w:val="24"/>
        </w:rPr>
        <w:t>G₅</w:t>
      </w:r>
      <w:r>
        <w:rPr>
          <w:rFonts w:ascii="Times New Roman" w:hAnsi="Times New Roman"/>
          <w:b w:val="0"/>
          <w:i/>
          <w:sz w:val="24"/>
        </w:rPr>
        <w:t xml:space="preserve"> sequencing and economic inclusion, competitive authoritarian relapse under Saied (2021) suggests </w:t>
      </w:r>
      <w:r>
        <w:rPr>
          <w:rFonts w:ascii="Times New Roman" w:hAnsi="Times New Roman"/>
          <w:b w:val="0"/>
          <w:i/>
          <w:sz w:val="24"/>
        </w:rPr>
        <w:t>H3</w:t>
      </w:r>
      <w:r>
        <w:rPr>
          <w:rFonts w:ascii="Times New Roman" w:hAnsi="Times New Roman"/>
          <w:b w:val="0"/>
          <w:i/>
          <w:sz w:val="24"/>
        </w:rPr>
        <w:t xml:space="preserve">: exile alone insufficient for durable </w:t>
      </w:r>
      <w:r>
        <w:rPr>
          <w:rFonts w:ascii="Times New Roman" w:hAnsi="Times New Roman"/>
          <w:b w:val="0"/>
          <w:i w:val="0"/>
          <w:sz w:val="24"/>
        </w:rPr>
        <w:t>T*.</w:t>
      </w:r>
    </w:p>
    <w:p>
      <w:r>
        <w:rPr>
          <w:rFonts w:ascii="Times New Roman" w:hAnsi="Times New Roman"/>
          <w:b w:val="0"/>
          <w:i w:val="0"/>
          <w:sz w:val="24"/>
        </w:rPr>
        <w:t xml:space="preserve">Tunisia contrasts with Egypt and Libya on the same timeline, supporting AED's emphasis on exit pathways during acute crisis moments. The Ennahda–secular party bargains, constitution-drafting process, and relative restraint of the military further distinguish Tunisia from Egypt's coup trajectory—yet Saied's 2021 power concentration indicates that </w:t>
      </w:r>
      <w:r>
        <w:rPr>
          <w:rFonts w:ascii="Times New Roman" w:hAnsi="Times New Roman"/>
          <w:b/>
          <w:i w:val="0"/>
          <w:sz w:val="24"/>
        </w:rPr>
        <w:t>leader exile without institutional guarantee sequencing</w:t>
      </w:r>
      <w:r>
        <w:rPr>
          <w:rFonts w:ascii="Times New Roman" w:hAnsi="Times New Roman"/>
          <w:b w:val="0"/>
          <w:i w:val="0"/>
          <w:sz w:val="24"/>
        </w:rPr>
        <w:t xml:space="preserve"> leaves backsliding pathways open (Aksoy &amp; Özler, 2020).</w:t>
      </w:r>
    </w:p>
    <w:p>
      <w:pPr>
        <w:pStyle w:val="Heading3"/>
      </w:pPr>
      <w:r>
        <w:t>5.5 Egypt: Prosecution Signal and Authoritarian Restoration</w:t>
      </w:r>
    </w:p>
    <w:p>
      <w:r>
        <w:rPr>
          <w:rFonts w:ascii="Times New Roman" w:hAnsi="Times New Roman"/>
          <w:b w:val="0"/>
          <w:i w:val="0"/>
          <w:sz w:val="24"/>
        </w:rPr>
        <w:t>Mubarak's prosecution, military management of transition, and absence of credible elite guarantees align with *</w:t>
      </w:r>
      <w:r>
        <w:rPr>
          <w:rFonts w:ascii="Times New Roman" w:hAnsi="Times New Roman"/>
          <w:b w:val="0"/>
          <w:i/>
          <w:sz w:val="24"/>
        </w:rPr>
        <w:t xml:space="preserve">low </w:t>
      </w:r>
      <w:r>
        <w:rPr>
          <w:rFonts w:ascii="Times New Roman" w:hAnsi="Times New Roman"/>
          <w:b w:val="0"/>
          <w:i w:val="0"/>
          <w:sz w:val="24"/>
        </w:rPr>
        <w:t>G***. Though initial violence was limited, the military–Muslim Brotherhood confrontation escalated after 2013; Sisi's consolidation restored authoritarianism. Process-tracing indicates security elites feared accountability and Islamist dominance—existential framing blocked pact expansion.</w:t>
      </w:r>
    </w:p>
    <w:p>
      <w:r>
        <w:rPr>
          <w:rFonts w:ascii="Times New Roman" w:hAnsi="Times New Roman"/>
          <w:b w:val="0"/>
          <w:i w:val="0"/>
          <w:sz w:val="24"/>
        </w:rPr>
        <w:t xml:space="preserve">Egypt supports </w:t>
      </w:r>
      <w:r>
        <w:rPr>
          <w:rFonts w:ascii="Times New Roman" w:hAnsi="Times New Roman"/>
          <w:b/>
          <w:i w:val="0"/>
          <w:sz w:val="24"/>
        </w:rPr>
        <w:t>H1</w:t>
      </w:r>
      <w:r>
        <w:rPr>
          <w:rFonts w:ascii="Times New Roman" w:hAnsi="Times New Roman"/>
          <w:b w:val="0"/>
          <w:i w:val="0"/>
          <w:sz w:val="24"/>
        </w:rPr>
        <w:t xml:space="preserve">: without credible guarantees to cohesive coercive actors, transition stalls and repression returns even after leader removal. Human Rights Watch (2012) documented escalating security-force abuses after 2011; the military's material interests—economic empire, legal autonomy—were never addressed in a comprehensive settlement. Mubarak's trial signaled accountability to protesters but simultaneously communicated to generals that </w:t>
      </w:r>
      <w:r>
        <w:rPr>
          <w:rFonts w:ascii="Times New Roman" w:hAnsi="Times New Roman"/>
          <w:b/>
          <w:i w:val="0"/>
          <w:sz w:val="24"/>
        </w:rPr>
        <w:t>no safe institutional exit</w:t>
      </w:r>
      <w:r>
        <w:rPr>
          <w:rFonts w:ascii="Times New Roman" w:hAnsi="Times New Roman"/>
          <w:b w:val="0"/>
          <w:i w:val="0"/>
          <w:sz w:val="24"/>
        </w:rPr>
        <w:t xml:space="preserve"> existed, reinforcing AED predictions.</w:t>
      </w:r>
    </w:p>
    <w:p>
      <w:pPr>
        <w:pStyle w:val="Heading3"/>
      </w:pPr>
      <w:r>
        <w:t>5.6 Libya: Zero Guarantee and State Collapse</w:t>
      </w:r>
    </w:p>
    <w:p>
      <w:r>
        <w:rPr>
          <w:rFonts w:ascii="Times New Roman" w:hAnsi="Times New Roman"/>
          <w:b w:val="0"/>
          <w:i w:val="0"/>
          <w:sz w:val="24"/>
        </w:rPr>
        <w:t xml:space="preserve">NATO intervention, ICC referral, and Qaddafi's battlefield death closed exit options. Personalist network members faced elimination or flight without negotiated sequencing. Violence spiked; state institutions fragmented (International Crisis Group, 2011). Libya is a strong </w:t>
      </w:r>
      <w:r>
        <w:rPr>
          <w:rFonts w:ascii="Times New Roman" w:hAnsi="Times New Roman"/>
          <w:b/>
          <w:i w:val="0"/>
          <w:sz w:val="24"/>
        </w:rPr>
        <w:t>H1</w:t>
      </w:r>
      <w:r>
        <w:rPr>
          <w:rFonts w:ascii="Times New Roman" w:hAnsi="Times New Roman"/>
          <w:b w:val="0"/>
          <w:i w:val="0"/>
          <w:sz w:val="24"/>
        </w:rPr>
        <w:t xml:space="preserve"> case: </w:t>
      </w:r>
      <w:r>
        <w:rPr>
          <w:rFonts w:ascii="Times New Roman" w:hAnsi="Times New Roman"/>
          <w:b w:val="0"/>
          <w:i/>
          <w:sz w:val="24"/>
        </w:rPr>
        <w:t>G</w:t>
      </w:r>
      <w:r>
        <w:rPr>
          <w:rFonts w:ascii="Times New Roman" w:hAnsi="Times New Roman"/>
          <w:b w:val="0"/>
          <w:i w:val="0"/>
          <w:sz w:val="24"/>
        </w:rPr>
        <w:t xml:space="preserve"> ≈ 0 correlated with maximal </w:t>
      </w:r>
      <w:r>
        <w:rPr>
          <w:rFonts w:ascii="Times New Roman" w:hAnsi="Times New Roman"/>
          <w:b w:val="0"/>
          <w:i/>
          <w:sz w:val="24"/>
        </w:rPr>
        <w:t>V</w:t>
      </w:r>
      <w:r>
        <w:rPr>
          <w:rFonts w:ascii="Times New Roman" w:hAnsi="Times New Roman"/>
          <w:b w:val="0"/>
          <w:i w:val="0"/>
          <w:sz w:val="24"/>
        </w:rPr>
        <w:t xml:space="preserve"> and collapse </w:t>
      </w:r>
      <w:r>
        <w:rPr>
          <w:rFonts w:ascii="Times New Roman" w:hAnsi="Times New Roman"/>
          <w:b w:val="0"/>
          <w:i/>
          <w:sz w:val="24"/>
        </w:rPr>
        <w:t>T</w:t>
      </w:r>
      <w:r>
        <w:rPr>
          <w:rFonts w:ascii="Times New Roman" w:hAnsi="Times New Roman"/>
          <w:b w:val="0"/>
          <w:i w:val="0"/>
          <w:sz w:val="24"/>
        </w:rPr>
        <w:t>.</w:t>
      </w:r>
    </w:p>
    <w:p>
      <w:r>
        <w:rPr>
          <w:rFonts w:ascii="Times New Roman" w:hAnsi="Times New Roman"/>
          <w:b w:val="0"/>
          <w:i w:val="0"/>
          <w:sz w:val="24"/>
        </w:rPr>
        <w:t xml:space="preserve">Counterfactual claims require caution, but mediator accounts suggest Qaddafi envoys explored exit deals rejected by rebels and external actors prioritizing accountability and regime change (Kersten, 2015). The ICC Prosecutor's February 2011 referral intensified exit costs at precisely the moment when preventive bargaining might have been leveraged—a policy tension central to </w:t>
      </w:r>
      <w:r>
        <w:rPr>
          <w:rFonts w:ascii="Times New Roman" w:hAnsi="Times New Roman"/>
          <w:b/>
          <w:i w:val="0"/>
          <w:sz w:val="24"/>
        </w:rPr>
        <w:t>H4</w:t>
      </w:r>
      <w:r>
        <w:rPr>
          <w:rFonts w:ascii="Times New Roman" w:hAnsi="Times New Roman"/>
          <w:b w:val="0"/>
          <w:i w:val="0"/>
          <w:sz w:val="24"/>
        </w:rPr>
        <w:t xml:space="preserve"> and to debates on complementarity (Bass, 2000; Rome Statute, 1998).</w:t>
      </w:r>
    </w:p>
    <w:p>
      <w:r>
        <w:rPr>
          <w:rFonts w:ascii="Times New Roman" w:hAnsi="Times New Roman"/>
          <w:b w:val="0"/>
          <w:i w:val="0"/>
          <w:sz w:val="24"/>
        </w:rPr>
        <w:t xml:space="preserve">Libya also illustrates </w:t>
      </w:r>
      <w:r>
        <w:rPr>
          <w:rFonts w:ascii="Times New Roman" w:hAnsi="Times New Roman"/>
          <w:b/>
          <w:i w:val="0"/>
          <w:sz w:val="24"/>
        </w:rPr>
        <w:t>patronage network collapse</w:t>
      </w:r>
      <w:r>
        <w:rPr>
          <w:rFonts w:ascii="Times New Roman" w:hAnsi="Times New Roman"/>
          <w:b w:val="0"/>
          <w:i w:val="0"/>
          <w:sz w:val="24"/>
        </w:rPr>
        <w:t>: guarantees extended only to Qaddafi personally would likely have been insufficient without parallel assurances to tribal and security constituencies—a design lesson for mediators.</w:t>
      </w:r>
    </w:p>
    <w:p>
      <w:pPr>
        <w:pStyle w:val="Heading3"/>
      </w:pPr>
      <w:r>
        <w:t>5.7 Syria: Survival Through Absent Exit and Externalization</w:t>
      </w:r>
    </w:p>
    <w:p>
      <w:r>
        <w:rPr>
          <w:rFonts w:ascii="Times New Roman" w:hAnsi="Times New Roman"/>
          <w:b w:val="0"/>
          <w:i w:val="0"/>
          <w:sz w:val="24"/>
        </w:rPr>
        <w:t xml:space="preserve">Assad's strategy assumed no credible </w:t>
      </w:r>
      <w:r>
        <w:rPr>
          <w:rFonts w:ascii="Times New Roman" w:hAnsi="Times New Roman"/>
          <w:b w:val="0"/>
          <w:i/>
          <w:sz w:val="24"/>
        </w:rPr>
        <w:t>G</w:t>
      </w:r>
      <w:r>
        <w:rPr>
          <w:rFonts w:ascii="Times New Roman" w:hAnsi="Times New Roman"/>
          <w:b w:val="0"/>
          <w:i w:val="0"/>
          <w:sz w:val="24"/>
        </w:rPr>
        <w:t xml:space="preserve"> and high cost of exit— reinforced by Libya precedent and ICC discourse. External patrons (Russia, Iran) altered military balance, prolonging stalemate. Syria represents AED failure at scale: low </w:t>
      </w:r>
      <w:r>
        <w:rPr>
          <w:rFonts w:ascii="Times New Roman" w:hAnsi="Times New Roman"/>
          <w:b w:val="0"/>
          <w:i/>
          <w:sz w:val="24"/>
        </w:rPr>
        <w:t>G</w:t>
      </w:r>
      <w:r>
        <w:rPr>
          <w:rFonts w:ascii="Times New Roman" w:hAnsi="Times New Roman"/>
          <w:b w:val="0"/>
          <w:i w:val="0"/>
          <w:sz w:val="24"/>
        </w:rPr>
        <w:t xml:space="preserve">, high </w:t>
      </w:r>
      <w:r>
        <w:rPr>
          <w:rFonts w:ascii="Times New Roman" w:hAnsi="Times New Roman"/>
          <w:b w:val="0"/>
          <w:i/>
          <w:sz w:val="24"/>
        </w:rPr>
        <w:t>V</w:t>
      </w:r>
      <w:r>
        <w:rPr>
          <w:rFonts w:ascii="Times New Roman" w:hAnsi="Times New Roman"/>
          <w:b w:val="0"/>
          <w:i w:val="0"/>
          <w:sz w:val="24"/>
        </w:rPr>
        <w:t xml:space="preserve">, indefinite conflict. Opposition fragmentation and geopolitical proxy war add confounders, but ruler exit expectations remained central to bargaining deadlocks. UN Special Envoy proposals repeatedly foundered on Assad's insistence on survival and opposition rejection of amnesty; the 2014 Geneva communiqué's transitional body formula lacked credible </w:t>
      </w:r>
      <w:r>
        <w:rPr>
          <w:rFonts w:ascii="Times New Roman" w:hAnsi="Times New Roman"/>
          <w:b w:val="0"/>
          <w:i/>
          <w:sz w:val="24"/>
        </w:rPr>
        <w:t>G</w:t>
      </w:r>
      <w:r>
        <w:rPr>
          <w:rFonts w:ascii="Times New Roman" w:hAnsi="Times New Roman"/>
          <w:b w:val="0"/>
          <w:i w:val="0"/>
          <w:sz w:val="24"/>
        </w:rPr>
        <w:t xml:space="preserve"> architecture (Stedman et al., 2002). External patrons altered military balance but did not substitute for domestic exit guarantees—Russia's 2015 intervention reduced regime collapse risk, reinforcing AED's </w:t>
      </w:r>
      <w:r>
        <w:rPr>
          <w:rFonts w:ascii="Times New Roman" w:hAnsi="Times New Roman"/>
          <w:b/>
          <w:i w:val="0"/>
          <w:sz w:val="24"/>
        </w:rPr>
        <w:t>low exit cost of fighting</w:t>
      </w:r>
      <w:r>
        <w:rPr>
          <w:rFonts w:ascii="Times New Roman" w:hAnsi="Times New Roman"/>
          <w:b w:val="0"/>
          <w:i w:val="0"/>
          <w:sz w:val="24"/>
        </w:rPr>
        <w:t xml:space="preserve"> relative to negotiated removal.</w:t>
      </w:r>
    </w:p>
    <w:p>
      <w:r>
        <w:rPr>
          <w:rFonts w:ascii="Times New Roman" w:hAnsi="Times New Roman"/>
          <w:b w:val="0"/>
          <w:i w:val="0"/>
          <w:sz w:val="24"/>
        </w:rPr>
        <w:t xml:space="preserve">Syria also demonstrates </w:t>
      </w:r>
      <w:r>
        <w:rPr>
          <w:rFonts w:ascii="Times New Roman" w:hAnsi="Times New Roman"/>
          <w:b/>
          <w:i w:val="0"/>
          <w:sz w:val="24"/>
        </w:rPr>
        <w:t>network AED</w:t>
      </w:r>
      <w:r>
        <w:rPr>
          <w:rFonts w:ascii="Times New Roman" w:hAnsi="Times New Roman"/>
          <w:b w:val="0"/>
          <w:i w:val="0"/>
          <w:sz w:val="24"/>
        </w:rPr>
        <w:t>: guarantees must cover coercive and economic elites, not only the presidential core, when patrimonial structures distribute survival stakes across militias and business cronies (Wright, 2015).</w:t>
      </w:r>
    </w:p>
    <w:p>
      <w:pPr>
        <w:pStyle w:val="Heading3"/>
      </w:pPr>
      <w:r>
        <w:t>5.8 Yemen: Violated Guarantee and Spoiler Dynamics</w:t>
      </w:r>
    </w:p>
    <w:p>
      <w:r>
        <w:rPr>
          <w:rFonts w:ascii="Times New Roman" w:hAnsi="Times New Roman"/>
          <w:b w:val="0"/>
          <w:i w:val="0"/>
          <w:sz w:val="24"/>
        </w:rPr>
        <w:t>President Saleh accepted a 2011 GCC initiative providing immunity and phased transition, illustrating attempted *</w:t>
      </w:r>
      <w:r>
        <w:rPr>
          <w:rFonts w:ascii="Times New Roman" w:hAnsi="Times New Roman"/>
          <w:b w:val="0"/>
          <w:i/>
          <w:sz w:val="24"/>
        </w:rPr>
        <w:t xml:space="preserve">medium </w:t>
      </w:r>
      <w:r>
        <w:rPr>
          <w:rFonts w:ascii="Times New Roman" w:hAnsi="Times New Roman"/>
          <w:b w:val="0"/>
          <w:i w:val="0"/>
          <w:sz w:val="24"/>
        </w:rPr>
        <w:t>G*</w:t>
      </w:r>
      <w:r>
        <w:rPr>
          <w:rFonts w:ascii="Times New Roman" w:hAnsi="Times New Roman"/>
          <w:b/>
          <w:i w:val="0"/>
          <w:sz w:val="24"/>
        </w:rPr>
        <w:t xml:space="preserve">. The immunity law passed by Yemen's parliament appeared to satisfy </w:t>
      </w:r>
      <w:r>
        <w:rPr>
          <w:rFonts w:ascii="Times New Roman" w:hAnsi="Times New Roman"/>
          <w:b w:val="0"/>
          <w:i w:val="0"/>
          <w:sz w:val="24"/>
        </w:rPr>
        <w:t>G₁</w:t>
      </w:r>
      <w:r>
        <w:rPr>
          <w:rFonts w:ascii="Times New Roman" w:hAnsi="Times New Roman"/>
          <w:b/>
          <w:i w:val="0"/>
          <w:sz w:val="24"/>
        </w:rPr>
        <w:t xml:space="preserve">, while Gulf host states offered informal </w:t>
      </w:r>
      <w:r>
        <w:rPr>
          <w:rFonts w:ascii="Times New Roman" w:hAnsi="Times New Roman"/>
          <w:b w:val="0"/>
          <w:i w:val="0"/>
          <w:sz w:val="24"/>
        </w:rPr>
        <w:t>G₂</w:t>
      </w:r>
      <w:r>
        <w:rPr>
          <w:rFonts w:ascii="Times New Roman" w:hAnsi="Times New Roman"/>
          <w:b/>
          <w:i w:val="0"/>
          <w:sz w:val="24"/>
        </w:rPr>
        <w:t xml:space="preserve"> assurances. Saleh's return, Houthi expansion, and Saudi-led intervention demonstrate </w:t>
      </w:r>
      <w:r>
        <w:rPr>
          <w:rFonts w:ascii="Times New Roman" w:hAnsi="Times New Roman"/>
          <w:b w:val="0"/>
          <w:i w:val="0"/>
          <w:sz w:val="24"/>
        </w:rPr>
        <w:t>H4**: guarantee credibility collapsed when enforcement failed and spoilers re-entered. Saleh's 2017 death amid factional fighting underscores the personal stakes when guarantees unravel.</w:t>
      </w:r>
    </w:p>
    <w:p>
      <w:r>
        <w:rPr>
          <w:rFonts w:ascii="Times New Roman" w:hAnsi="Times New Roman"/>
          <w:b w:val="0"/>
          <w:i w:val="0"/>
          <w:sz w:val="24"/>
        </w:rPr>
        <w:t xml:space="preserve">Yemen combines low effective </w:t>
      </w:r>
      <w:r>
        <w:rPr>
          <w:rFonts w:ascii="Times New Roman" w:hAnsi="Times New Roman"/>
          <w:b w:val="0"/>
          <w:i/>
          <w:sz w:val="24"/>
        </w:rPr>
        <w:t>G</w:t>
      </w:r>
      <w:r>
        <w:rPr>
          <w:rFonts w:ascii="Times New Roman" w:hAnsi="Times New Roman"/>
          <w:b w:val="0"/>
          <w:i w:val="0"/>
          <w:sz w:val="24"/>
        </w:rPr>
        <w:t xml:space="preserve"> with extreme </w:t>
      </w:r>
      <w:r>
        <w:rPr>
          <w:rFonts w:ascii="Times New Roman" w:hAnsi="Times New Roman"/>
          <w:b w:val="0"/>
          <w:i/>
          <w:sz w:val="24"/>
        </w:rPr>
        <w:t>V</w:t>
      </w:r>
      <w:r>
        <w:rPr>
          <w:rFonts w:ascii="Times New Roman" w:hAnsi="Times New Roman"/>
          <w:b w:val="0"/>
          <w:i w:val="0"/>
          <w:sz w:val="24"/>
        </w:rPr>
        <w:t xml:space="preserve"> and fragmented </w:t>
      </w:r>
      <w:r>
        <w:rPr>
          <w:rFonts w:ascii="Times New Roman" w:hAnsi="Times New Roman"/>
          <w:b w:val="0"/>
          <w:i/>
          <w:sz w:val="24"/>
        </w:rPr>
        <w:t>T</w:t>
      </w:r>
      <w:r>
        <w:rPr>
          <w:rFonts w:ascii="Times New Roman" w:hAnsi="Times New Roman"/>
          <w:b w:val="0"/>
          <w:i w:val="0"/>
          <w:sz w:val="24"/>
        </w:rPr>
        <w:t xml:space="preserve">. Refugee outflows and humanitarian catastrophe further illustrate aggregate costs when AED remains unresolved (Zolberg, 1989). The case cautions that </w:t>
      </w:r>
      <w:r>
        <w:rPr>
          <w:rFonts w:ascii="Times New Roman" w:hAnsi="Times New Roman"/>
          <w:b/>
          <w:i w:val="0"/>
          <w:sz w:val="24"/>
        </w:rPr>
        <w:t>partial guarantees to single actors</w:t>
      </w:r>
      <w:r>
        <w:rPr>
          <w:rFonts w:ascii="Times New Roman" w:hAnsi="Times New Roman"/>
          <w:b w:val="0"/>
          <w:i w:val="0"/>
          <w:sz w:val="24"/>
        </w:rPr>
        <w:t xml:space="preserve"> without broader settlement inclusion generate spoiler incentives.</w:t>
      </w:r>
    </w:p>
    <w:p>
      <w:r>
        <w:rPr>
          <w:rFonts w:ascii="Times New Roman" w:hAnsi="Times New Roman"/>
          <w:b w:val="0"/>
          <w:i w:val="0"/>
          <w:sz w:val="24"/>
        </w:rPr>
        <w:t xml:space="preserve">Comparatively, the eight cases cluster predictably: high or sequenced </w:t>
      </w:r>
      <w:r>
        <w:rPr>
          <w:rFonts w:ascii="Times New Roman" w:hAnsi="Times New Roman"/>
          <w:b w:val="0"/>
          <w:i/>
          <w:sz w:val="24"/>
        </w:rPr>
        <w:t>G</w:t>
      </w:r>
      <w:r>
        <w:rPr>
          <w:rFonts w:ascii="Times New Roman" w:hAnsi="Times New Roman"/>
          <w:b w:val="0"/>
          <w:i w:val="0"/>
          <w:sz w:val="24"/>
        </w:rPr>
        <w:t xml:space="preserve"> associates with lower peak violence and more structured transitions (South Africa, Chile, Spain, Tunisia acutely); absent or betrayed </w:t>
      </w:r>
      <w:r>
        <w:rPr>
          <w:rFonts w:ascii="Times New Roman" w:hAnsi="Times New Roman"/>
          <w:b w:val="0"/>
          <w:i/>
          <w:sz w:val="24"/>
        </w:rPr>
        <w:t>G</w:t>
      </w:r>
      <w:r>
        <w:rPr>
          <w:rFonts w:ascii="Times New Roman" w:hAnsi="Times New Roman"/>
          <w:b w:val="0"/>
          <w:i w:val="0"/>
          <w:sz w:val="24"/>
        </w:rPr>
        <w:t xml:space="preserve"> associates with escalation or collapse (Libya, Syria, Yemen; Egypt restoration).</w:t>
      </w:r>
    </w:p>
    <w:p>
      <w:r>
        <w:rPr>
          <w:rFonts w:ascii="Times New Roman" w:hAnsi="Times New Roman"/>
          <w:b w:val="0"/>
          <w:i w:val="0"/>
          <w:sz w:val="24"/>
        </w:rPr>
        <w:t xml:space="preserve">Cross-case comparison also reveals </w:t>
      </w:r>
      <w:r>
        <w:rPr>
          <w:rFonts w:ascii="Times New Roman" w:hAnsi="Times New Roman"/>
          <w:b/>
          <w:i w:val="0"/>
          <w:sz w:val="24"/>
        </w:rPr>
        <w:t>asymmetric learning</w:t>
      </w:r>
      <w:r>
        <w:rPr>
          <w:rFonts w:ascii="Times New Roman" w:hAnsi="Times New Roman"/>
          <w:b w:val="0"/>
          <w:i w:val="0"/>
          <w:sz w:val="24"/>
        </w:rPr>
        <w:t>: Syrian and Yemeni elites observed Libyan and Egyptian outcomes and updated exit expectations downward, reinforcing fight-to-the-end strategies independent of immediate guarantee offers. This feedback dynamic—visible in mediator memoirs and leader statements—extends AED temporally: guarantee credibility is path-dependent across cases in the same region (De Waal, 2015).</w:t>
      </w:r>
    </w:p>
    <w:p>
      <w:pPr>
        <w:pStyle w:val="Heading2"/>
      </w:pPr>
      <w:r>
        <w:t>6. Findings</w:t>
      </w:r>
    </w:p>
    <w:p>
      <w:r>
        <w:rPr>
          <w:rFonts w:ascii="Times New Roman" w:hAnsi="Times New Roman"/>
          <w:b w:val="0"/>
          <w:i w:val="0"/>
          <w:sz w:val="24"/>
        </w:rPr>
        <w:t>Analysis across cases yields four patterned findings.</w:t>
      </w:r>
    </w:p>
    <w:p>
      <w:r>
        <w:rPr>
          <w:rFonts w:ascii="Times New Roman" w:hAnsi="Times New Roman"/>
          <w:b/>
          <w:i w:val="0"/>
          <w:sz w:val="24"/>
        </w:rPr>
        <w:t>Finding 1: Exit guarantee credibility inversely correlates with escalation incentives.</w:t>
      </w:r>
      <w:r>
        <w:rPr>
          <w:rFonts w:ascii="Times New Roman" w:hAnsi="Times New Roman"/>
          <w:b w:val="0"/>
          <w:i w:val="0"/>
          <w:sz w:val="24"/>
        </w:rPr>
        <w:t xml:space="preserve"> Where rulers and coercive elites believe exit is survivable, they accept pacts that appear politically costly. Where exit implies death or humiliation, maximal force becomes rational at the individual level even if collectively destructive.</w:t>
      </w:r>
    </w:p>
    <w:p>
      <w:r>
        <w:rPr>
          <w:rFonts w:ascii="Times New Roman" w:hAnsi="Times New Roman"/>
          <w:b/>
          <w:i w:val="0"/>
          <w:sz w:val="24"/>
        </w:rPr>
        <w:t>Finding 2: Sequenced accountability outperforms both unconditional impunity and immediate prosecution during active crisis.</w:t>
      </w:r>
      <w:r>
        <w:rPr>
          <w:rFonts w:ascii="Times New Roman" w:hAnsi="Times New Roman"/>
          <w:b w:val="0"/>
          <w:i w:val="0"/>
          <w:sz w:val="24"/>
        </w:rPr>
        <w:t xml:space="preserve"> South Africa and Chile show that phased truth-telling, conditional amnesty, and delayed courts can unlock negotiation without permanently foreclosing justice. Spain shows impunity's stability benefits but also its long-run normative costs.</w:t>
      </w:r>
    </w:p>
    <w:p>
      <w:r>
        <w:rPr>
          <w:rFonts w:ascii="Times New Roman" w:hAnsi="Times New Roman"/>
          <w:b/>
          <w:i w:val="0"/>
          <w:sz w:val="24"/>
        </w:rPr>
        <w:t>Finding 3: Exile guarantees require enforceable host-state and international monitoring.</w:t>
      </w:r>
      <w:r>
        <w:rPr>
          <w:rFonts w:ascii="Times New Roman" w:hAnsi="Times New Roman"/>
          <w:b w:val="0"/>
          <w:i w:val="0"/>
          <w:sz w:val="24"/>
        </w:rPr>
        <w:t xml:space="preserve"> Tunisia's low immediate violence contrasts with Saleh's manipulated immunity in Yemen. </w:t>
      </w:r>
      <w:r>
        <w:rPr>
          <w:rFonts w:ascii="Times New Roman" w:hAnsi="Times New Roman"/>
          <w:b/>
          <w:i w:val="0"/>
          <w:sz w:val="24"/>
        </w:rPr>
        <w:t>H4</w:t>
      </w:r>
      <w:r>
        <w:rPr>
          <w:rFonts w:ascii="Times New Roman" w:hAnsi="Times New Roman"/>
          <w:b w:val="0"/>
          <w:i w:val="0"/>
          <w:sz w:val="24"/>
        </w:rPr>
        <w:t xml:space="preserve"> is confirmed: deceptive or unenforced guarantees poison later mediation.</w:t>
      </w:r>
    </w:p>
    <w:p>
      <w:r>
        <w:rPr>
          <w:rFonts w:ascii="Times New Roman" w:hAnsi="Times New Roman"/>
          <w:b/>
          <w:i w:val="0"/>
          <w:sz w:val="24"/>
        </w:rPr>
        <w:t>Finding 4: Guarantees are necessary but not sufficient for democratic consolidation.</w:t>
      </w:r>
      <w:r>
        <w:rPr>
          <w:rFonts w:ascii="Times New Roman" w:hAnsi="Times New Roman"/>
          <w:b w:val="0"/>
          <w:i w:val="0"/>
          <w:sz w:val="24"/>
        </w:rPr>
        <w:t xml:space="preserve"> Economic inclusion, military subordination to civilian rule, and party system design mediate long-run </w:t>
      </w:r>
      <w:r>
        <w:rPr>
          <w:rFonts w:ascii="Times New Roman" w:hAnsi="Times New Roman"/>
          <w:b w:val="0"/>
          <w:i/>
          <w:sz w:val="24"/>
        </w:rPr>
        <w:t>T</w:t>
      </w:r>
      <w:r>
        <w:rPr>
          <w:rFonts w:ascii="Times New Roman" w:hAnsi="Times New Roman"/>
          <w:b w:val="0"/>
          <w:i w:val="0"/>
          <w:sz w:val="24"/>
        </w:rPr>
        <w:t>. Tunisia and Egypt demonstrate that removing a leader without restructuring coercive institutions permits authoritarian restoration.</w:t>
      </w:r>
    </w:p>
    <w:p>
      <w:r>
        <w:rPr>
          <w:rFonts w:ascii="Times New Roman" w:hAnsi="Times New Roman"/>
          <w:b w:val="0"/>
          <w:i w:val="0"/>
          <w:sz w:val="24"/>
        </w:rPr>
        <w:t>Impunity risks are real: guarantees can entrench corruption, weaken rule of law, and signal elite exemption (Olsen et al., 2010). Justice–peace trade-offs are context-dependent rather than fixed moral binaries (Snyder &amp; Vinjamuri, 2003; Freeman, 2009).</w:t>
      </w:r>
    </w:p>
    <w:p>
      <w:r>
        <w:rPr>
          <w:rFonts w:ascii="Times New Roman" w:hAnsi="Times New Roman"/>
          <w:b/>
          <w:i w:val="0"/>
          <w:sz w:val="24"/>
        </w:rPr>
        <w:t>Table 2</w:t>
      </w:r>
      <w:r>
        <w:rPr>
          <w:rFonts w:ascii="Times New Roman" w:hAnsi="Times New Roman"/>
          <w:b w:val="0"/>
          <w:i w:val="0"/>
          <w:sz w:val="24"/>
        </w:rPr>
        <w:t xml:space="preserve"> summarizes cross-case pattern consistency with hypotheses.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val="0"/>
                <w:i w:val="0"/>
                <w:sz w:val="24"/>
              </w:rPr>
              <w:t>Hypothesis</w:t>
            </w:r>
          </w:p>
        </w:tc>
        <w:tc>
          <w:tcPr>
            <w:tcW w:type="dxa" w:w="2340"/>
          </w:tcPr>
          <w:p>
            <w:r/>
            <w:r>
              <w:rPr>
                <w:rFonts w:ascii="Times New Roman" w:hAnsi="Times New Roman"/>
                <w:b w:val="0"/>
                <w:i w:val="0"/>
                <w:sz w:val="24"/>
              </w:rPr>
              <w:t>Supported cases</w:t>
            </w:r>
          </w:p>
        </w:tc>
        <w:tc>
          <w:tcPr>
            <w:tcW w:type="dxa" w:w="2340"/>
          </w:tcPr>
          <w:p>
            <w:r/>
            <w:r>
              <w:rPr>
                <w:rFonts w:ascii="Times New Roman" w:hAnsi="Times New Roman"/>
                <w:b w:val="0"/>
                <w:i w:val="0"/>
                <w:sz w:val="24"/>
              </w:rPr>
              <w:t>Partial / mixed</w:t>
            </w:r>
          </w:p>
        </w:tc>
        <w:tc>
          <w:tcPr>
            <w:tcW w:type="dxa" w:w="2340"/>
          </w:tcPr>
          <w:p>
            <w:r/>
            <w:r>
              <w:rPr>
                <w:rFonts w:ascii="Times New Roman" w:hAnsi="Times New Roman"/>
                <w:b w:val="0"/>
                <w:i w:val="0"/>
                <w:sz w:val="24"/>
              </w:rPr>
              <w:t>Contradictory</w:t>
            </w:r>
          </w:p>
        </w:tc>
      </w:tr>
      <w:tr>
        <w:tc>
          <w:tcPr>
            <w:tcW w:type="dxa" w:w="2340"/>
          </w:tcPr>
          <w:p>
            <w:r/>
            <w:r>
              <w:rPr>
                <w:rFonts w:ascii="Times New Roman" w:hAnsi="Times New Roman"/>
                <w:b w:val="0"/>
                <w:i w:val="0"/>
                <w:sz w:val="24"/>
              </w:rPr>
              <w:t xml:space="preserve">H1 (low </w:t>
            </w:r>
            <w:r>
              <w:rPr>
                <w:rFonts w:ascii="Times New Roman" w:hAnsi="Times New Roman"/>
                <w:b w:val="0"/>
                <w:i/>
                <w:sz w:val="24"/>
              </w:rPr>
              <w:t>G</w:t>
            </w:r>
            <w:r>
              <w:rPr>
                <w:rFonts w:ascii="Times New Roman" w:hAnsi="Times New Roman"/>
                <w:b w:val="0"/>
                <w:i w:val="0"/>
                <w:sz w:val="24"/>
              </w:rPr>
              <w:t xml:space="preserve"> → high </w:t>
            </w:r>
            <w:r>
              <w:rPr>
                <w:rFonts w:ascii="Times New Roman" w:hAnsi="Times New Roman"/>
                <w:b w:val="0"/>
                <w:i/>
                <w:sz w:val="24"/>
              </w:rPr>
              <w:t>V</w:t>
            </w:r>
            <w:r>
              <w:rPr>
                <w:rFonts w:ascii="Times New Roman" w:hAnsi="Times New Roman"/>
                <w:b w:val="0"/>
                <w:i w:val="0"/>
                <w:sz w:val="24"/>
              </w:rPr>
              <w:t>)</w:t>
            </w:r>
          </w:p>
        </w:tc>
        <w:tc>
          <w:tcPr>
            <w:tcW w:type="dxa" w:w="2340"/>
          </w:tcPr>
          <w:p>
            <w:r/>
            <w:r>
              <w:rPr>
                <w:rFonts w:ascii="Times New Roman" w:hAnsi="Times New Roman"/>
                <w:b w:val="0"/>
                <w:i w:val="0"/>
                <w:sz w:val="24"/>
              </w:rPr>
              <w:t>Libya, Syria, Yemen, Egypt (post-2013)</w:t>
            </w:r>
          </w:p>
        </w:tc>
        <w:tc>
          <w:tcPr>
            <w:tcW w:type="dxa" w:w="2340"/>
          </w:tcPr>
          <w:p>
            <w:r/>
            <w:r>
              <w:rPr>
                <w:rFonts w:ascii="Times New Roman" w:hAnsi="Times New Roman"/>
                <w:b w:val="0"/>
                <w:i w:val="0"/>
                <w:sz w:val="24"/>
              </w:rPr>
              <w:t>Tunisia (short window)</w:t>
            </w:r>
          </w:p>
        </w:tc>
        <w:tc>
          <w:tcPr>
            <w:tcW w:type="dxa" w:w="2340"/>
          </w:tcPr>
          <w:p>
            <w:r/>
            <w:r>
              <w:rPr>
                <w:rFonts w:ascii="Times New Roman" w:hAnsi="Times New Roman"/>
                <w:b w:val="0"/>
                <w:i w:val="0"/>
                <w:sz w:val="24"/>
              </w:rPr>
              <w:t xml:space="preserve">Spain (high impunity, low </w:t>
            </w:r>
            <w:r>
              <w:rPr>
                <w:rFonts w:ascii="Times New Roman" w:hAnsi="Times New Roman"/>
                <w:b w:val="0"/>
                <w:i/>
                <w:sz w:val="24"/>
              </w:rPr>
              <w:t>V</w:t>
            </w:r>
            <w:r>
              <w:rPr>
                <w:rFonts w:ascii="Times New Roman" w:hAnsi="Times New Roman"/>
                <w:b w:val="0"/>
                <w:i w:val="0"/>
                <w:sz w:val="24"/>
              </w:rPr>
              <w:t>)</w:t>
            </w:r>
          </w:p>
        </w:tc>
      </w:tr>
      <w:tr>
        <w:tc>
          <w:tcPr>
            <w:tcW w:type="dxa" w:w="2340"/>
          </w:tcPr>
          <w:p>
            <w:r/>
            <w:r>
              <w:rPr>
                <w:rFonts w:ascii="Times New Roman" w:hAnsi="Times New Roman"/>
                <w:b w:val="0"/>
                <w:i w:val="0"/>
                <w:sz w:val="24"/>
              </w:rPr>
              <w:t xml:space="preserve">H2 (sequenced </w:t>
            </w:r>
            <w:r>
              <w:rPr>
                <w:rFonts w:ascii="Times New Roman" w:hAnsi="Times New Roman"/>
                <w:b w:val="0"/>
                <w:i/>
                <w:sz w:val="24"/>
              </w:rPr>
              <w:t>G</w:t>
            </w:r>
            <w:r>
              <w:rPr>
                <w:rFonts w:ascii="Times New Roman" w:hAnsi="Times New Roman"/>
                <w:b w:val="0"/>
                <w:i w:val="0"/>
                <w:sz w:val="24"/>
              </w:rPr>
              <w:t xml:space="preserve"> → negotiated </w:t>
            </w:r>
            <w:r>
              <w:rPr>
                <w:rFonts w:ascii="Times New Roman" w:hAnsi="Times New Roman"/>
                <w:b w:val="0"/>
                <w:i/>
                <w:sz w:val="24"/>
              </w:rPr>
              <w:t>T</w:t>
            </w:r>
            <w:r>
              <w:rPr>
                <w:rFonts w:ascii="Times New Roman" w:hAnsi="Times New Roman"/>
                <w:b w:val="0"/>
                <w:i w:val="0"/>
                <w:sz w:val="24"/>
              </w:rPr>
              <w:t>)</w:t>
            </w:r>
          </w:p>
        </w:tc>
        <w:tc>
          <w:tcPr>
            <w:tcW w:type="dxa" w:w="2340"/>
          </w:tcPr>
          <w:p>
            <w:r/>
            <w:r>
              <w:rPr>
                <w:rFonts w:ascii="Times New Roman" w:hAnsi="Times New Roman"/>
                <w:b w:val="0"/>
                <w:i w:val="0"/>
                <w:sz w:val="24"/>
              </w:rPr>
              <w:t>South Africa, Chile</w:t>
            </w:r>
          </w:p>
        </w:tc>
        <w:tc>
          <w:tcPr>
            <w:tcW w:type="dxa" w:w="2340"/>
          </w:tcPr>
          <w:p>
            <w:r/>
            <w:r>
              <w:rPr>
                <w:rFonts w:ascii="Times New Roman" w:hAnsi="Times New Roman"/>
                <w:b w:val="0"/>
                <w:i w:val="0"/>
                <w:sz w:val="24"/>
              </w:rPr>
              <w:t>Tunisia</w:t>
            </w:r>
          </w:p>
        </w:tc>
        <w:tc>
          <w:tcPr>
            <w:tcW w:type="dxa" w:w="2340"/>
          </w:tcPr>
          <w:p>
            <w:r/>
            <w:r>
              <w:rPr>
                <w:rFonts w:ascii="Times New Roman" w:hAnsi="Times New Roman"/>
                <w:b w:val="0"/>
                <w:i w:val="0"/>
                <w:sz w:val="24"/>
              </w:rPr>
              <w:t>—</w:t>
            </w:r>
          </w:p>
        </w:tc>
      </w:tr>
      <w:tr>
        <w:tc>
          <w:tcPr>
            <w:tcW w:type="dxa" w:w="2340"/>
          </w:tcPr>
          <w:p>
            <w:r/>
            <w:r>
              <w:rPr>
                <w:rFonts w:ascii="Times New Roman" w:hAnsi="Times New Roman"/>
                <w:b w:val="0"/>
                <w:i w:val="0"/>
                <w:sz w:val="24"/>
              </w:rPr>
              <w:t xml:space="preserve">H3 (total impunity → weak rule-of-law </w:t>
            </w:r>
            <w:r>
              <w:rPr>
                <w:rFonts w:ascii="Times New Roman" w:hAnsi="Times New Roman"/>
                <w:b w:val="0"/>
                <w:i/>
                <w:sz w:val="24"/>
              </w:rPr>
              <w:t>T</w:t>
            </w:r>
            <w:r>
              <w:rPr>
                <w:rFonts w:ascii="Times New Roman" w:hAnsi="Times New Roman"/>
                <w:b w:val="0"/>
                <w:i w:val="0"/>
                <w:sz w:val="24"/>
              </w:rPr>
              <w:t>)</w:t>
            </w:r>
          </w:p>
        </w:tc>
        <w:tc>
          <w:tcPr>
            <w:tcW w:type="dxa" w:w="2340"/>
          </w:tcPr>
          <w:p>
            <w:r/>
            <w:r>
              <w:rPr>
                <w:rFonts w:ascii="Times New Roman" w:hAnsi="Times New Roman"/>
                <w:b w:val="0"/>
                <w:i w:val="0"/>
                <w:sz w:val="24"/>
              </w:rPr>
              <w:t>Spain</w:t>
            </w:r>
          </w:p>
        </w:tc>
        <w:tc>
          <w:tcPr>
            <w:tcW w:type="dxa" w:w="2340"/>
          </w:tcPr>
          <w:p>
            <w:r/>
            <w:r>
              <w:rPr>
                <w:rFonts w:ascii="Times New Roman" w:hAnsi="Times New Roman"/>
                <w:b w:val="0"/>
                <w:i w:val="0"/>
                <w:sz w:val="24"/>
              </w:rPr>
              <w:t>Chile, South Africa</w:t>
            </w:r>
          </w:p>
        </w:tc>
        <w:tc>
          <w:tcPr>
            <w:tcW w:type="dxa" w:w="2340"/>
          </w:tcPr>
          <w:p>
            <w:r/>
            <w:r>
              <w:rPr>
                <w:rFonts w:ascii="Times New Roman" w:hAnsi="Times New Roman"/>
                <w:b w:val="0"/>
                <w:i w:val="0"/>
                <w:sz w:val="24"/>
              </w:rPr>
              <w:t>Tunisia (exile only)</w:t>
            </w:r>
          </w:p>
        </w:tc>
      </w:tr>
      <w:tr>
        <w:tc>
          <w:tcPr>
            <w:tcW w:type="dxa" w:w="2340"/>
          </w:tcPr>
          <w:p>
            <w:r/>
            <w:r>
              <w:rPr>
                <w:rFonts w:ascii="Times New Roman" w:hAnsi="Times New Roman"/>
                <w:b w:val="0"/>
                <w:i w:val="0"/>
                <w:sz w:val="24"/>
              </w:rPr>
              <w:t xml:space="preserve">H4 (betrayed </w:t>
            </w:r>
            <w:r>
              <w:rPr>
                <w:rFonts w:ascii="Times New Roman" w:hAnsi="Times New Roman"/>
                <w:b w:val="0"/>
                <w:i/>
                <w:sz w:val="24"/>
              </w:rPr>
              <w:t>G</w:t>
            </w:r>
            <w:r>
              <w:rPr>
                <w:rFonts w:ascii="Times New Roman" w:hAnsi="Times New Roman"/>
                <w:b w:val="0"/>
                <w:i w:val="0"/>
                <w:sz w:val="24"/>
              </w:rPr>
              <w:t xml:space="preserve"> → prolonged conflict)</w:t>
            </w:r>
          </w:p>
        </w:tc>
        <w:tc>
          <w:tcPr>
            <w:tcW w:type="dxa" w:w="2340"/>
          </w:tcPr>
          <w:p>
            <w:r/>
            <w:r>
              <w:rPr>
                <w:rFonts w:ascii="Times New Roman" w:hAnsi="Times New Roman"/>
                <w:b w:val="0"/>
                <w:i w:val="0"/>
                <w:sz w:val="24"/>
              </w:rPr>
              <w:t>Yemen, Libya (post-referral)</w:t>
            </w:r>
          </w:p>
        </w:tc>
        <w:tc>
          <w:tcPr>
            <w:tcW w:type="dxa" w:w="2340"/>
          </w:tcPr>
          <w:p>
            <w:r/>
            <w:r>
              <w:rPr>
                <w:rFonts w:ascii="Times New Roman" w:hAnsi="Times New Roman"/>
                <w:b w:val="0"/>
                <w:i w:val="0"/>
                <w:sz w:val="24"/>
              </w:rPr>
              <w:t>Chile (delayed prosecution)</w:t>
            </w:r>
          </w:p>
        </w:tc>
        <w:tc>
          <w:tcPr>
            <w:tcW w:type="dxa" w:w="2340"/>
          </w:tcPr>
          <w:p>
            <w:r/>
            <w:r>
              <w:rPr>
                <w:rFonts w:ascii="Times New Roman" w:hAnsi="Times New Roman"/>
                <w:b w:val="0"/>
                <w:i w:val="0"/>
                <w:sz w:val="24"/>
              </w:rPr>
              <w:t>—</w:t>
            </w:r>
          </w:p>
        </w:tc>
      </w:tr>
    </w:tbl>
    <w:p>
      <w:r>
        <w:rPr>
          <w:rFonts w:ascii="Times New Roman" w:hAnsi="Times New Roman"/>
          <w:b w:val="0"/>
          <w:i w:val="0"/>
          <w:sz w:val="24"/>
        </w:rPr>
        <w:t xml:space="preserve">Spain's high impunity-low violence pairing does not contradict </w:t>
      </w:r>
      <w:r>
        <w:rPr>
          <w:rFonts w:ascii="Times New Roman" w:hAnsi="Times New Roman"/>
          <w:b/>
          <w:i w:val="0"/>
          <w:sz w:val="24"/>
        </w:rPr>
        <w:t>H1</w:t>
      </w:r>
      <w:r>
        <w:rPr>
          <w:rFonts w:ascii="Times New Roman" w:hAnsi="Times New Roman"/>
          <w:b w:val="0"/>
          <w:i w:val="0"/>
          <w:sz w:val="24"/>
        </w:rPr>
        <w:t xml:space="preserve"> because </w:t>
      </w:r>
      <w:r>
        <w:rPr>
          <w:rFonts w:ascii="Times New Roman" w:hAnsi="Times New Roman"/>
          <w:b w:val="0"/>
          <w:i/>
          <w:sz w:val="24"/>
        </w:rPr>
        <w:t>G</w:t>
      </w:r>
      <w:r>
        <w:rPr>
          <w:rFonts w:ascii="Times New Roman" w:hAnsi="Times New Roman"/>
          <w:b w:val="0"/>
          <w:i w:val="0"/>
          <w:sz w:val="24"/>
        </w:rPr>
        <w:t xml:space="preserve"> was high (immunity credible), not absent; violence was low precisely when exit costs were managed—consistent with AED scope conditions.</w:t>
      </w:r>
    </w:p>
    <w:p>
      <w:pPr>
        <w:pStyle w:val="Heading2"/>
      </w:pPr>
      <w:r>
        <w:t>7. Policy Implications</w:t>
      </w:r>
    </w:p>
    <w:p>
      <w:r>
        <w:rPr>
          <w:rFonts w:ascii="Times New Roman" w:hAnsi="Times New Roman"/>
          <w:b w:val="0"/>
          <w:i w:val="0"/>
          <w:sz w:val="24"/>
        </w:rPr>
        <w:t xml:space="preserve">For the United Nations, regional organizations, and mediators, AED implies treating exit infrastructure as </w:t>
      </w:r>
      <w:r>
        <w:rPr>
          <w:rFonts w:ascii="Times New Roman" w:hAnsi="Times New Roman"/>
          <w:b/>
          <w:i w:val="0"/>
          <w:sz w:val="24"/>
        </w:rPr>
        <w:t>conflict prevention architecture</w:t>
      </w:r>
      <w:r>
        <w:rPr>
          <w:rFonts w:ascii="Times New Roman" w:hAnsi="Times New Roman"/>
          <w:b w:val="0"/>
          <w:i w:val="0"/>
          <w:sz w:val="24"/>
        </w:rPr>
        <w:t>, subject to sequencing and verification.</w:t>
      </w:r>
    </w:p>
    <w:p>
      <w:r>
        <w:rPr>
          <w:rFonts w:ascii="Times New Roman" w:hAnsi="Times New Roman"/>
          <w:b/>
          <w:i w:val="0"/>
          <w:sz w:val="24"/>
        </w:rPr>
        <w:t>Conditional amnesties.</w:t>
      </w:r>
      <w:r>
        <w:rPr>
          <w:rFonts w:ascii="Times New Roman" w:hAnsi="Times New Roman"/>
          <w:b w:val="0"/>
          <w:i w:val="0"/>
          <w:sz w:val="24"/>
        </w:rPr>
        <w:t xml:space="preserve"> Frameworks should distinguish blanket impunity from conditional amnesty tied to truth disclosure, disarmament, and institutional reform—mirroring South Africa's TRC model and ICC Article 53 discretion on complementarity (Mallinder, 2008; Rome Statute, 1998).</w:t>
      </w:r>
    </w:p>
    <w:p>
      <w:r>
        <w:rPr>
          <w:rFonts w:ascii="Times New Roman" w:hAnsi="Times New Roman"/>
          <w:b/>
          <w:i w:val="0"/>
          <w:sz w:val="24"/>
        </w:rPr>
        <w:t>Verified exile.</w:t>
      </w:r>
      <w:r>
        <w:rPr>
          <w:rFonts w:ascii="Times New Roman" w:hAnsi="Times New Roman"/>
          <w:b w:val="0"/>
          <w:i w:val="0"/>
          <w:sz w:val="24"/>
        </w:rPr>
        <w:t xml:space="preserve"> Host states and regional bodies should formalize exile agreements with monitoring, preventing arbitrary extradition reversal unless new crimes occur post-agreement (Kersten, 2015).</w:t>
      </w:r>
    </w:p>
    <w:p>
      <w:r>
        <w:rPr>
          <w:rFonts w:ascii="Times New Roman" w:hAnsi="Times New Roman"/>
          <w:b/>
          <w:i w:val="0"/>
          <w:sz w:val="24"/>
        </w:rPr>
        <w:t>Security guarantees.</w:t>
      </w:r>
      <w:r>
        <w:rPr>
          <w:rFonts w:ascii="Times New Roman" w:hAnsi="Times New Roman"/>
          <w:b w:val="0"/>
          <w:i w:val="0"/>
          <w:sz w:val="24"/>
        </w:rPr>
        <w:t xml:space="preserve"> Mediators must extend protections to families and mid-level coercive actors, not only apex leaders, to prevent coup-trap dynamics (Svolik, 2012).</w:t>
      </w:r>
    </w:p>
    <w:p>
      <w:r>
        <w:rPr>
          <w:rFonts w:ascii="Times New Roman" w:hAnsi="Times New Roman"/>
          <w:b/>
          <w:i w:val="0"/>
          <w:sz w:val="24"/>
        </w:rPr>
        <w:t>Transitional justice sequencing.</w:t>
      </w:r>
      <w:r>
        <w:rPr>
          <w:rFonts w:ascii="Times New Roman" w:hAnsi="Times New Roman"/>
          <w:b w:val="0"/>
          <w:i w:val="0"/>
          <w:sz w:val="24"/>
        </w:rPr>
        <w:t xml:space="preserve"> Truth commissions, reparations, and vetting can precede prosecutions where immediate trials would foreclose negotiation (Hayner, 2011; Freeman, 2009).</w:t>
      </w:r>
    </w:p>
    <w:p>
      <w:r>
        <w:rPr>
          <w:rFonts w:ascii="Times New Roman" w:hAnsi="Times New Roman"/>
          <w:b/>
          <w:i w:val="0"/>
          <w:sz w:val="24"/>
        </w:rPr>
        <w:t>Preventive diplomacy timing.</w:t>
      </w:r>
      <w:r>
        <w:rPr>
          <w:rFonts w:ascii="Times New Roman" w:hAnsi="Times New Roman"/>
          <w:b w:val="0"/>
          <w:i w:val="0"/>
          <w:sz w:val="24"/>
        </w:rPr>
        <w:t xml:space="preserve"> Guarantees are most leverage-rich at crisis apex—before battle deaths accumulate and reputational costs of compromise rise (United Nations, 2015; World Bank, 2017).</w:t>
      </w:r>
    </w:p>
    <w:p>
      <w:r>
        <w:rPr>
          <w:rFonts w:ascii="Times New Roman" w:hAnsi="Times New Roman"/>
          <w:b/>
          <w:i w:val="0"/>
          <w:sz w:val="24"/>
        </w:rPr>
        <w:t>Conditionality and review.</w:t>
      </w:r>
      <w:r>
        <w:rPr>
          <w:rFonts w:ascii="Times New Roman" w:hAnsi="Times New Roman"/>
          <w:b w:val="0"/>
          <w:i w:val="0"/>
          <w:sz w:val="24"/>
        </w:rPr>
        <w:t xml:space="preserve"> Agreements should include sunset clauses, judicial review mechanisms, and civil society consultation to mitigate </w:t>
      </w:r>
      <w:r>
        <w:rPr>
          <w:rFonts w:ascii="Times New Roman" w:hAnsi="Times New Roman"/>
          <w:b/>
          <w:i w:val="0"/>
          <w:sz w:val="24"/>
        </w:rPr>
        <w:t>H3</w:t>
      </w:r>
      <w:r>
        <w:rPr>
          <w:rFonts w:ascii="Times New Roman" w:hAnsi="Times New Roman"/>
          <w:b w:val="0"/>
          <w:i w:val="0"/>
          <w:sz w:val="24"/>
        </w:rPr>
        <w:t xml:space="preserve"> impunity costs.</w:t>
      </w:r>
    </w:p>
    <w:p>
      <w:r>
        <w:rPr>
          <w:rFonts w:ascii="Times New Roman" w:hAnsi="Times New Roman"/>
          <w:b w:val="0"/>
          <w:i w:val="0"/>
          <w:sz w:val="24"/>
        </w:rPr>
        <w:t>Policy design should avoid public maximalist rhetoric that inadvertently signals non-negotiability to incumbents while preserving long-run accountability pathways.</w:t>
      </w:r>
    </w:p>
    <w:p>
      <w:r>
        <w:rPr>
          <w:rFonts w:ascii="Times New Roman" w:hAnsi="Times New Roman"/>
          <w:b/>
          <w:i w:val="0"/>
          <w:sz w:val="24"/>
        </w:rPr>
        <w:t>Regional organizations.</w:t>
      </w:r>
      <w:r>
        <w:rPr>
          <w:rFonts w:ascii="Times New Roman" w:hAnsi="Times New Roman"/>
          <w:b w:val="0"/>
          <w:i w:val="0"/>
          <w:sz w:val="24"/>
        </w:rPr>
        <w:t xml:space="preserve"> The African Union's refusal to cooperate with the ICC in certain cases reflects, in part, AED logic among member incumbents who perceive prosecution as existential threat. The Gulf Cooperation Council's Yemen initiative demonstrates both potential and failure modes of regional guarantee offers when enforcement is weak (International Crisis Group, 2011).</w:t>
      </w:r>
    </w:p>
    <w:p>
      <w:r>
        <w:rPr>
          <w:rFonts w:ascii="Times New Roman" w:hAnsi="Times New Roman"/>
          <w:b/>
          <w:i w:val="0"/>
          <w:sz w:val="24"/>
        </w:rPr>
        <w:t>Transitional governments.</w:t>
      </w:r>
      <w:r>
        <w:rPr>
          <w:rFonts w:ascii="Times New Roman" w:hAnsi="Times New Roman"/>
          <w:b w:val="0"/>
          <w:i w:val="0"/>
          <w:sz w:val="24"/>
        </w:rPr>
        <w:t xml:space="preserve"> Post-transition authorities should codify guarantee sequencing in constitutional transitional clauses—mandating truth commissions before prosecutorial waves—to prevent arbitrary reversal and to signal credible </w:t>
      </w:r>
      <w:r>
        <w:rPr>
          <w:rFonts w:ascii="Times New Roman" w:hAnsi="Times New Roman"/>
          <w:b w:val="0"/>
          <w:i/>
          <w:sz w:val="24"/>
        </w:rPr>
        <w:t>G₅</w:t>
      </w:r>
      <w:r>
        <w:rPr>
          <w:rFonts w:ascii="Times New Roman" w:hAnsi="Times New Roman"/>
          <w:b w:val="0"/>
          <w:i w:val="0"/>
          <w:sz w:val="24"/>
        </w:rPr>
        <w:t xml:space="preserve"> to holdout factions.</w:t>
      </w:r>
    </w:p>
    <w:p>
      <w:r>
        <w:rPr>
          <w:rFonts w:ascii="Times New Roman" w:hAnsi="Times New Roman"/>
          <w:b/>
          <w:i w:val="0"/>
          <w:sz w:val="24"/>
        </w:rPr>
        <w:t>Monitoring and verification.</w:t>
      </w:r>
      <w:r>
        <w:rPr>
          <w:rFonts w:ascii="Times New Roman" w:hAnsi="Times New Roman"/>
          <w:b w:val="0"/>
          <w:i w:val="0"/>
          <w:sz w:val="24"/>
        </w:rPr>
        <w:t xml:space="preserve"> Independent panels—akin to peace agreement verification missions—should track compliance with exile, asset, and immunity terms, reporting publicly to reduce </w:t>
      </w:r>
      <w:r>
        <w:rPr>
          <w:rFonts w:ascii="Times New Roman" w:hAnsi="Times New Roman"/>
          <w:b/>
          <w:i w:val="0"/>
          <w:sz w:val="24"/>
        </w:rPr>
        <w:t>H4</w:t>
      </w:r>
      <w:r>
        <w:rPr>
          <w:rFonts w:ascii="Times New Roman" w:hAnsi="Times New Roman"/>
          <w:b w:val="0"/>
          <w:i w:val="0"/>
          <w:sz w:val="24"/>
        </w:rPr>
        <w:t xml:space="preserve"> betrayal risk.</w:t>
      </w:r>
    </w:p>
    <w:p>
      <w:pPr>
        <w:pStyle w:val="Heading2"/>
      </w:pPr>
      <w:r>
        <w:t>8. Discussion</w:t>
      </w:r>
    </w:p>
    <w:p>
      <w:r>
        <w:rPr>
          <w:rFonts w:ascii="Times New Roman" w:hAnsi="Times New Roman"/>
          <w:b w:val="0"/>
          <w:i w:val="0"/>
          <w:sz w:val="24"/>
        </w:rPr>
        <w:t>The AED framework clarifies tensions among justice, accountability, stability, and conflict prevention. Prosecutorial absolutism during active conflict may increase human suffering if it eliminates off-ramps (Snyder &amp; Vinjamuri, 2003). Conversely, unconditional impunity may stabilize transitions short-term while undermining rule-of-law consolidation (Teitel, 2000; Olsen et al., 2010).</w:t>
      </w:r>
    </w:p>
    <w:p>
      <w:r>
        <w:rPr>
          <w:rFonts w:ascii="Times New Roman" w:hAnsi="Times New Roman"/>
          <w:b w:val="0"/>
          <w:i w:val="0"/>
          <w:sz w:val="24"/>
        </w:rPr>
        <w:t xml:space="preserve">Normatively, scholars and practitioners need not treat guarantees as endorsement of authoritarian crime. Empirically, they function as </w:t>
      </w:r>
      <w:r>
        <w:rPr>
          <w:rFonts w:ascii="Times New Roman" w:hAnsi="Times New Roman"/>
          <w:b/>
          <w:i w:val="0"/>
          <w:sz w:val="24"/>
        </w:rPr>
        <w:t>risk management instruments</w:t>
      </w:r>
      <w:r>
        <w:rPr>
          <w:rFonts w:ascii="Times New Roman" w:hAnsi="Times New Roman"/>
          <w:b w:val="0"/>
          <w:i w:val="0"/>
          <w:sz w:val="24"/>
        </w:rPr>
        <w:t xml:space="preserve"> in nested games where multiple elite factions calculate survival. Ethical policy therefore emphasizes sequencing, conditionality, and inclusive victim participation rather than binary amnesty-versus-justice frames.</w:t>
      </w:r>
    </w:p>
    <w:p>
      <w:r>
        <w:rPr>
          <w:rFonts w:ascii="Times New Roman" w:hAnsi="Times New Roman"/>
          <w:b w:val="0"/>
          <w:i w:val="0"/>
          <w:sz w:val="24"/>
        </w:rPr>
        <w:t>Comparative limits remain. External military intervention, as in Libya, transforms AED into wartime elimination logic distinct from negotiated civilian transitions. Geopolitical patrons can subsidize fight-to-the-death strategies regardless of guarantee offers, as in Syria. Future research should test AED quantitatively using cross-national datasets on amnesty laws, exile events, and repression intensity, and examine gendered and communal dimensions of exit bargaining excluded here.</w:t>
      </w:r>
    </w:p>
    <w:p>
      <w:r>
        <w:rPr>
          <w:rFonts w:ascii="Times New Roman" w:hAnsi="Times New Roman"/>
          <w:b w:val="0"/>
          <w:i w:val="0"/>
          <w:sz w:val="24"/>
        </w:rPr>
        <w:t>Integration with democratic transition theory suggests revisiting Przeworski's institutionalization dilemma: physical survival clauses may be as consequential as electoral confidence in personalist regimes. Integration with political settlement theory positions exit guarantees as settlement public goods requiring third-party enforcement.</w:t>
      </w:r>
    </w:p>
    <w:p>
      <w:r>
        <w:rPr>
          <w:rFonts w:ascii="Times New Roman" w:hAnsi="Times New Roman"/>
          <w:b w:val="0"/>
          <w:i w:val="0"/>
          <w:sz w:val="24"/>
        </w:rPr>
        <w:t xml:space="preserve">Comparative historical scope reinforces the framework. Southern European transitions in the 1970s, Latin American exits from military rule, and Southern Africa's negotiated settlements all confronted AED logic, albeit with different institutional inheritances. The MENA cases test whether AED mechanisms hold when sectarian fragmentation, external intervention, and resource dependence amplify confounders. Process-tracing suggests they do at the </w:t>
      </w:r>
      <w:r>
        <w:rPr>
          <w:rFonts w:ascii="Times New Roman" w:hAnsi="Times New Roman"/>
          <w:b/>
          <w:i w:val="0"/>
          <w:sz w:val="24"/>
        </w:rPr>
        <w:t>leader and coercive-core</w:t>
      </w:r>
      <w:r>
        <w:rPr>
          <w:rFonts w:ascii="Times New Roman" w:hAnsi="Times New Roman"/>
          <w:b w:val="0"/>
          <w:i w:val="0"/>
          <w:sz w:val="24"/>
        </w:rPr>
        <w:t xml:space="preserve"> level, even when macro-level war persists.</w:t>
      </w:r>
    </w:p>
    <w:p>
      <w:r>
        <w:rPr>
          <w:rFonts w:ascii="Times New Roman" w:hAnsi="Times New Roman"/>
          <w:b w:val="0"/>
          <w:i w:val="0"/>
          <w:sz w:val="24"/>
        </w:rPr>
        <w:t xml:space="preserve">Ethical objections to guaranteeing exit for perpetrators remain legitimate. The framework does not resolve them; it clarifies that </w:t>
      </w:r>
      <w:r>
        <w:rPr>
          <w:rFonts w:ascii="Times New Roman" w:hAnsi="Times New Roman"/>
          <w:b/>
          <w:i w:val="0"/>
          <w:sz w:val="24"/>
        </w:rPr>
        <w:t>refusing all guarantees during active crisis carries its own moral cost</w:t>
      </w:r>
      <w:r>
        <w:rPr>
          <w:rFonts w:ascii="Times New Roman" w:hAnsi="Times New Roman"/>
          <w:b w:val="0"/>
          <w:i w:val="0"/>
          <w:sz w:val="24"/>
        </w:rPr>
        <w:t xml:space="preserve"> in expected civilian casualties—a consequentialist tension policymakers must weigh transparently rather than through absolutist rhetoric alone (Freeman, 2009; Snyder &amp; Vinjamuri, 2003).</w:t>
      </w:r>
    </w:p>
    <w:p>
      <w:pPr>
        <w:pStyle w:val="Heading2"/>
      </w:pPr>
      <w:r>
        <w:t>9. Conclusion</w:t>
      </w:r>
    </w:p>
    <w:p>
      <w:r>
        <w:rPr>
          <w:rFonts w:ascii="Times New Roman" w:hAnsi="Times New Roman"/>
          <w:b w:val="0"/>
          <w:i w:val="0"/>
          <w:sz w:val="24"/>
        </w:rPr>
        <w:t>Authoritarian leaders often escalate repression and violence because they perceive political exit as existentially dangerous. The Authoritarian Exit Dilemma formalizes this incentive structure and links it to observable variation in conflict intensity and transition outcomes. Comparative analysis of South Africa, Chile, Spain, Tunisia, Egypt, Libya, Syria, and Yemen indicates that credible exit guarantees—negotiated transitions, exile arrangements, conditional amnesties, and sequenced transitional justice—can reduce violence and facilitate democratic transition when enforced and sequenced. Their absence or betrayal correlates with escalation, collapse, or protracted war.</w:t>
      </w:r>
    </w:p>
    <w:p>
      <w:r>
        <w:rPr>
          <w:rFonts w:ascii="Times New Roman" w:hAnsi="Times New Roman"/>
          <w:b w:val="0"/>
          <w:i w:val="0"/>
          <w:sz w:val="24"/>
        </w:rPr>
        <w:t xml:space="preserve">The policy challenge is not choosing between justice and peace but designing </w:t>
      </w:r>
      <w:r>
        <w:rPr>
          <w:rFonts w:ascii="Times New Roman" w:hAnsi="Times New Roman"/>
          <w:b/>
          <w:i w:val="0"/>
          <w:sz w:val="24"/>
        </w:rPr>
        <w:t>credible sequences</w:t>
      </w:r>
      <w:r>
        <w:rPr>
          <w:rFonts w:ascii="Times New Roman" w:hAnsi="Times New Roman"/>
          <w:b w:val="0"/>
          <w:i w:val="0"/>
          <w:sz w:val="24"/>
        </w:rPr>
        <w:t xml:space="preserve"> that reduce immediate harm without foreclosing accountability. Mediators and international organizations should invest in verifiable guarantee mechanisms as preventive tools, evaluating them against empirical transition dynamics rather than abstract moral categories alone.</w:t>
      </w:r>
    </w:p>
    <w:p>
      <w:r>
        <w:rPr>
          <w:rFonts w:ascii="Times New Roman" w:hAnsi="Times New Roman"/>
          <w:b w:val="0"/>
          <w:i w:val="0"/>
          <w:sz w:val="24"/>
        </w:rPr>
        <w:t xml:space="preserve">Further research should refine measurement of guarantee credibility, examine regional organization roles, and assess long-run recurrence rates under alternative sequencing models. Quantitative extensions could code amnesty provisions from the Transitional Justice Database jointly with UCDP battle deaths and V-Dem liberal democracy indices, testing </w:t>
      </w:r>
      <w:r>
        <w:rPr>
          <w:rFonts w:ascii="Times New Roman" w:hAnsi="Times New Roman"/>
          <w:b/>
          <w:i w:val="0"/>
          <w:sz w:val="24"/>
        </w:rPr>
        <w:t>H1</w:t>
      </w:r>
      <w:r>
        <w:rPr>
          <w:rFonts w:ascii="Times New Roman" w:hAnsi="Times New Roman"/>
          <w:b w:val="0"/>
          <w:i w:val="0"/>
          <w:sz w:val="24"/>
        </w:rPr>
        <w:t xml:space="preserve"> cross-nationally. Qualitative extensions should examine gendered harms when amnesties exclude sexual violence accountability, and communal conflicts where exit guarantees to one faction alienate others.</w:t>
      </w:r>
    </w:p>
    <w:p>
      <w:r>
        <w:rPr>
          <w:rFonts w:ascii="Times New Roman" w:hAnsi="Times New Roman"/>
          <w:b w:val="0"/>
          <w:i w:val="0"/>
          <w:sz w:val="24"/>
        </w:rPr>
        <w:t xml:space="preserve">The central theoretical claim—that exit expectations shape repression choices—offers a durable lens for analyzing authoritarian crises in an era of international criminal law, social media mobilization, and renewed great-power competition. For scholars of democratization and conflict prevention alike, the Authoritarian Exit Dilemma reframes a recurrent policy question: not whether to "help those in wrong," in moralistic terms, but whether </w:t>
      </w:r>
      <w:r>
        <w:rPr>
          <w:rFonts w:ascii="Times New Roman" w:hAnsi="Times New Roman"/>
          <w:b/>
          <w:i w:val="0"/>
          <w:sz w:val="24"/>
        </w:rPr>
        <w:t>credible, sequenced exit architecture</w:t>
      </w:r>
      <w:r>
        <w:rPr>
          <w:rFonts w:ascii="Times New Roman" w:hAnsi="Times New Roman"/>
          <w:b w:val="0"/>
          <w:i w:val="0"/>
          <w:sz w:val="24"/>
        </w:rPr>
        <w:t xml:space="preserve"> can reduce violence and open pathways to accountable governance when rulers face the abyss of irreversible defeat.</w:t>
      </w:r>
    </w:p>
    <w:p>
      <w:pPr>
        <w:pStyle w:val="Heading2"/>
      </w:pPr>
      <w:r>
        <w:t>References</w:t>
      </w:r>
    </w:p>
    <w:p>
      <w:pPr>
        <w:pStyle w:val="Bibliography"/>
      </w:pPr>
      <w:r>
        <w:rPr>
          <w:rFonts w:ascii="Times New Roman" w:hAnsi="Times New Roman"/>
          <w:b w:val="0"/>
          <w:i w:val="0"/>
          <w:sz w:val="24"/>
        </w:rPr>
        <w:t xml:space="preserve">Aksoy, A. A., &amp; Özler, İ. (2020). The Arab Spring: A literature survey. </w:t>
      </w:r>
      <w:r>
        <w:rPr>
          <w:rFonts w:ascii="Times New Roman" w:hAnsi="Times New Roman"/>
          <w:b w:val="0"/>
          <w:i/>
          <w:sz w:val="24"/>
        </w:rPr>
        <w:t>Journal of Economic Literature</w:t>
      </w:r>
      <w:r>
        <w:rPr>
          <w:rFonts w:ascii="Times New Roman" w:hAnsi="Times New Roman"/>
          <w:b w:val="0"/>
          <w:i w:val="0"/>
          <w:sz w:val="24"/>
        </w:rPr>
        <w:t xml:space="preserve">, </w:t>
      </w:r>
      <w:r>
        <w:rPr>
          <w:rFonts w:ascii="Times New Roman" w:hAnsi="Times New Roman"/>
          <w:b w:val="0"/>
          <w:i/>
          <w:sz w:val="24"/>
        </w:rPr>
        <w:t>58</w:t>
      </w:r>
      <w:r>
        <w:rPr>
          <w:rFonts w:ascii="Times New Roman" w:hAnsi="Times New Roman"/>
          <w:b w:val="0"/>
          <w:i w:val="0"/>
          <w:sz w:val="24"/>
        </w:rPr>
        <w:t>(2), 431–479. https://doi.org/10.1257/jel.20191199</w:t>
      </w:r>
    </w:p>
    <w:p>
      <w:pPr>
        <w:pStyle w:val="Bibliography"/>
      </w:pPr>
      <w:r>
        <w:rPr>
          <w:rFonts w:ascii="Times New Roman" w:hAnsi="Times New Roman"/>
          <w:b w:val="0"/>
          <w:i w:val="0"/>
          <w:sz w:val="24"/>
        </w:rPr>
        <w:t xml:space="preserve">Bell, C. (2015). </w:t>
      </w:r>
      <w:r>
        <w:rPr>
          <w:rFonts w:ascii="Times New Roman" w:hAnsi="Times New Roman"/>
          <w:b w:val="0"/>
          <w:i/>
          <w:sz w:val="24"/>
        </w:rPr>
        <w:t>On the law of peace: Peace agreements and the lex pacificatoria</w:t>
      </w:r>
      <w:r>
        <w:rPr>
          <w:rFonts w:ascii="Times New Roman" w:hAnsi="Times New Roman"/>
          <w:b w:val="0"/>
          <w:i w:val="0"/>
          <w:sz w:val="24"/>
        </w:rPr>
        <w:t>. Oxford University Press.</w:t>
      </w:r>
    </w:p>
    <w:p>
      <w:pPr>
        <w:pStyle w:val="Bibliography"/>
      </w:pPr>
      <w:r>
        <w:rPr>
          <w:rFonts w:ascii="Times New Roman" w:hAnsi="Times New Roman"/>
          <w:b w:val="0"/>
          <w:i w:val="0"/>
          <w:sz w:val="24"/>
        </w:rPr>
        <w:t xml:space="preserve">Bennett, A., &amp; Checkel, J. T. (Eds.). (2015). </w:t>
      </w:r>
      <w:r>
        <w:rPr>
          <w:rFonts w:ascii="Times New Roman" w:hAnsi="Times New Roman"/>
          <w:b w:val="0"/>
          <w:i/>
          <w:sz w:val="24"/>
        </w:rPr>
        <w:t>Process tracing: From metaphor to analytic tool</w:t>
      </w:r>
      <w:r>
        <w:rPr>
          <w:rFonts w:ascii="Times New Roman" w:hAnsi="Times New Roman"/>
          <w:b w:val="0"/>
          <w:i w:val="0"/>
          <w:sz w:val="24"/>
        </w:rPr>
        <w:t>. Cambridge University Press.</w:t>
      </w:r>
    </w:p>
    <w:p>
      <w:pPr>
        <w:pStyle w:val="Bibliography"/>
      </w:pPr>
      <w:r>
        <w:rPr>
          <w:rFonts w:ascii="Times New Roman" w:hAnsi="Times New Roman"/>
          <w:b w:val="0"/>
          <w:i w:val="0"/>
          <w:sz w:val="24"/>
        </w:rPr>
        <w:t xml:space="preserve">Bass, G. J. (2000). </w:t>
      </w:r>
      <w:r>
        <w:rPr>
          <w:rFonts w:ascii="Times New Roman" w:hAnsi="Times New Roman"/>
          <w:b w:val="0"/>
          <w:i/>
          <w:sz w:val="24"/>
        </w:rPr>
        <w:t>Stay the hand of vengeance: The politics of war crimes tribunals</w:t>
      </w:r>
      <w:r>
        <w:rPr>
          <w:rFonts w:ascii="Times New Roman" w:hAnsi="Times New Roman"/>
          <w:b w:val="0"/>
          <w:i w:val="0"/>
          <w:sz w:val="24"/>
        </w:rPr>
        <w:t>. Princeton University Press.</w:t>
      </w:r>
    </w:p>
    <w:p>
      <w:pPr>
        <w:pStyle w:val="Bibliography"/>
      </w:pPr>
      <w:r>
        <w:rPr>
          <w:rFonts w:ascii="Times New Roman" w:hAnsi="Times New Roman"/>
          <w:b w:val="0"/>
          <w:i w:val="0"/>
          <w:sz w:val="24"/>
        </w:rPr>
        <w:t xml:space="preserve">Brownlee, J. (2007). </w:t>
      </w:r>
      <w:r>
        <w:rPr>
          <w:rFonts w:ascii="Times New Roman" w:hAnsi="Times New Roman"/>
          <w:b w:val="0"/>
          <w:i/>
          <w:sz w:val="24"/>
        </w:rPr>
        <w:t>Authoritarianism in an age of democratization</w:t>
      </w:r>
      <w:r>
        <w:rPr>
          <w:rFonts w:ascii="Times New Roman" w:hAnsi="Times New Roman"/>
          <w:b w:val="0"/>
          <w:i w:val="0"/>
          <w:sz w:val="24"/>
        </w:rPr>
        <w:t>. Cambridge University Press.</w:t>
      </w:r>
    </w:p>
    <w:p>
      <w:pPr>
        <w:pStyle w:val="Bibliography"/>
      </w:pPr>
      <w:r>
        <w:rPr>
          <w:rFonts w:ascii="Times New Roman" w:hAnsi="Times New Roman"/>
          <w:b w:val="0"/>
          <w:i w:val="0"/>
          <w:sz w:val="24"/>
        </w:rPr>
        <w:t xml:space="preserve">Carothers, T. (2002). The end of the transition paradigm. </w:t>
      </w:r>
      <w:r>
        <w:rPr>
          <w:rFonts w:ascii="Times New Roman" w:hAnsi="Times New Roman"/>
          <w:b w:val="0"/>
          <w:i/>
          <w:sz w:val="24"/>
        </w:rPr>
        <w:t>Journal of Democracy</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(1), 5–21. https://doi.org/10.1353/jod.2002.0003</w:t>
      </w:r>
    </w:p>
    <w:p>
      <w:pPr>
        <w:pStyle w:val="Bibliography"/>
      </w:pPr>
      <w:r>
        <w:rPr>
          <w:rFonts w:ascii="Times New Roman" w:hAnsi="Times New Roman"/>
          <w:b w:val="0"/>
          <w:i w:val="0"/>
          <w:sz w:val="24"/>
        </w:rPr>
        <w:t xml:space="preserve">Crocker, C. A., Hampson, F. O., &amp; Aall, P. (Eds.). (2007). </w:t>
      </w:r>
      <w:r>
        <w:rPr>
          <w:rFonts w:ascii="Times New Roman" w:hAnsi="Times New Roman"/>
          <w:b w:val="0"/>
          <w:i/>
          <w:sz w:val="24"/>
        </w:rPr>
        <w:t>Leashing the dogs of war: Conflict management in a divided world</w:t>
      </w:r>
      <w:r>
        <w:rPr>
          <w:rFonts w:ascii="Times New Roman" w:hAnsi="Times New Roman"/>
          <w:b w:val="0"/>
          <w:i w:val="0"/>
          <w:sz w:val="24"/>
        </w:rPr>
        <w:t>. United States Institute of Peace Press.</w:t>
      </w:r>
    </w:p>
    <w:p>
      <w:pPr>
        <w:pStyle w:val="Bibliography"/>
      </w:pPr>
      <w:r>
        <w:rPr>
          <w:rFonts w:ascii="Times New Roman" w:hAnsi="Times New Roman"/>
          <w:b w:val="0"/>
          <w:i w:val="0"/>
          <w:sz w:val="24"/>
        </w:rPr>
        <w:t xml:space="preserve">De Waal, A. (2015). </w:t>
      </w:r>
      <w:r>
        <w:rPr>
          <w:rFonts w:ascii="Times New Roman" w:hAnsi="Times New Roman"/>
          <w:b w:val="0"/>
          <w:i/>
          <w:sz w:val="24"/>
        </w:rPr>
        <w:t>The real politics of the Horn of Africa: Money, war and the business of power</w:t>
      </w:r>
      <w:r>
        <w:rPr>
          <w:rFonts w:ascii="Times New Roman" w:hAnsi="Times New Roman"/>
          <w:b w:val="0"/>
          <w:i w:val="0"/>
          <w:sz w:val="24"/>
        </w:rPr>
        <w:t>. Polity Press.</w:t>
      </w:r>
    </w:p>
    <w:p>
      <w:pPr>
        <w:pStyle w:val="Bibliography"/>
      </w:pPr>
      <w:r>
        <w:rPr>
          <w:rFonts w:ascii="Times New Roman" w:hAnsi="Times New Roman"/>
          <w:b w:val="0"/>
          <w:i w:val="0"/>
          <w:sz w:val="24"/>
        </w:rPr>
        <w:t xml:space="preserve">Di John, J., &amp; Putzel, J. (2009). Political settlements. </w:t>
      </w:r>
      <w:r>
        <w:rPr>
          <w:rFonts w:ascii="Times New Roman" w:hAnsi="Times New Roman"/>
          <w:b w:val="0"/>
          <w:i/>
          <w:sz w:val="24"/>
        </w:rPr>
        <w:t>Issues Paper</w:t>
      </w:r>
      <w:r>
        <w:rPr>
          <w:rFonts w:ascii="Times New Roman" w:hAnsi="Times New Roman"/>
          <w:b w:val="0"/>
          <w:i w:val="0"/>
          <w:sz w:val="24"/>
        </w:rPr>
        <w:t>, Governance and Social Development Resource Centre.</w:t>
      </w:r>
    </w:p>
    <w:p>
      <w:pPr>
        <w:pStyle w:val="Bibliography"/>
      </w:pPr>
      <w:r>
        <w:rPr>
          <w:rFonts w:ascii="Times New Roman" w:hAnsi="Times New Roman"/>
          <w:b w:val="0"/>
          <w:i w:val="0"/>
          <w:sz w:val="24"/>
        </w:rPr>
        <w:t xml:space="preserve">Fearon, J. D., &amp; Laitin, D. D. (2003). Ethnicity, insurgency, and civil war. </w:t>
      </w:r>
      <w:r>
        <w:rPr>
          <w:rFonts w:ascii="Times New Roman" w:hAnsi="Times New Roman"/>
          <w:b w:val="0"/>
          <w:i/>
          <w:sz w:val="24"/>
        </w:rPr>
        <w:t>American Political Science Review</w:t>
      </w:r>
      <w:r>
        <w:rPr>
          <w:rFonts w:ascii="Times New Roman" w:hAnsi="Times New Roman"/>
          <w:b w:val="0"/>
          <w:i w:val="0"/>
          <w:sz w:val="24"/>
        </w:rPr>
        <w:t xml:space="preserve">, </w:t>
      </w:r>
      <w:r>
        <w:rPr>
          <w:rFonts w:ascii="Times New Roman" w:hAnsi="Times New Roman"/>
          <w:b w:val="0"/>
          <w:i/>
          <w:sz w:val="24"/>
        </w:rPr>
        <w:t>97</w:t>
      </w:r>
      <w:r>
        <w:rPr>
          <w:rFonts w:ascii="Times New Roman" w:hAnsi="Times New Roman"/>
          <w:b w:val="0"/>
          <w:i w:val="0"/>
          <w:sz w:val="24"/>
        </w:rPr>
        <w:t>(1), 75–90. https://doi.org/10.1017/S0003055403000534</w:t>
      </w:r>
    </w:p>
    <w:p>
      <w:pPr>
        <w:pStyle w:val="Bibliography"/>
      </w:pPr>
      <w:r>
        <w:rPr>
          <w:rFonts w:ascii="Times New Roman" w:hAnsi="Times New Roman"/>
          <w:b w:val="0"/>
          <w:i w:val="0"/>
          <w:sz w:val="24"/>
        </w:rPr>
        <w:t xml:space="preserve">Freeman, M. (2009). </w:t>
      </w:r>
      <w:r>
        <w:rPr>
          <w:rFonts w:ascii="Times New Roman" w:hAnsi="Times New Roman"/>
          <w:b w:val="0"/>
          <w:i/>
          <w:sz w:val="24"/>
        </w:rPr>
        <w:t>Necessary evils: Amnesties and the search for justice</w:t>
      </w:r>
      <w:r>
        <w:rPr>
          <w:rFonts w:ascii="Times New Roman" w:hAnsi="Times New Roman"/>
          <w:b w:val="0"/>
          <w:i w:val="0"/>
          <w:sz w:val="24"/>
        </w:rPr>
        <w:t>. Cambridge University Press.</w:t>
      </w:r>
    </w:p>
    <w:p>
      <w:pPr>
        <w:pStyle w:val="Bibliography"/>
      </w:pPr>
      <w:r>
        <w:rPr>
          <w:rFonts w:ascii="Times New Roman" w:hAnsi="Times New Roman"/>
          <w:b w:val="0"/>
          <w:i w:val="0"/>
          <w:sz w:val="24"/>
        </w:rPr>
        <w:t xml:space="preserve">Gandhi, J., &amp; Przeworski, A. (2007). Authoritarian institutions and the survival of autocrats. </w:t>
      </w:r>
      <w:r>
        <w:rPr>
          <w:rFonts w:ascii="Times New Roman" w:hAnsi="Times New Roman"/>
          <w:b w:val="0"/>
          <w:i/>
          <w:sz w:val="24"/>
        </w:rPr>
        <w:t>Comparative Political Studies</w:t>
      </w:r>
      <w:r>
        <w:rPr>
          <w:rFonts w:ascii="Times New Roman" w:hAnsi="Times New Roman"/>
          <w:b w:val="0"/>
          <w:i w:val="0"/>
          <w:sz w:val="24"/>
        </w:rPr>
        <w:t xml:space="preserve">, </w:t>
      </w:r>
      <w:r>
        <w:rPr>
          <w:rFonts w:ascii="Times New Roman" w:hAnsi="Times New Roman"/>
          <w:b w:val="0"/>
          <w:i/>
          <w:sz w:val="24"/>
        </w:rPr>
        <w:t>40</w:t>
      </w:r>
      <w:r>
        <w:rPr>
          <w:rFonts w:ascii="Times New Roman" w:hAnsi="Times New Roman"/>
          <w:b w:val="0"/>
          <w:i w:val="0"/>
          <w:sz w:val="24"/>
        </w:rPr>
        <w:t>(11), 1279–1301. https://doi.org/10.1177/0010414007305817</w:t>
      </w:r>
    </w:p>
    <w:p>
      <w:pPr>
        <w:pStyle w:val="Bibliography"/>
      </w:pPr>
      <w:r>
        <w:rPr>
          <w:rFonts w:ascii="Times New Roman" w:hAnsi="Times New Roman"/>
          <w:b w:val="0"/>
          <w:i w:val="0"/>
          <w:sz w:val="24"/>
        </w:rPr>
        <w:t xml:space="preserve">Geddes, B. (1999). What do we know about democratization after twenty years? </w:t>
      </w:r>
      <w:r>
        <w:rPr>
          <w:rFonts w:ascii="Times New Roman" w:hAnsi="Times New Roman"/>
          <w:b w:val="0"/>
          <w:i/>
          <w:sz w:val="24"/>
        </w:rPr>
        <w:t>Annual Review of Political Science</w:t>
      </w:r>
      <w:r>
        <w:rPr>
          <w:rFonts w:ascii="Times New Roman" w:hAnsi="Times New Roman"/>
          <w:b w:val="0"/>
          <w:i w:val="0"/>
          <w:sz w:val="24"/>
        </w:rPr>
        <w:t xml:space="preserve">, </w:t>
      </w:r>
      <w:r>
        <w:rPr>
          <w:rFonts w:ascii="Times New Roman" w:hAnsi="Times New Roman"/>
          <w:b w:val="0"/>
          <w:i/>
          <w:sz w:val="24"/>
        </w:rPr>
        <w:t>2</w:t>
      </w:r>
      <w:r>
        <w:rPr>
          <w:rFonts w:ascii="Times New Roman" w:hAnsi="Times New Roman"/>
          <w:b w:val="0"/>
          <w:i w:val="0"/>
          <w:sz w:val="24"/>
        </w:rPr>
        <w:t>, 115–144. https://doi.org/10.1146/annurev.polisci.2.1.115</w:t>
      </w:r>
    </w:p>
    <w:p>
      <w:pPr>
        <w:pStyle w:val="Bibliography"/>
      </w:pPr>
      <w:r>
        <w:rPr>
          <w:rFonts w:ascii="Times New Roman" w:hAnsi="Times New Roman"/>
          <w:b w:val="0"/>
          <w:i w:val="0"/>
          <w:sz w:val="24"/>
        </w:rPr>
        <w:t xml:space="preserve">George, A. L., &amp; Bennett, A. (2005). </w:t>
      </w:r>
      <w:r>
        <w:rPr>
          <w:rFonts w:ascii="Times New Roman" w:hAnsi="Times New Roman"/>
          <w:b w:val="0"/>
          <w:i/>
          <w:sz w:val="24"/>
        </w:rPr>
        <w:t>Case studies and theory development in the social sciences</w:t>
      </w:r>
      <w:r>
        <w:rPr>
          <w:rFonts w:ascii="Times New Roman" w:hAnsi="Times New Roman"/>
          <w:b w:val="0"/>
          <w:i w:val="0"/>
          <w:sz w:val="24"/>
        </w:rPr>
        <w:t>. MIT Press.</w:t>
      </w:r>
    </w:p>
    <w:p>
      <w:pPr>
        <w:pStyle w:val="Bibliography"/>
      </w:pPr>
      <w:r>
        <w:rPr>
          <w:rFonts w:ascii="Times New Roman" w:hAnsi="Times New Roman"/>
          <w:b w:val="0"/>
          <w:i w:val="0"/>
          <w:sz w:val="24"/>
        </w:rPr>
        <w:t xml:space="preserve">Gibson, J. L. (2004). </w:t>
      </w:r>
      <w:r>
        <w:rPr>
          <w:rFonts w:ascii="Times New Roman" w:hAnsi="Times New Roman"/>
          <w:b w:val="0"/>
          <w:i/>
          <w:sz w:val="24"/>
        </w:rPr>
        <w:t>Overcoming apartheid: Can truth reconcile a divided nation?</w:t>
      </w:r>
      <w:r>
        <w:rPr>
          <w:rFonts w:ascii="Times New Roman" w:hAnsi="Times New Roman"/>
          <w:b w:val="0"/>
          <w:i w:val="0"/>
          <w:sz w:val="24"/>
        </w:rPr>
        <w:t xml:space="preserve"> Russell Sage Foundation.</w:t>
      </w:r>
    </w:p>
    <w:p>
      <w:pPr>
        <w:pStyle w:val="Bibliography"/>
      </w:pPr>
      <w:r>
        <w:rPr>
          <w:rFonts w:ascii="Times New Roman" w:hAnsi="Times New Roman"/>
          <w:b w:val="0"/>
          <w:i w:val="0"/>
          <w:sz w:val="24"/>
        </w:rPr>
        <w:t xml:space="preserve">Hafner-Burton, E. M., Hyde, S. D., &amp; Jablonski, R. S. (2018). When do governments resort to election violence? </w:t>
      </w:r>
      <w:r>
        <w:rPr>
          <w:rFonts w:ascii="Times New Roman" w:hAnsi="Times New Roman"/>
          <w:b w:val="0"/>
          <w:i/>
          <w:sz w:val="24"/>
        </w:rPr>
        <w:t>British Journal of Political Science</w:t>
      </w:r>
      <w:r>
        <w:rPr>
          <w:rFonts w:ascii="Times New Roman" w:hAnsi="Times New Roman"/>
          <w:b w:val="0"/>
          <w:i w:val="0"/>
          <w:sz w:val="24"/>
        </w:rPr>
        <w:t xml:space="preserve">, </w:t>
      </w:r>
      <w:r>
        <w:rPr>
          <w:rFonts w:ascii="Times New Roman" w:hAnsi="Times New Roman"/>
          <w:b w:val="0"/>
          <w:i/>
          <w:sz w:val="24"/>
        </w:rPr>
        <w:t>48</w:t>
      </w:r>
      <w:r>
        <w:rPr>
          <w:rFonts w:ascii="Times New Roman" w:hAnsi="Times New Roman"/>
          <w:b w:val="0"/>
          <w:i w:val="0"/>
          <w:sz w:val="24"/>
        </w:rPr>
        <w:t>(1), 149–179. https://doi.org/10.1017/S000712341500064X</w:t>
      </w:r>
    </w:p>
    <w:p>
      <w:pPr>
        <w:pStyle w:val="Bibliography"/>
      </w:pPr>
      <w:r>
        <w:rPr>
          <w:rFonts w:ascii="Times New Roman" w:hAnsi="Times New Roman"/>
          <w:b w:val="0"/>
          <w:i w:val="0"/>
          <w:sz w:val="24"/>
        </w:rPr>
        <w:t xml:space="preserve">Hayner, P. B. (2011). </w:t>
      </w:r>
      <w:r>
        <w:rPr>
          <w:rFonts w:ascii="Times New Roman" w:hAnsi="Times New Roman"/>
          <w:b w:val="0"/>
          <w:i/>
          <w:sz w:val="24"/>
        </w:rPr>
        <w:t>Unspeakable truths: Transitional justice and the challenge of truth commissions</w:t>
      </w:r>
      <w:r>
        <w:rPr>
          <w:rFonts w:ascii="Times New Roman" w:hAnsi="Times New Roman"/>
          <w:b w:val="0"/>
          <w:i w:val="0"/>
          <w:sz w:val="24"/>
        </w:rPr>
        <w:t xml:space="preserve"> (2nd ed.). Routledge.</w:t>
      </w:r>
    </w:p>
    <w:p>
      <w:pPr>
        <w:pStyle w:val="Bibliography"/>
      </w:pPr>
      <w:r>
        <w:rPr>
          <w:rFonts w:ascii="Times New Roman" w:hAnsi="Times New Roman"/>
          <w:b w:val="0"/>
          <w:i w:val="0"/>
          <w:sz w:val="24"/>
        </w:rPr>
        <w:t xml:space="preserve">Howard, M. M., &amp; Roessler, P. G. (2006). Liberalizing electoral outcomes in competitive authoritarian regimes. </w:t>
      </w:r>
      <w:r>
        <w:rPr>
          <w:rFonts w:ascii="Times New Roman" w:hAnsi="Times New Roman"/>
          <w:b w:val="0"/>
          <w:i/>
          <w:sz w:val="24"/>
        </w:rPr>
        <w:t>American Journal of Political Science</w:t>
      </w:r>
      <w:r>
        <w:rPr>
          <w:rFonts w:ascii="Times New Roman" w:hAnsi="Times New Roman"/>
          <w:b w:val="0"/>
          <w:i w:val="0"/>
          <w:sz w:val="24"/>
        </w:rPr>
        <w:t xml:space="preserve">, </w:t>
      </w:r>
      <w:r>
        <w:rPr>
          <w:rFonts w:ascii="Times New Roman" w:hAnsi="Times New Roman"/>
          <w:b w:val="0"/>
          <w:i/>
          <w:sz w:val="24"/>
        </w:rPr>
        <w:t>50</w:t>
      </w:r>
      <w:r>
        <w:rPr>
          <w:rFonts w:ascii="Times New Roman" w:hAnsi="Times New Roman"/>
          <w:b w:val="0"/>
          <w:i w:val="0"/>
          <w:sz w:val="24"/>
        </w:rPr>
        <w:t>(2), 365–381. https://doi.org/10.1111/j.1540-5907.2006.00189.x</w:t>
      </w:r>
    </w:p>
    <w:p>
      <w:pPr>
        <w:pStyle w:val="Bibliography"/>
      </w:pPr>
      <w:r>
        <w:rPr>
          <w:rFonts w:ascii="Times New Roman" w:hAnsi="Times New Roman"/>
          <w:b w:val="0"/>
          <w:i w:val="0"/>
          <w:sz w:val="24"/>
        </w:rPr>
        <w:t xml:space="preserve">Human Rights Watch. (2012). </w:t>
      </w:r>
      <w:r>
        <w:rPr>
          <w:rFonts w:ascii="Times New Roman" w:hAnsi="Times New Roman"/>
          <w:b w:val="0"/>
          <w:i/>
          <w:sz w:val="24"/>
        </w:rPr>
        <w:t>Deliver me from Egypt: Security force abuses in Egypt</w:t>
      </w:r>
      <w:r>
        <w:rPr>
          <w:rFonts w:ascii="Times New Roman" w:hAnsi="Times New Roman"/>
          <w:b w:val="0"/>
          <w:i w:val="0"/>
          <w:sz w:val="24"/>
        </w:rPr>
        <w:t>. Human Rights Watch.</w:t>
      </w:r>
    </w:p>
    <w:p>
      <w:pPr>
        <w:pStyle w:val="Bibliography"/>
      </w:pPr>
      <w:r>
        <w:rPr>
          <w:rFonts w:ascii="Times New Roman" w:hAnsi="Times New Roman"/>
          <w:b w:val="0"/>
          <w:i w:val="0"/>
          <w:sz w:val="24"/>
        </w:rPr>
        <w:t xml:space="preserve">International Crisis Group. (2011). </w:t>
      </w:r>
      <w:r>
        <w:rPr>
          <w:rFonts w:ascii="Times New Roman" w:hAnsi="Times New Roman"/>
          <w:b w:val="0"/>
          <w:i/>
          <w:sz w:val="24"/>
        </w:rPr>
        <w:t>Making the best of Libya's bad options</w:t>
      </w:r>
      <w:r>
        <w:rPr>
          <w:rFonts w:ascii="Times New Roman" w:hAnsi="Times New Roman"/>
          <w:b w:val="0"/>
          <w:i w:val="0"/>
          <w:sz w:val="24"/>
        </w:rPr>
        <w:t xml:space="preserve"> (Middle East/North Africa Report No. 112). International Crisis Group.</w:t>
      </w:r>
    </w:p>
    <w:p>
      <w:pPr>
        <w:pStyle w:val="Bibliography"/>
      </w:pPr>
      <w:r>
        <w:rPr>
          <w:rFonts w:ascii="Times New Roman" w:hAnsi="Times New Roman"/>
          <w:b w:val="0"/>
          <w:i w:val="0"/>
          <w:sz w:val="24"/>
        </w:rPr>
        <w:t xml:space="preserve">Karl, T. L. (1990). Dilemmas of democratization in Latin America. </w:t>
      </w:r>
      <w:r>
        <w:rPr>
          <w:rFonts w:ascii="Times New Roman" w:hAnsi="Times New Roman"/>
          <w:b w:val="0"/>
          <w:i/>
          <w:sz w:val="24"/>
        </w:rPr>
        <w:t>Comparative Politics</w:t>
      </w:r>
      <w:r>
        <w:rPr>
          <w:rFonts w:ascii="Times New Roman" w:hAnsi="Times New Roman"/>
          <w:b w:val="0"/>
          <w:i w:val="0"/>
          <w:sz w:val="24"/>
        </w:rPr>
        <w:t xml:space="preserve">, </w:t>
      </w:r>
      <w:r>
        <w:rPr>
          <w:rFonts w:ascii="Times New Roman" w:hAnsi="Times New Roman"/>
          <w:b w:val="0"/>
          <w:i/>
          <w:sz w:val="24"/>
        </w:rPr>
        <w:t>23</w:t>
      </w:r>
      <w:r>
        <w:rPr>
          <w:rFonts w:ascii="Times New Roman" w:hAnsi="Times New Roman"/>
          <w:b w:val="0"/>
          <w:i w:val="0"/>
          <w:sz w:val="24"/>
        </w:rPr>
        <w:t>(1), 1–21. https://doi.org/10.2307/422078</w:t>
      </w:r>
    </w:p>
    <w:p>
      <w:pPr>
        <w:pStyle w:val="Bibliography"/>
      </w:pPr>
      <w:r>
        <w:rPr>
          <w:rFonts w:ascii="Times New Roman" w:hAnsi="Times New Roman"/>
          <w:b w:val="0"/>
          <w:i w:val="0"/>
          <w:sz w:val="24"/>
        </w:rPr>
        <w:t xml:space="preserve">Kersten, M. (2015). </w:t>
      </w:r>
      <w:r>
        <w:rPr>
          <w:rFonts w:ascii="Times New Roman" w:hAnsi="Times New Roman"/>
          <w:b w:val="0"/>
          <w:i/>
          <w:sz w:val="24"/>
        </w:rPr>
        <w:t>Justice in conflict: The effects of the International Criminal Court's interventions on ending wars and building peace</w:t>
      </w:r>
      <w:r>
        <w:rPr>
          <w:rFonts w:ascii="Times New Roman" w:hAnsi="Times New Roman"/>
          <w:b w:val="0"/>
          <w:i w:val="0"/>
          <w:sz w:val="24"/>
        </w:rPr>
        <w:t>. Oxford University Press.</w:t>
      </w:r>
    </w:p>
    <w:p>
      <w:pPr>
        <w:pStyle w:val="Bibliography"/>
      </w:pPr>
      <w:r>
        <w:rPr>
          <w:rFonts w:ascii="Times New Roman" w:hAnsi="Times New Roman"/>
          <w:b w:val="0"/>
          <w:i w:val="0"/>
          <w:sz w:val="24"/>
        </w:rPr>
        <w:t xml:space="preserve">Khan, M. H. (2010). Political settlements and the governance of growth-enhancing institutions. </w:t>
      </w:r>
      <w:r>
        <w:rPr>
          <w:rFonts w:ascii="Times New Roman" w:hAnsi="Times New Roman"/>
          <w:b w:val="0"/>
          <w:i/>
          <w:sz w:val="24"/>
        </w:rPr>
        <w:t>Research Paper Series on Governance for Growth</w:t>
      </w:r>
      <w:r>
        <w:rPr>
          <w:rFonts w:ascii="Times New Roman" w:hAnsi="Times New Roman"/>
          <w:b w:val="0"/>
          <w:i w:val="0"/>
          <w:sz w:val="24"/>
        </w:rPr>
        <w:t>, SOAS, University of London.</w:t>
      </w:r>
    </w:p>
    <w:p>
      <w:pPr>
        <w:pStyle w:val="Bibliography"/>
      </w:pPr>
      <w:r>
        <w:rPr>
          <w:rFonts w:ascii="Times New Roman" w:hAnsi="Times New Roman"/>
          <w:b w:val="0"/>
          <w:i w:val="0"/>
          <w:sz w:val="24"/>
        </w:rPr>
        <w:t xml:space="preserve">Levitsky, S., &amp; Way, L. A. (2010). </w:t>
      </w:r>
      <w:r>
        <w:rPr>
          <w:rFonts w:ascii="Times New Roman" w:hAnsi="Times New Roman"/>
          <w:b w:val="0"/>
          <w:i/>
          <w:sz w:val="24"/>
        </w:rPr>
        <w:t>Competitive authoritarianism: Hybrid regimes after the Cold War</w:t>
      </w:r>
      <w:r>
        <w:rPr>
          <w:rFonts w:ascii="Times New Roman" w:hAnsi="Times New Roman"/>
          <w:b w:val="0"/>
          <w:i w:val="0"/>
          <w:sz w:val="24"/>
        </w:rPr>
        <w:t>. Cambridge University Press.</w:t>
      </w:r>
    </w:p>
    <w:p>
      <w:pPr>
        <w:pStyle w:val="Bibliography"/>
      </w:pPr>
      <w:r>
        <w:rPr>
          <w:rFonts w:ascii="Times New Roman" w:hAnsi="Times New Roman"/>
          <w:b w:val="0"/>
          <w:i w:val="0"/>
          <w:sz w:val="24"/>
        </w:rPr>
        <w:t xml:space="preserve">Linz, J. J., &amp; Stepan, A. C. (1996). </w:t>
      </w:r>
      <w:r>
        <w:rPr>
          <w:rFonts w:ascii="Times New Roman" w:hAnsi="Times New Roman"/>
          <w:b w:val="0"/>
          <w:i/>
          <w:sz w:val="24"/>
        </w:rPr>
        <w:t>Problems of democratic transition and consolidation: Southern Europe, South America, and post-communist Europe</w:t>
      </w:r>
      <w:r>
        <w:rPr>
          <w:rFonts w:ascii="Times New Roman" w:hAnsi="Times New Roman"/>
          <w:b w:val="0"/>
          <w:i w:val="0"/>
          <w:sz w:val="24"/>
        </w:rPr>
        <w:t>. Johns Hopkins University Press.</w:t>
      </w:r>
    </w:p>
    <w:p>
      <w:pPr>
        <w:pStyle w:val="Bibliography"/>
      </w:pPr>
      <w:r>
        <w:rPr>
          <w:rFonts w:ascii="Times New Roman" w:hAnsi="Times New Roman"/>
          <w:b w:val="0"/>
          <w:i w:val="0"/>
          <w:sz w:val="24"/>
        </w:rPr>
        <w:t xml:space="preserve">Lustick, I. S. (1994). The discipline of political science: Looking at gender and race in the transition from communism. In M. Gitlin (Ed.), </w:t>
      </w:r>
      <w:r>
        <w:rPr>
          <w:rFonts w:ascii="Times New Roman" w:hAnsi="Times New Roman"/>
          <w:b w:val="0"/>
          <w:i/>
          <w:sz w:val="24"/>
        </w:rPr>
        <w:t>A disorderly world</w:t>
      </w:r>
      <w:r>
        <w:rPr>
          <w:rFonts w:ascii="Times New Roman" w:hAnsi="Times New Roman"/>
          <w:b w:val="0"/>
          <w:i w:val="0"/>
          <w:sz w:val="24"/>
        </w:rPr>
        <w:t xml:space="preserve"> (pp. 85–103). Routledge.</w:t>
      </w:r>
    </w:p>
    <w:p>
      <w:pPr>
        <w:pStyle w:val="Bibliography"/>
      </w:pPr>
      <w:r>
        <w:rPr>
          <w:rFonts w:ascii="Times New Roman" w:hAnsi="Times New Roman"/>
          <w:b w:val="0"/>
          <w:i w:val="0"/>
          <w:sz w:val="24"/>
        </w:rPr>
        <w:t xml:space="preserve">Mallinder, L. (2008). </w:t>
      </w:r>
      <w:r>
        <w:rPr>
          <w:rFonts w:ascii="Times New Roman" w:hAnsi="Times New Roman"/>
          <w:b w:val="0"/>
          <w:i/>
          <w:sz w:val="24"/>
        </w:rPr>
        <w:t>Amnesty, human rights and political transitions</w:t>
      </w:r>
      <w:r>
        <w:rPr>
          <w:rFonts w:ascii="Times New Roman" w:hAnsi="Times New Roman"/>
          <w:b w:val="0"/>
          <w:i w:val="0"/>
          <w:sz w:val="24"/>
        </w:rPr>
        <w:t>. Hart Publishing.</w:t>
      </w:r>
    </w:p>
    <w:p>
      <w:pPr>
        <w:pStyle w:val="Bibliography"/>
      </w:pPr>
      <w:r>
        <w:rPr>
          <w:rFonts w:ascii="Times New Roman" w:hAnsi="Times New Roman"/>
          <w:b w:val="0"/>
          <w:i w:val="0"/>
          <w:sz w:val="24"/>
        </w:rPr>
        <w:t xml:space="preserve">O'Donnell, G., &amp; Schmitter, P. C. (1986). </w:t>
      </w:r>
      <w:r>
        <w:rPr>
          <w:rFonts w:ascii="Times New Roman" w:hAnsi="Times New Roman"/>
          <w:b w:val="0"/>
          <w:i/>
          <w:sz w:val="24"/>
        </w:rPr>
        <w:t>Transitions from authoritarian rule: Tentative conclusions about uncertain democracies</w:t>
      </w:r>
      <w:r>
        <w:rPr>
          <w:rFonts w:ascii="Times New Roman" w:hAnsi="Times New Roman"/>
          <w:b w:val="0"/>
          <w:i w:val="0"/>
          <w:sz w:val="24"/>
        </w:rPr>
        <w:t>. Johns Hopkins University Press.</w:t>
      </w:r>
    </w:p>
    <w:p>
      <w:pPr>
        <w:pStyle w:val="Bibliography"/>
      </w:pPr>
      <w:r>
        <w:rPr>
          <w:rFonts w:ascii="Times New Roman" w:hAnsi="Times New Roman"/>
          <w:b w:val="0"/>
          <w:i w:val="0"/>
          <w:sz w:val="24"/>
        </w:rPr>
        <w:t>Olsen, T. D., Payne, L. A., &amp; Reiter, A. G. (2010). Transitional justice in balance: Comparing processes, weighing efficacy. United States Institute of Peace Press.</w:t>
      </w:r>
    </w:p>
    <w:p>
      <w:pPr>
        <w:pStyle w:val="Bibliography"/>
      </w:pPr>
      <w:r>
        <w:rPr>
          <w:rFonts w:ascii="Times New Roman" w:hAnsi="Times New Roman"/>
          <w:b w:val="0"/>
          <w:i w:val="0"/>
          <w:sz w:val="24"/>
        </w:rPr>
        <w:t xml:space="preserve">Paffenholz, T., Verhoeven, H., &amp; Spurk, C. (2016). Negotiating inclusion in peace processes. </w:t>
      </w:r>
      <w:r>
        <w:rPr>
          <w:rFonts w:ascii="Times New Roman" w:hAnsi="Times New Roman"/>
          <w:b w:val="0"/>
          <w:i/>
          <w:sz w:val="24"/>
        </w:rPr>
        <w:t>DPA Policy Paper</w:t>
      </w:r>
      <w:r>
        <w:rPr>
          <w:rFonts w:ascii="Times New Roman" w:hAnsi="Times New Roman"/>
          <w:b w:val="0"/>
          <w:i w:val="0"/>
          <w:sz w:val="24"/>
        </w:rPr>
        <w:t>. United Nations Department of Political Affairs.</w:t>
      </w:r>
    </w:p>
    <w:p>
      <w:pPr>
        <w:pStyle w:val="Bibliography"/>
      </w:pPr>
      <w:r>
        <w:rPr>
          <w:rFonts w:ascii="Times New Roman" w:hAnsi="Times New Roman"/>
          <w:b w:val="0"/>
          <w:i w:val="0"/>
          <w:sz w:val="24"/>
        </w:rPr>
        <w:t xml:space="preserve">Parks, T., &amp; Cole, W. (2010). Political settlements: Implications for international development policy and practice. </w:t>
      </w:r>
      <w:r>
        <w:rPr>
          <w:rFonts w:ascii="Times New Roman" w:hAnsi="Times New Roman"/>
          <w:b w:val="0"/>
          <w:i/>
          <w:sz w:val="24"/>
        </w:rPr>
        <w:t>Overseas Development Institute Briefing Paper</w:t>
      </w:r>
      <w:r>
        <w:rPr>
          <w:rFonts w:ascii="Times New Roman" w:hAnsi="Times New Roman"/>
          <w:b w:val="0"/>
          <w:i w:val="0"/>
          <w:sz w:val="24"/>
        </w:rPr>
        <w:t>.</w:t>
      </w:r>
    </w:p>
    <w:p>
      <w:pPr>
        <w:pStyle w:val="Bibliography"/>
      </w:pPr>
      <w:r>
        <w:rPr>
          <w:rFonts w:ascii="Times New Roman" w:hAnsi="Times New Roman"/>
          <w:b w:val="0"/>
          <w:i w:val="0"/>
          <w:sz w:val="24"/>
        </w:rPr>
        <w:t xml:space="preserve">Przeworski, A. (1991). </w:t>
      </w:r>
      <w:r>
        <w:rPr>
          <w:rFonts w:ascii="Times New Roman" w:hAnsi="Times New Roman"/>
          <w:b w:val="0"/>
          <w:i/>
          <w:sz w:val="24"/>
        </w:rPr>
        <w:t>Democracy and the market: Political and economic reforms in Eastern Europe and Latin America</w:t>
      </w:r>
      <w:r>
        <w:rPr>
          <w:rFonts w:ascii="Times New Roman" w:hAnsi="Times New Roman"/>
          <w:b w:val="0"/>
          <w:i w:val="0"/>
          <w:sz w:val="24"/>
        </w:rPr>
        <w:t>. Cambridge University Press.</w:t>
      </w:r>
    </w:p>
    <w:p>
      <w:pPr>
        <w:pStyle w:val="Bibliography"/>
      </w:pPr>
      <w:r>
        <w:rPr>
          <w:rFonts w:ascii="Times New Roman" w:hAnsi="Times New Roman"/>
          <w:b w:val="0"/>
          <w:i w:val="0"/>
          <w:sz w:val="24"/>
        </w:rPr>
        <w:t xml:space="preserve">Roeder, P. G. (1994). The breakup of the Soviet Union and the Yugoslav federation. </w:t>
      </w:r>
      <w:r>
        <w:rPr>
          <w:rFonts w:ascii="Times New Roman" w:hAnsi="Times New Roman"/>
          <w:b w:val="0"/>
          <w:i/>
          <w:sz w:val="24"/>
        </w:rPr>
        <w:t>Political Science Quarterly</w:t>
      </w:r>
      <w:r>
        <w:rPr>
          <w:rFonts w:ascii="Times New Roman" w:hAnsi="Times New Roman"/>
          <w:b w:val="0"/>
          <w:i w:val="0"/>
          <w:sz w:val="24"/>
        </w:rPr>
        <w:t xml:space="preserve">, </w:t>
      </w:r>
      <w:r>
        <w:rPr>
          <w:rFonts w:ascii="Times New Roman" w:hAnsi="Times New Roman"/>
          <w:b w:val="0"/>
          <w:i/>
          <w:sz w:val="24"/>
        </w:rPr>
        <w:t>109</w:t>
      </w:r>
      <w:r>
        <w:rPr>
          <w:rFonts w:ascii="Times New Roman" w:hAnsi="Times New Roman"/>
          <w:b w:val="0"/>
          <w:i w:val="0"/>
          <w:sz w:val="24"/>
        </w:rPr>
        <w:t>(2), 223–255. https://doi.org/10.2307/2152626</w:t>
      </w:r>
    </w:p>
    <w:p>
      <w:pPr>
        <w:pStyle w:val="Bibliography"/>
      </w:pPr>
      <w:r>
        <w:rPr>
          <w:rFonts w:ascii="Times New Roman" w:hAnsi="Times New Roman"/>
          <w:b w:val="0"/>
          <w:i w:val="0"/>
          <w:sz w:val="24"/>
        </w:rPr>
        <w:t>Rome Statute of the International Criminal Court. (1998). United Nations Treaty Series, No. 38544.</w:t>
      </w:r>
    </w:p>
    <w:p>
      <w:pPr>
        <w:pStyle w:val="Bibliography"/>
      </w:pPr>
      <w:r>
        <w:rPr>
          <w:rFonts w:ascii="Times New Roman" w:hAnsi="Times New Roman"/>
          <w:b w:val="0"/>
          <w:i w:val="0"/>
          <w:sz w:val="24"/>
        </w:rPr>
        <w:t xml:space="preserve">Snyder, J., &amp; Vinjamuri, L. (2003). Trials and errors: Principle and pragmatism in strategies of international justice. </w:t>
      </w:r>
      <w:r>
        <w:rPr>
          <w:rFonts w:ascii="Times New Roman" w:hAnsi="Times New Roman"/>
          <w:b w:val="0"/>
          <w:i/>
          <w:sz w:val="24"/>
        </w:rPr>
        <w:t>International Security</w:t>
      </w:r>
      <w:r>
        <w:rPr>
          <w:rFonts w:ascii="Times New Roman" w:hAnsi="Times New Roman"/>
          <w:b w:val="0"/>
          <w:i w:val="0"/>
          <w:sz w:val="24"/>
        </w:rPr>
        <w:t xml:space="preserve">, </w:t>
      </w:r>
      <w:r>
        <w:rPr>
          <w:rFonts w:ascii="Times New Roman" w:hAnsi="Times New Roman"/>
          <w:b w:val="0"/>
          <w:i/>
          <w:sz w:val="24"/>
        </w:rPr>
        <w:t>28</w:t>
      </w:r>
      <w:r>
        <w:rPr>
          <w:rFonts w:ascii="Times New Roman" w:hAnsi="Times New Roman"/>
          <w:b w:val="0"/>
          <w:i w:val="0"/>
          <w:sz w:val="24"/>
        </w:rPr>
        <w:t>(3), 5–44. https://doi.org/10.1162/016228803322761346</w:t>
      </w:r>
    </w:p>
    <w:p>
      <w:pPr>
        <w:pStyle w:val="Bibliography"/>
      </w:pPr>
      <w:r>
        <w:rPr>
          <w:rFonts w:ascii="Times New Roman" w:hAnsi="Times New Roman"/>
          <w:b w:val="0"/>
          <w:i w:val="0"/>
          <w:sz w:val="24"/>
        </w:rPr>
        <w:t xml:space="preserve">Stedman, S. J., Rothchild, D., &amp; Cousens, E. M. (Eds.). (2002). </w:t>
      </w:r>
      <w:r>
        <w:rPr>
          <w:rFonts w:ascii="Times New Roman" w:hAnsi="Times New Roman"/>
          <w:b w:val="0"/>
          <w:i/>
          <w:sz w:val="24"/>
        </w:rPr>
        <w:t>Ending civil wars: The implementation of peace agreements</w:t>
      </w:r>
      <w:r>
        <w:rPr>
          <w:rFonts w:ascii="Times New Roman" w:hAnsi="Times New Roman"/>
          <w:b w:val="0"/>
          <w:i w:val="0"/>
          <w:sz w:val="24"/>
        </w:rPr>
        <w:t>. Lynne Rienner.</w:t>
      </w:r>
    </w:p>
    <w:p>
      <w:pPr>
        <w:pStyle w:val="Bibliography"/>
      </w:pPr>
      <w:r>
        <w:rPr>
          <w:rFonts w:ascii="Times New Roman" w:hAnsi="Times New Roman"/>
          <w:b w:val="0"/>
          <w:i w:val="0"/>
          <w:sz w:val="24"/>
        </w:rPr>
        <w:t xml:space="preserve">Svolik, M. W. (2012). </w:t>
      </w:r>
      <w:r>
        <w:rPr>
          <w:rFonts w:ascii="Times New Roman" w:hAnsi="Times New Roman"/>
          <w:b w:val="0"/>
          <w:i/>
          <w:sz w:val="24"/>
        </w:rPr>
        <w:t>The politics of authoritarian rule</w:t>
      </w:r>
      <w:r>
        <w:rPr>
          <w:rFonts w:ascii="Times New Roman" w:hAnsi="Times New Roman"/>
          <w:b w:val="0"/>
          <w:i w:val="0"/>
          <w:sz w:val="24"/>
        </w:rPr>
        <w:t>. Cambridge University Press.</w:t>
      </w:r>
    </w:p>
    <w:p>
      <w:pPr>
        <w:pStyle w:val="Bibliography"/>
      </w:pPr>
      <w:r>
        <w:rPr>
          <w:rFonts w:ascii="Times New Roman" w:hAnsi="Times New Roman"/>
          <w:b w:val="0"/>
          <w:i w:val="0"/>
          <w:sz w:val="24"/>
        </w:rPr>
        <w:t xml:space="preserve">Teitel, R. G. (2000). </w:t>
      </w:r>
      <w:r>
        <w:rPr>
          <w:rFonts w:ascii="Times New Roman" w:hAnsi="Times New Roman"/>
          <w:b w:val="0"/>
          <w:i/>
          <w:sz w:val="24"/>
        </w:rPr>
        <w:t>Transitional justice</w:t>
      </w:r>
      <w:r>
        <w:rPr>
          <w:rFonts w:ascii="Times New Roman" w:hAnsi="Times New Roman"/>
          <w:b w:val="0"/>
          <w:i w:val="0"/>
          <w:sz w:val="24"/>
        </w:rPr>
        <w:t>. Oxford University Press.</w:t>
      </w:r>
    </w:p>
    <w:p>
      <w:pPr>
        <w:pStyle w:val="Bibliography"/>
      </w:pPr>
      <w:r>
        <w:rPr>
          <w:rFonts w:ascii="Times New Roman" w:hAnsi="Times New Roman"/>
          <w:b w:val="0"/>
          <w:i w:val="0"/>
          <w:sz w:val="24"/>
        </w:rPr>
        <w:t xml:space="preserve">United Nations. (2015). </w:t>
      </w:r>
      <w:r>
        <w:rPr>
          <w:rFonts w:ascii="Times New Roman" w:hAnsi="Times New Roman"/>
          <w:b w:val="0"/>
          <w:i/>
          <w:sz w:val="24"/>
        </w:rPr>
        <w:t>Report of the Secretary-General on the United Nations and conflict prevention</w:t>
      </w:r>
      <w:r>
        <w:rPr>
          <w:rFonts w:ascii="Times New Roman" w:hAnsi="Times New Roman"/>
          <w:b w:val="0"/>
          <w:i w:val="0"/>
          <w:sz w:val="24"/>
        </w:rPr>
        <w:t>. A/70/357. United Nations.</w:t>
      </w:r>
    </w:p>
    <w:p>
      <w:pPr>
        <w:pStyle w:val="Bibliography"/>
      </w:pPr>
      <w:r>
        <w:rPr>
          <w:rFonts w:ascii="Times New Roman" w:hAnsi="Times New Roman"/>
          <w:b w:val="0"/>
          <w:i w:val="0"/>
          <w:sz w:val="24"/>
        </w:rPr>
        <w:t xml:space="preserve">Uppsala Conflict Data Program. (2024). </w:t>
      </w:r>
      <w:r>
        <w:rPr>
          <w:rFonts w:ascii="Times New Roman" w:hAnsi="Times New Roman"/>
          <w:b w:val="0"/>
          <w:i/>
          <w:sz w:val="24"/>
        </w:rPr>
        <w:t>UCDP dataset</w:t>
      </w:r>
      <w:r>
        <w:rPr>
          <w:rFonts w:ascii="Times New Roman" w:hAnsi="Times New Roman"/>
          <w:b w:val="0"/>
          <w:i w:val="0"/>
          <w:sz w:val="24"/>
        </w:rPr>
        <w:t>. Department of Peace and Conflict Research, Uppsala University.</w:t>
      </w:r>
    </w:p>
    <w:p>
      <w:pPr>
        <w:pStyle w:val="Bibliography"/>
      </w:pPr>
      <w:r>
        <w:rPr>
          <w:rFonts w:ascii="Times New Roman" w:hAnsi="Times New Roman"/>
          <w:b w:val="0"/>
          <w:i w:val="0"/>
          <w:sz w:val="24"/>
        </w:rPr>
        <w:t xml:space="preserve">World Bank. (2017). </w:t>
      </w:r>
      <w:r>
        <w:rPr>
          <w:rFonts w:ascii="Times New Roman" w:hAnsi="Times New Roman"/>
          <w:b w:val="0"/>
          <w:i/>
          <w:sz w:val="24"/>
        </w:rPr>
        <w:t>Pathways for peace: Inclusive approaches to preventing violent conflict</w:t>
      </w:r>
      <w:r>
        <w:rPr>
          <w:rFonts w:ascii="Times New Roman" w:hAnsi="Times New Roman"/>
          <w:b w:val="0"/>
          <w:i w:val="0"/>
          <w:sz w:val="24"/>
        </w:rPr>
        <w:t>. World Bank Group.</w:t>
      </w:r>
    </w:p>
    <w:p>
      <w:pPr>
        <w:pStyle w:val="Bibliography"/>
      </w:pPr>
      <w:r>
        <w:rPr>
          <w:rFonts w:ascii="Times New Roman" w:hAnsi="Times New Roman"/>
          <w:b w:val="0"/>
          <w:i w:val="0"/>
          <w:sz w:val="24"/>
        </w:rPr>
        <w:t xml:space="preserve">Wright, J. (2015). </w:t>
      </w:r>
      <w:r>
        <w:rPr>
          <w:rFonts w:ascii="Times New Roman" w:hAnsi="Times New Roman"/>
          <w:b w:val="0"/>
          <w:i/>
          <w:sz w:val="24"/>
        </w:rPr>
        <w:t>Foreign pressure and the politics of autocratic survival</w:t>
      </w:r>
      <w:r>
        <w:rPr>
          <w:rFonts w:ascii="Times New Roman" w:hAnsi="Times New Roman"/>
          <w:b w:val="0"/>
          <w:i w:val="0"/>
          <w:sz w:val="24"/>
        </w:rPr>
        <w:t>. Oxford University Press.</w:t>
      </w:r>
    </w:p>
    <w:p>
      <w:pPr>
        <w:pStyle w:val="Bibliography"/>
      </w:pPr>
      <w:r>
        <w:rPr>
          <w:rFonts w:ascii="Times New Roman" w:hAnsi="Times New Roman"/>
          <w:b w:val="0"/>
          <w:i w:val="0"/>
          <w:sz w:val="24"/>
        </w:rPr>
        <w:t xml:space="preserve">Zolberg, A. R. (1989). </w:t>
      </w:r>
      <w:r>
        <w:rPr>
          <w:rFonts w:ascii="Times New Roman" w:hAnsi="Times New Roman"/>
          <w:b w:val="0"/>
          <w:i/>
          <w:sz w:val="24"/>
        </w:rPr>
        <w:t>Escape from violence: Conflict and the refugee crisis in the developing world</w:t>
      </w:r>
      <w:r>
        <w:rPr>
          <w:rFonts w:ascii="Times New Roman" w:hAnsi="Times New Roman"/>
          <w:b w:val="0"/>
          <w:i w:val="0"/>
          <w:sz w:val="24"/>
        </w:rPr>
        <w:t>. Oxford University Press.</w:t>
      </w:r>
    </w:p>
    <w:p>
      <w:pPr>
        <w:pStyle w:val="Bibliography"/>
      </w:pPr>
      <w:r>
        <w:rPr>
          <w:rFonts w:ascii="Times New Roman" w:hAnsi="Times New Roman"/>
          <w:b w:val="0"/>
          <w:i w:val="0"/>
          <w:sz w:val="24"/>
        </w:rPr>
        <w:t xml:space="preserve">Gleditsch, N. P., Wallensteen, P., Eriksson, M., Sollenberg, M., &amp; Strand, H. (2014). Armed conflict 1946–2013. </w:t>
      </w:r>
      <w:r>
        <w:rPr>
          <w:rFonts w:ascii="Times New Roman" w:hAnsi="Times New Roman"/>
          <w:b w:val="0"/>
          <w:i/>
          <w:sz w:val="24"/>
        </w:rPr>
        <w:t>Journal of Peace Research</w:t>
      </w:r>
      <w:r>
        <w:rPr>
          <w:rFonts w:ascii="Times New Roman" w:hAnsi="Times New Roman"/>
          <w:b w:val="0"/>
          <w:i w:val="0"/>
          <w:sz w:val="24"/>
        </w:rPr>
        <w:t xml:space="preserve">, </w:t>
      </w:r>
      <w:r>
        <w:rPr>
          <w:rFonts w:ascii="Times New Roman" w:hAnsi="Times New Roman"/>
          <w:b w:val="0"/>
          <w:i/>
          <w:sz w:val="24"/>
        </w:rPr>
        <w:t>51</w:t>
      </w:r>
      <w:r>
        <w:rPr>
          <w:rFonts w:ascii="Times New Roman" w:hAnsi="Times New Roman"/>
          <w:b w:val="0"/>
          <w:i w:val="0"/>
          <w:sz w:val="24"/>
        </w:rPr>
        <w:t>(4), 541–550. https://doi.org/10.1177/0022343314542077</w:t>
      </w:r>
    </w:p>
    <w:p>
      <w:pPr>
        <w:pStyle w:val="Bibliography"/>
      </w:pPr>
      <w:r>
        <w:rPr>
          <w:rFonts w:ascii="Times New Roman" w:hAnsi="Times New Roman"/>
          <w:b w:val="0"/>
          <w:i w:val="0"/>
          <w:sz w:val="24"/>
        </w:rPr>
        <w:t xml:space="preserve">Mainwaring, S., &amp; Pérez-Liñán, A. (2013). </w:t>
      </w:r>
      <w:r>
        <w:rPr>
          <w:rFonts w:ascii="Times New Roman" w:hAnsi="Times New Roman"/>
          <w:b w:val="0"/>
          <w:i/>
          <w:sz w:val="24"/>
        </w:rPr>
        <w:t>Democracies and dictatorships in Latin America: Emergence, survival, and fall</w:t>
      </w:r>
      <w:r>
        <w:rPr>
          <w:rFonts w:ascii="Times New Roman" w:hAnsi="Times New Roman"/>
          <w:b w:val="0"/>
          <w:i w:val="0"/>
          <w:sz w:val="24"/>
        </w:rPr>
        <w:t>. Cambridge University Press.</w:t>
      </w:r>
    </w:p>
    <w:p>
      <w:pPr>
        <w:pStyle w:val="Bibliography"/>
      </w:pPr>
      <w:r>
        <w:rPr>
          <w:rFonts w:ascii="Times New Roman" w:hAnsi="Times New Roman"/>
          <w:b w:val="0"/>
          <w:i w:val="0"/>
          <w:sz w:val="24"/>
        </w:rPr>
        <w:t xml:space="preserve">Murphy, R. (2016). The Arab Spring and the crisis of the African Union's peace and security architecture. </w:t>
      </w:r>
      <w:r>
        <w:rPr>
          <w:rFonts w:ascii="Times New Roman" w:hAnsi="Times New Roman"/>
          <w:b w:val="0"/>
          <w:i/>
          <w:sz w:val="24"/>
        </w:rPr>
        <w:t>Journal of Contemporary African Studies</w:t>
      </w:r>
      <w:r>
        <w:rPr>
          <w:rFonts w:ascii="Times New Roman" w:hAnsi="Times New Roman"/>
          <w:b w:val="0"/>
          <w:i w:val="0"/>
          <w:sz w:val="24"/>
        </w:rPr>
        <w:t xml:space="preserve">, </w:t>
      </w:r>
      <w:r>
        <w:rPr>
          <w:rFonts w:ascii="Times New Roman" w:hAnsi="Times New Roman"/>
          <w:b w:val="0"/>
          <w:i/>
          <w:sz w:val="24"/>
        </w:rPr>
        <w:t>34</w:t>
      </w:r>
      <w:r>
        <w:rPr>
          <w:rFonts w:ascii="Times New Roman" w:hAnsi="Times New Roman"/>
          <w:b w:val="0"/>
          <w:i w:val="0"/>
          <w:sz w:val="24"/>
        </w:rPr>
        <w:t>(2), 161–178. https://doi.org/10.1080/02589001.2016.1169620</w:t>
      </w:r>
    </w:p>
    <w:p>
      <w:pPr>
        <w:pStyle w:val="Bibliography"/>
      </w:pPr>
      <w:r>
        <w:rPr>
          <w:rFonts w:ascii="Times New Roman" w:hAnsi="Times New Roman"/>
          <w:b w:val="0"/>
          <w:i w:val="0"/>
          <w:sz w:val="24"/>
        </w:rPr>
        <w:t xml:space="preserve">Subotic, J. (2009). The paradox of international justice compliance. </w:t>
      </w:r>
      <w:r>
        <w:rPr>
          <w:rFonts w:ascii="Times New Roman" w:hAnsi="Times New Roman"/>
          <w:b w:val="0"/>
          <w:i/>
          <w:sz w:val="24"/>
        </w:rPr>
        <w:t>International Journal of Transitional Justice</w:t>
      </w:r>
      <w:r>
        <w:rPr>
          <w:rFonts w:ascii="Times New Roman" w:hAnsi="Times New Roman"/>
          <w:b w:val="0"/>
          <w:i w:val="0"/>
          <w:sz w:val="24"/>
        </w:rPr>
        <w:t xml:space="preserve">, </w:t>
      </w:r>
      <w:r>
        <w:rPr>
          <w:rFonts w:ascii="Times New Roman" w:hAnsi="Times New Roman"/>
          <w:b w:val="0"/>
          <w:i/>
          <w:sz w:val="24"/>
        </w:rPr>
        <w:t>3</w:t>
      </w:r>
      <w:r>
        <w:rPr>
          <w:rFonts w:ascii="Times New Roman" w:hAnsi="Times New Roman"/>
          <w:b w:val="0"/>
          <w:i w:val="0"/>
          <w:sz w:val="24"/>
        </w:rPr>
        <w:t>(3), 362–381. https://doi.org/10.1093/ijtj/ijp014</w:t>
      </w:r>
    </w:p>
    <w:p>
      <w:pPr>
        <w:pStyle w:val="Bibliography"/>
      </w:pPr>
      <w:r>
        <w:rPr>
          <w:rFonts w:ascii="Times New Roman" w:hAnsi="Times New Roman"/>
          <w:b w:val="0"/>
          <w:i w:val="0"/>
          <w:sz w:val="24"/>
        </w:rPr>
        <w:t xml:space="preserve">V-Dem Institute. (2024). </w:t>
      </w:r>
      <w:r>
        <w:rPr>
          <w:rFonts w:ascii="Times New Roman" w:hAnsi="Times New Roman"/>
          <w:b w:val="0"/>
          <w:i/>
          <w:sz w:val="24"/>
        </w:rPr>
        <w:t>V-Dem dataset v14</w:t>
      </w:r>
      <w:r>
        <w:rPr>
          <w:rFonts w:ascii="Times New Roman" w:hAnsi="Times New Roman"/>
          <w:b w:val="0"/>
          <w:i w:val="0"/>
          <w:sz w:val="24"/>
        </w:rPr>
        <w:t>. University of Gothenburg.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ind w:left="720" w:hanging="72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