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aps/>
          <w:color w:val="1B3A5C"/>
          <w:sz w:val="48"/>
          <w:szCs w:val="48"/>
        </w:rPr>
        <w:t xml:space="preserve">FMS THINK TANK</w:t>
      </w:r>
    </w:p>
    <w:p>
      <w:pPr>
        <w:spacing w:after="80" w:before="0"/>
        <w:jc w:val="center"/>
      </w:pPr>
      <w:r>
        <w:rPr>
          <w:rFonts w:ascii="Arial" w:cs="Arial" w:eastAsia="Arial" w:hAnsi="Arial"/>
          <w:color w:val="C8860A"/>
          <w:sz w:val="22"/>
          <w:szCs w:val="22"/>
        </w:rPr>
        <w:t xml:space="preserve">fmsthinktank.org</w:t>
      </w:r>
    </w:p>
    <w:p>
      <w:pPr>
        <w:pBdr>
          <w:top w:val="single" w:color="C8860A" w:sz="12" w:space="8"/>
          <w:bottom w:val="single" w:color="C8860A" w:sz="4" w:space="8"/>
        </w:pBdr>
        <w:spacing w:after="80" w:before="160"/>
        <w:jc w:val="center"/>
      </w:pPr>
      <w:r>
        <w:rPr>
          <w:rFonts w:ascii="Arial" w:cs="Arial" w:eastAsia="Arial" w:hAnsi="Arial"/>
          <w:b/>
          <w:bCs/>
          <w:caps/>
          <w:color w:val="1B2B3A"/>
          <w:sz w:val="36"/>
          <w:szCs w:val="36"/>
        </w:rPr>
        <w:t xml:space="preserve">HISTORICAL ROUND TABLE PLATFORM</w:t>
      </w:r>
    </w:p>
    <w:p>
      <w:pPr>
        <w:spacing w:after="400" w:before="80"/>
        <w:jc w:val="center"/>
      </w:pPr>
      <w:r>
        <w:rPr>
          <w:rFonts w:ascii="Arial" w:cs="Arial" w:eastAsia="Arial" w:hAnsi="Arial"/>
          <w:i/>
          <w:iCs/>
          <w:color w:val="4A6280"/>
          <w:sz w:val="26"/>
          <w:szCs w:val="26"/>
        </w:rPr>
        <w:t xml:space="preserve">End-to-End Requirements, Technical &amp; Architecture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3" w:sz="1"/>
              <w:left w:val="single" w:color="D0D9E3" w:sz="1"/>
              <w:bottom w:val="single" w:color="D0D9E3" w:sz="1"/>
              <w:right w:val="single" w:color="D0D9E3" w:sz="1"/>
            </w:tcBorders>
            <w:shd w:fill="D5E3EF" w:val="clear"/>
            <w:tcMar>
              <w:top w:type="dxa" w:w="80"/>
              <w:left w:type="dxa" w:w="140"/>
              <w:bottom w:type="dxa" w:w="80"/>
              <w:right w:type="dxa" w:w="140"/>
            </w:tcMar>
          </w:tcPr>
          <w:p>
            <w:r>
              <w:rPr>
                <w:rFonts w:ascii="Arial" w:cs="Arial" w:eastAsia="Arial" w:hAnsi="Arial"/>
                <w:b/>
                <w:bCs/>
                <w:color w:val="1B3A5C"/>
                <w:sz w:val="20"/>
                <w:szCs w:val="20"/>
              </w:rPr>
              <w:t xml:space="preserve">Document Type</w:t>
            </w:r>
          </w:p>
        </w:tc>
        <w:tc>
          <w:tcPr>
            <w:tcW w:type="dxa" w:w="6560"/>
            <w:tcBorders>
              <w:top w:val="single" w:color="D0D9E3" w:sz="1"/>
              <w:left w:val="single" w:color="D0D9E3" w:sz="1"/>
              <w:bottom w:val="single" w:color="D0D9E3" w:sz="1"/>
              <w:right w:val="single" w:color="D0D9E3" w:sz="1"/>
            </w:tcBorders>
            <w:shd w:fill="FAFBFC" w:val="clear"/>
            <w:tcMar>
              <w:top w:type="dxa" w:w="80"/>
              <w:left w:type="dxa" w:w="140"/>
              <w:bottom w:type="dxa" w:w="80"/>
              <w:right w:type="dxa" w:w="140"/>
            </w:tcMar>
          </w:tcPr>
          <w:p>
            <w:r>
              <w:rPr>
                <w:rFonts w:ascii="Arial" w:cs="Arial" w:eastAsia="Arial" w:hAnsi="Arial"/>
                <w:color w:val="1B2B3A"/>
                <w:sz w:val="20"/>
                <w:szCs w:val="20"/>
              </w:rPr>
              <w:t xml:space="preserve">E2E Requirements, Technical &amp; Architecture Specification</w:t>
            </w:r>
          </w:p>
        </w:tc>
      </w:tr>
      <w:tr>
        <w:tc>
          <w:tcPr>
            <w:tcW w:type="dxa" w:w="2800"/>
            <w:tcBorders>
              <w:top w:val="single" w:color="D0D9E3" w:sz="1"/>
              <w:left w:val="single" w:color="D0D9E3" w:sz="1"/>
              <w:bottom w:val="single" w:color="D0D9E3" w:sz="1"/>
              <w:right w:val="single" w:color="D0D9E3" w:sz="1"/>
            </w:tcBorders>
            <w:shd w:fill="EEF3F8" w:val="clear"/>
            <w:tcMar>
              <w:top w:type="dxa" w:w="80"/>
              <w:left w:type="dxa" w:w="140"/>
              <w:bottom w:type="dxa" w:w="80"/>
              <w:right w:type="dxa" w:w="140"/>
            </w:tcMar>
          </w:tcPr>
          <w:p>
            <w:r>
              <w:rPr>
                <w:rFonts w:ascii="Arial" w:cs="Arial" w:eastAsia="Arial" w:hAnsi="Arial"/>
                <w:b/>
                <w:bCs/>
                <w:color w:val="1B3A5C"/>
                <w:sz w:val="20"/>
                <w:szCs w:val="20"/>
              </w:rPr>
              <w:t xml:space="preserve">Version</w:t>
            </w:r>
          </w:p>
        </w:tc>
        <w:tc>
          <w:tcPr>
            <w:tcW w:type="dxa" w:w="65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1.0</w:t>
            </w:r>
          </w:p>
        </w:tc>
      </w:tr>
      <w:tr>
        <w:tc>
          <w:tcPr>
            <w:tcW w:type="dxa" w:w="2800"/>
            <w:tcBorders>
              <w:top w:val="single" w:color="D0D9E3" w:sz="1"/>
              <w:left w:val="single" w:color="D0D9E3" w:sz="1"/>
              <w:bottom w:val="single" w:color="D0D9E3" w:sz="1"/>
              <w:right w:val="single" w:color="D0D9E3" w:sz="1"/>
            </w:tcBorders>
            <w:shd w:fill="D5E3EF" w:val="clear"/>
            <w:tcMar>
              <w:top w:type="dxa" w:w="80"/>
              <w:left w:type="dxa" w:w="140"/>
              <w:bottom w:type="dxa" w:w="80"/>
              <w:right w:type="dxa" w:w="140"/>
            </w:tcMar>
          </w:tcPr>
          <w:p>
            <w:r>
              <w:rPr>
                <w:rFonts w:ascii="Arial" w:cs="Arial" w:eastAsia="Arial" w:hAnsi="Arial"/>
                <w:b/>
                <w:bCs/>
                <w:color w:val="1B3A5C"/>
                <w:sz w:val="20"/>
                <w:szCs w:val="20"/>
              </w:rPr>
              <w:t xml:space="preserve">Date</w:t>
            </w:r>
          </w:p>
        </w:tc>
        <w:tc>
          <w:tcPr>
            <w:tcW w:type="dxa" w:w="6560"/>
            <w:tcBorders>
              <w:top w:val="single" w:color="D0D9E3" w:sz="1"/>
              <w:left w:val="single" w:color="D0D9E3" w:sz="1"/>
              <w:bottom w:val="single" w:color="D0D9E3" w:sz="1"/>
              <w:right w:val="single" w:color="D0D9E3" w:sz="1"/>
            </w:tcBorders>
            <w:shd w:fill="FAFBFC" w:val="clear"/>
            <w:tcMar>
              <w:top w:type="dxa" w:w="80"/>
              <w:left w:type="dxa" w:w="140"/>
              <w:bottom w:type="dxa" w:w="80"/>
              <w:right w:type="dxa" w:w="140"/>
            </w:tcMar>
          </w:tcPr>
          <w:p>
            <w:r>
              <w:rPr>
                <w:rFonts w:ascii="Arial" w:cs="Arial" w:eastAsia="Arial" w:hAnsi="Arial"/>
                <w:color w:val="1B2B3A"/>
                <w:sz w:val="20"/>
                <w:szCs w:val="20"/>
              </w:rPr>
              <w:t xml:space="preserve">June 2026</w:t>
            </w:r>
          </w:p>
        </w:tc>
      </w:tr>
      <w:tr>
        <w:tc>
          <w:tcPr>
            <w:tcW w:type="dxa" w:w="2800"/>
            <w:tcBorders>
              <w:top w:val="single" w:color="D0D9E3" w:sz="1"/>
              <w:left w:val="single" w:color="D0D9E3" w:sz="1"/>
              <w:bottom w:val="single" w:color="D0D9E3" w:sz="1"/>
              <w:right w:val="single" w:color="D0D9E3" w:sz="1"/>
            </w:tcBorders>
            <w:shd w:fill="EEF3F8" w:val="clear"/>
            <w:tcMar>
              <w:top w:type="dxa" w:w="80"/>
              <w:left w:type="dxa" w:w="140"/>
              <w:bottom w:type="dxa" w:w="80"/>
              <w:right w:type="dxa" w:w="140"/>
            </w:tcMar>
          </w:tcPr>
          <w:p>
            <w:r>
              <w:rPr>
                <w:rFonts w:ascii="Arial" w:cs="Arial" w:eastAsia="Arial" w:hAnsi="Arial"/>
                <w:b/>
                <w:bCs/>
                <w:color w:val="1B3A5C"/>
                <w:sz w:val="20"/>
                <w:szCs w:val="20"/>
              </w:rPr>
              <w:t xml:space="preserve">Owner</w:t>
            </w:r>
          </w:p>
        </w:tc>
        <w:tc>
          <w:tcPr>
            <w:tcW w:type="dxa" w:w="65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FMS Think Tank — Technology &amp; Innovation Division</w:t>
            </w:r>
          </w:p>
        </w:tc>
      </w:tr>
      <w:tr>
        <w:tc>
          <w:tcPr>
            <w:tcW w:type="dxa" w:w="2800"/>
            <w:tcBorders>
              <w:top w:val="single" w:color="D0D9E3" w:sz="1"/>
              <w:left w:val="single" w:color="D0D9E3" w:sz="1"/>
              <w:bottom w:val="single" w:color="D0D9E3" w:sz="1"/>
              <w:right w:val="single" w:color="D0D9E3" w:sz="1"/>
            </w:tcBorders>
            <w:shd w:fill="D5E3EF" w:val="clear"/>
            <w:tcMar>
              <w:top w:type="dxa" w:w="80"/>
              <w:left w:type="dxa" w:w="140"/>
              <w:bottom w:type="dxa" w:w="80"/>
              <w:right w:type="dxa" w:w="140"/>
            </w:tcMar>
          </w:tcPr>
          <w:p>
            <w:r>
              <w:rPr>
                <w:rFonts w:ascii="Arial" w:cs="Arial" w:eastAsia="Arial" w:hAnsi="Arial"/>
                <w:b/>
                <w:bCs/>
                <w:color w:val="1B3A5C"/>
                <w:sz w:val="20"/>
                <w:szCs w:val="20"/>
              </w:rPr>
              <w:t xml:space="preserve">Classification</w:t>
            </w:r>
          </w:p>
        </w:tc>
        <w:tc>
          <w:tcPr>
            <w:tcW w:type="dxa" w:w="6560"/>
            <w:tcBorders>
              <w:top w:val="single" w:color="D0D9E3" w:sz="1"/>
              <w:left w:val="single" w:color="D0D9E3" w:sz="1"/>
              <w:bottom w:val="single" w:color="D0D9E3" w:sz="1"/>
              <w:right w:val="single" w:color="D0D9E3" w:sz="1"/>
            </w:tcBorders>
            <w:shd w:fill="FAFBFC" w:val="clear"/>
            <w:tcMar>
              <w:top w:type="dxa" w:w="80"/>
              <w:left w:type="dxa" w:w="140"/>
              <w:bottom w:type="dxa" w:w="80"/>
              <w:right w:type="dxa" w:w="140"/>
            </w:tcMar>
          </w:tcPr>
          <w:p>
            <w:r>
              <w:rPr>
                <w:rFonts w:ascii="Arial" w:cs="Arial" w:eastAsia="Arial" w:hAnsi="Arial"/>
                <w:color w:val="1B2B3A"/>
                <w:sz w:val="20"/>
                <w:szCs w:val="20"/>
              </w:rPr>
              <w:t xml:space="preserve">Confidential — Internal Use Only</w:t>
            </w:r>
          </w:p>
        </w:tc>
      </w:tr>
      <w:tr>
        <w:tc>
          <w:tcPr>
            <w:tcW w:type="dxa" w:w="2800"/>
            <w:tcBorders>
              <w:top w:val="single" w:color="D0D9E3" w:sz="1"/>
              <w:left w:val="single" w:color="D0D9E3" w:sz="1"/>
              <w:bottom w:val="single" w:color="D0D9E3" w:sz="1"/>
              <w:right w:val="single" w:color="D0D9E3" w:sz="1"/>
            </w:tcBorders>
            <w:shd w:fill="EEF3F8" w:val="clear"/>
            <w:tcMar>
              <w:top w:type="dxa" w:w="80"/>
              <w:left w:type="dxa" w:w="140"/>
              <w:bottom w:type="dxa" w:w="80"/>
              <w:right w:type="dxa" w:w="140"/>
            </w:tcMar>
          </w:tcPr>
          <w:p>
            <w:r>
              <w:rPr>
                <w:rFonts w:ascii="Arial" w:cs="Arial" w:eastAsia="Arial" w:hAnsi="Arial"/>
                <w:b/>
                <w:bCs/>
                <w:color w:val="1B3A5C"/>
                <w:sz w:val="20"/>
                <w:szCs w:val="20"/>
              </w:rPr>
              <w:t xml:space="preserve">Platform</w:t>
            </w:r>
          </w:p>
        </w:tc>
        <w:tc>
          <w:tcPr>
            <w:tcW w:type="dxa" w:w="65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fmsthinktank.org — Historical Round Table Module</w:t>
            </w:r>
          </w:p>
        </w:tc>
      </w:tr>
    </w:tbl>
    <w:p>
      <w:r>
        <w:br w:type="page"/>
      </w:r>
    </w:p>
    <w:p>
      <w:pPr>
        <w:pStyle w:val="Heading1"/>
        <w:pBdr>
          <w:bottom w:val="single" w:color="1B3A5C" w:sz="8" w:space="6"/>
        </w:pBdr>
        <w:spacing w:after="160" w:before="360"/>
      </w:pPr>
      <w:r>
        <w:rPr>
          <w:rFonts w:ascii="Arial" w:cs="Arial" w:eastAsia="Arial" w:hAnsi="Arial"/>
          <w:b/>
          <w:bCs/>
          <w:color w:val="1B3A5C"/>
          <w:sz w:val="32"/>
          <w:szCs w:val="32"/>
        </w:rPr>
        <w:t xml:space="preserve">1. Executive Summary</w:t>
      </w:r>
    </w:p>
    <w:p>
      <w:pPr>
        <w:spacing w:after="100" w:before="60"/>
      </w:pPr>
      <w:r>
        <w:rPr>
          <w:rFonts w:ascii="Arial" w:cs="Arial" w:eastAsia="Arial" w:hAnsi="Arial"/>
          <w:color w:val="1B2B3A"/>
          <w:sz w:val="22"/>
          <w:szCs w:val="22"/>
        </w:rPr>
        <w:t xml:space="preserve">The FMS Think Tank Historical Round Table Platform is an AI-powered, web-based application that enables political science researchers, students, and policy professionals to engage in structured, multi-perspective debates with simulated historical figures. Each figure is grounded in their documented worldview, era, and rhetorical style, and debates are organized around 13 specialist agent topics aligned with the think tank's research mandate.</w:t>
      </w:r>
    </w:p>
    <w:p>
      <w:r>
        <w:t xml:space="preserve"/>
      </w:r>
    </w:p>
    <w:p>
      <w:pPr>
        <w:spacing w:after="100" w:before="60"/>
      </w:pPr>
      <w:r>
        <w:rPr>
          <w:rFonts w:ascii="Arial" w:cs="Arial" w:eastAsia="Arial" w:hAnsi="Arial"/>
          <w:color w:val="1B2B3A"/>
          <w:sz w:val="22"/>
          <w:szCs w:val="22"/>
        </w:rPr>
        <w:t xml:space="preserve">This document provides the complete end-to-end specification covering: functional and non-functional requirements, system architecture, data flow, technology stack, security model, deployment strategy, and future roadmap.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860A" w:sz="6"/>
              <w:left w:val="single" w:color="C8860A" w:sz="12"/>
              <w:bottom w:val="single" w:color="D0D9E3" w:sz="1"/>
              <w:right w:val="single" w:color="D0D9E3" w:sz="1"/>
            </w:tcBorders>
            <w:shd w:fill="EEF3F8" w:val="clear"/>
            <w:tcMar>
              <w:top w:type="dxa" w:w="120"/>
              <w:left w:type="dxa" w:w="200"/>
              <w:bottom w:type="dxa" w:w="120"/>
              <w:right w:type="dxa" w:w="160"/>
            </w:tcMar>
          </w:tcPr>
          <w:p>
            <w:pPr>
              <w:spacing w:after="80" w:before="60"/>
            </w:pPr>
            <w:r>
              <w:rPr>
                <w:rFonts w:ascii="Arial" w:cs="Arial" w:eastAsia="Arial" w:hAnsi="Arial"/>
                <w:b/>
                <w:bCs/>
                <w:color w:val="1B3A5C"/>
                <w:sz w:val="22"/>
                <w:szCs w:val="22"/>
              </w:rPr>
              <w:t xml:space="preserve">Platform Mission Statement</w:t>
            </w:r>
          </w:p>
          <w:p>
            <w:pPr>
              <w:spacing w:after="60" w:before="0"/>
            </w:pPr>
            <w:r>
              <w:rPr>
                <w:rFonts w:ascii="Arial" w:cs="Arial" w:eastAsia="Arial" w:hAnsi="Arial"/>
                <w:color w:val="1B2B3A"/>
                <w:sz w:val="20"/>
                <w:szCs w:val="20"/>
              </w:rPr>
              <w:t xml:space="preserve">To democratize access to cross-era historical wisdom by simulating structured diplomatic and policy debates</w:t>
            </w:r>
          </w:p>
          <w:p>
            <w:pPr>
              <w:spacing w:after="60" w:before="0"/>
            </w:pPr>
            <w:r>
              <w:rPr>
                <w:rFonts w:ascii="Arial" w:cs="Arial" w:eastAsia="Arial" w:hAnsi="Arial"/>
                <w:color w:val="1B2B3A"/>
                <w:sz w:val="20"/>
                <w:szCs w:val="20"/>
              </w:rPr>
              <w:t xml:space="preserve">that illuminate how great historical minds would approach today's most pressing global challenges.</w:t>
            </w:r>
          </w:p>
          <w:p>
            <w:pPr>
              <w:spacing w:after="60" w:before="0"/>
            </w:pPr>
            <w:r>
              <w:rPr>
                <w:rFonts w:ascii="Arial" w:cs="Arial" w:eastAsia="Arial" w:hAnsi="Arial"/>
                <w:color w:val="1B2B3A"/>
                <w:sz w:val="20"/>
                <w:szCs w:val="20"/>
              </w:rPr>
              <w:t xml:space="preserve">Designed for academic research, educational use, and public diplomacy — in service of peace.</w:t>
            </w:r>
          </w:p>
        </w:tc>
      </w:tr>
    </w:tbl>
    <w:p>
      <w:r>
        <w:t xml:space="preserve"/>
      </w:r>
    </w:p>
    <w:p>
      <w:pPr>
        <w:pStyle w:val="Heading1"/>
        <w:pBdr>
          <w:bottom w:val="single" w:color="1B3A5C" w:sz="8" w:space="6"/>
        </w:pBdr>
        <w:spacing w:after="160" w:before="360"/>
      </w:pPr>
      <w:r>
        <w:rPr>
          <w:rFonts w:ascii="Arial" w:cs="Arial" w:eastAsia="Arial" w:hAnsi="Arial"/>
          <w:b/>
          <w:bCs/>
          <w:color w:val="1B3A5C"/>
          <w:sz w:val="32"/>
          <w:szCs w:val="32"/>
        </w:rPr>
        <w:t xml:space="preserve">2. Stakeholders &amp; User Profiles</w:t>
      </w:r>
    </w:p>
    <w:p>
      <w:pPr>
        <w:pStyle w:val="Heading2"/>
        <w:spacing w:after="120" w:before="280"/>
      </w:pPr>
      <w:r>
        <w:rPr>
          <w:rFonts w:ascii="Arial" w:cs="Arial" w:eastAsia="Arial" w:hAnsi="Arial"/>
          <w:b/>
          <w:bCs/>
          <w:color w:val="1B3A5C"/>
          <w:sz w:val="26"/>
          <w:szCs w:val="26"/>
        </w:rPr>
        <w:t xml:space="preserve">2.1 Primary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Stakeholder</w:t>
            </w:r>
          </w:p>
        </w:tc>
        <w:tc>
          <w:tcPr>
            <w:tcW w:type="dxa" w:w="32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33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Primary Interest</w:t>
            </w:r>
          </w:p>
        </w:tc>
      </w:tr>
      <w:tr>
        <w:tc>
          <w:tcPr>
            <w:tcW w:type="dxa" w:w="2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FMS Think Tank</w:t>
            </w:r>
          </w:p>
        </w:tc>
        <w:tc>
          <w:tcPr>
            <w:tcW w:type="dxa" w:w="3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Platform owner &amp; content authority</w:t>
            </w:r>
          </w:p>
        </w:tc>
        <w:tc>
          <w:tcPr>
            <w:tcW w:type="dxa" w:w="33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Research quality, brand alignment, IP governance</w:t>
            </w:r>
          </w:p>
        </w:tc>
      </w:tr>
      <w:tr>
        <w:tc>
          <w:tcPr>
            <w:tcW w:type="dxa" w:w="2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Political Science Interns</w:t>
            </w:r>
          </w:p>
        </w:tc>
        <w:tc>
          <w:tcPr>
            <w:tcW w:type="dxa" w:w="3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Primary end users</w:t>
            </w:r>
          </w:p>
        </w:tc>
        <w:tc>
          <w:tcPr>
            <w:tcW w:type="dxa" w:w="33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Learning, debate simulation, research support</w:t>
            </w:r>
          </w:p>
        </w:tc>
      </w:tr>
      <w:tr>
        <w:tc>
          <w:tcPr>
            <w:tcW w:type="dxa" w:w="2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Academic Researchers</w:t>
            </w:r>
          </w:p>
        </w:tc>
        <w:tc>
          <w:tcPr>
            <w:tcW w:type="dxa" w:w="3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Power users</w:t>
            </w:r>
          </w:p>
        </w:tc>
        <w:tc>
          <w:tcPr>
            <w:tcW w:type="dxa" w:w="33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Exportable transcripts, citation-ready outputs</w:t>
            </w:r>
          </w:p>
        </w:tc>
      </w:tr>
      <w:tr>
        <w:tc>
          <w:tcPr>
            <w:tcW w:type="dxa" w:w="2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Public Visitors</w:t>
            </w:r>
          </w:p>
        </w:tc>
        <w:tc>
          <w:tcPr>
            <w:tcW w:type="dxa" w:w="3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Casual users</w:t>
            </w:r>
          </w:p>
        </w:tc>
        <w:tc>
          <w:tcPr>
            <w:tcW w:type="dxa" w:w="33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Accessible exploration of historical perspectives</w:t>
            </w:r>
          </w:p>
        </w:tc>
      </w:tr>
      <w:tr>
        <w:tc>
          <w:tcPr>
            <w:tcW w:type="dxa" w:w="2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Technology Team</w:t>
            </w:r>
          </w:p>
        </w:tc>
        <w:tc>
          <w:tcPr>
            <w:tcW w:type="dxa" w:w="3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Platform builders</w:t>
            </w:r>
          </w:p>
        </w:tc>
        <w:tc>
          <w:tcPr>
            <w:tcW w:type="dxa" w:w="33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Scalability, maintainability, API cost control</w:t>
            </w:r>
          </w:p>
        </w:tc>
      </w:tr>
    </w:tbl>
    <w:p>
      <w:r>
        <w:t xml:space="preserve"/>
      </w:r>
    </w:p>
    <w:p>
      <w:pPr>
        <w:pStyle w:val="Heading2"/>
        <w:spacing w:after="120" w:before="280"/>
      </w:pPr>
      <w:r>
        <w:rPr>
          <w:rFonts w:ascii="Arial" w:cs="Arial" w:eastAsia="Arial" w:hAnsi="Arial"/>
          <w:b/>
          <w:bCs/>
          <w:color w:val="1B3A5C"/>
          <w:sz w:val="26"/>
          <w:szCs w:val="26"/>
        </w:rPr>
        <w:t xml:space="preserve">2.2 User Personas</w:t>
      </w:r>
    </w:p>
    <w:p>
      <w:pPr>
        <w:pStyle w:val="Heading3"/>
        <w:spacing w:after="80" w:before="200"/>
      </w:pPr>
      <w:r>
        <w:rPr>
          <w:rFonts w:ascii="Arial" w:cs="Arial" w:eastAsia="Arial" w:hAnsi="Arial"/>
          <w:b/>
          <w:bCs/>
          <w:color w:val="2C4E70"/>
          <w:sz w:val="22"/>
          <w:szCs w:val="22"/>
        </w:rPr>
        <w:t xml:space="preserve">Intern Researcher — Primary User</w:t>
      </w:r>
    </w:p>
    <w:p>
      <w:pPr>
        <w:pStyle w:val="ListParagraph"/>
        <w:numPr>
          <w:ilvl w:val="0"/>
          <w:numId w:val="2"/>
        </w:numPr>
        <w:spacing w:after="60" w:before="40"/>
      </w:pPr>
      <w:r>
        <w:rPr>
          <w:rFonts w:ascii="Arial" w:cs="Arial" w:eastAsia="Arial" w:hAnsi="Arial"/>
          <w:color w:val="1B2B3A"/>
          <w:sz w:val="22"/>
          <w:szCs w:val="22"/>
        </w:rPr>
        <w:t xml:space="preserve">Political science student, ages 20–28</w:t>
      </w:r>
    </w:p>
    <w:p>
      <w:pPr>
        <w:pStyle w:val="ListParagraph"/>
        <w:numPr>
          <w:ilvl w:val="0"/>
          <w:numId w:val="2"/>
        </w:numPr>
        <w:spacing w:after="60" w:before="40"/>
      </w:pPr>
      <w:r>
        <w:rPr>
          <w:rFonts w:ascii="Arial" w:cs="Arial" w:eastAsia="Arial" w:hAnsi="Arial"/>
          <w:color w:val="1B2B3A"/>
          <w:sz w:val="22"/>
          <w:szCs w:val="22"/>
        </w:rPr>
        <w:t xml:space="preserve">Uses the platform for structured research on conflict resolution, diplomacy, and international relations</w:t>
      </w:r>
    </w:p>
    <w:p>
      <w:pPr>
        <w:pStyle w:val="ListParagraph"/>
        <w:numPr>
          <w:ilvl w:val="0"/>
          <w:numId w:val="2"/>
        </w:numPr>
        <w:spacing w:after="60" w:before="40"/>
      </w:pPr>
      <w:r>
        <w:rPr>
          <w:rFonts w:ascii="Arial" w:cs="Arial" w:eastAsia="Arial" w:hAnsi="Arial"/>
          <w:color w:val="1B2B3A"/>
          <w:sz w:val="22"/>
          <w:szCs w:val="22"/>
        </w:rPr>
        <w:t xml:space="preserve">Needs: topic-focused debates, exportable transcripts, citation references</w:t>
      </w:r>
    </w:p>
    <w:p>
      <w:r>
        <w:t xml:space="preserve"/>
      </w:r>
    </w:p>
    <w:p>
      <w:pPr>
        <w:pStyle w:val="Heading3"/>
        <w:spacing w:after="80" w:before="200"/>
      </w:pPr>
      <w:r>
        <w:rPr>
          <w:rFonts w:ascii="Arial" w:cs="Arial" w:eastAsia="Arial" w:hAnsi="Arial"/>
          <w:b/>
          <w:bCs/>
          <w:color w:val="2C4E70"/>
          <w:sz w:val="22"/>
          <w:szCs w:val="22"/>
        </w:rPr>
        <w:t xml:space="preserve">Public Policy Enthusiast — Secondary User</w:t>
      </w:r>
    </w:p>
    <w:p>
      <w:pPr>
        <w:pStyle w:val="ListParagraph"/>
        <w:numPr>
          <w:ilvl w:val="0"/>
          <w:numId w:val="2"/>
        </w:numPr>
        <w:spacing w:after="60" w:before="40"/>
      </w:pPr>
      <w:r>
        <w:rPr>
          <w:rFonts w:ascii="Arial" w:cs="Arial" w:eastAsia="Arial" w:hAnsi="Arial"/>
          <w:color w:val="1B2B3A"/>
          <w:sz w:val="22"/>
          <w:szCs w:val="22"/>
        </w:rPr>
        <w:t xml:space="preserve">Non-specialist, interested in history and global affairs</w:t>
      </w:r>
    </w:p>
    <w:p>
      <w:pPr>
        <w:pStyle w:val="ListParagraph"/>
        <w:numPr>
          <w:ilvl w:val="0"/>
          <w:numId w:val="2"/>
        </w:numPr>
        <w:spacing w:after="60" w:before="40"/>
      </w:pPr>
      <w:r>
        <w:rPr>
          <w:rFonts w:ascii="Arial" w:cs="Arial" w:eastAsia="Arial" w:hAnsi="Arial"/>
          <w:color w:val="1B2B3A"/>
          <w:sz w:val="22"/>
          <w:szCs w:val="22"/>
        </w:rPr>
        <w:t xml:space="preserve">Uses the platform to explore how historical figures might respond to modern challenges</w:t>
      </w:r>
    </w:p>
    <w:p>
      <w:pPr>
        <w:pStyle w:val="ListParagraph"/>
        <w:numPr>
          <w:ilvl w:val="0"/>
          <w:numId w:val="2"/>
        </w:numPr>
        <w:spacing w:after="60" w:before="40"/>
      </w:pPr>
      <w:r>
        <w:rPr>
          <w:rFonts w:ascii="Arial" w:cs="Arial" w:eastAsia="Arial" w:hAnsi="Arial"/>
          <w:color w:val="1B2B3A"/>
          <w:sz w:val="22"/>
          <w:szCs w:val="22"/>
        </w:rPr>
        <w:t xml:space="preserve">Needs: simple onboarding, intuitive UI, engaging visual themes</w:t>
      </w:r>
    </w:p>
    <w:p>
      <w:r>
        <w:t xml:space="preserve"/>
      </w:r>
    </w:p>
    <w:p>
      <w:pPr>
        <w:pStyle w:val="Heading1"/>
        <w:pBdr>
          <w:bottom w:val="single" w:color="1B3A5C" w:sz="8" w:space="6"/>
        </w:pBdr>
        <w:spacing w:after="160" w:before="360"/>
      </w:pPr>
      <w:r>
        <w:rPr>
          <w:rFonts w:ascii="Arial" w:cs="Arial" w:eastAsia="Arial" w:hAnsi="Arial"/>
          <w:b/>
          <w:bCs/>
          <w:color w:val="1B3A5C"/>
          <w:sz w:val="32"/>
          <w:szCs w:val="32"/>
        </w:rPr>
        <w:t xml:space="preserve">3. Functional Requirements</w:t>
      </w:r>
    </w:p>
    <w:p>
      <w:pPr>
        <w:pStyle w:val="Heading2"/>
        <w:spacing w:after="120" w:before="280"/>
      </w:pPr>
      <w:r>
        <w:rPr>
          <w:rFonts w:ascii="Arial" w:cs="Arial" w:eastAsia="Arial" w:hAnsi="Arial"/>
          <w:b/>
          <w:bCs/>
          <w:color w:val="1B3A5C"/>
          <w:sz w:val="26"/>
          <w:szCs w:val="26"/>
        </w:rPr>
        <w:t xml:space="preserve">3.1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00"/>
        <w:gridCol w:w="1960"/>
      </w:tblGrid>
      <w:tr>
        <w:trPr>
          <w:tblHeader/>
        </w:trPr>
        <w:tc>
          <w:tcPr>
            <w:tcW w:type="dxa" w:w="12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Req ID</w:t>
            </w:r>
          </w:p>
        </w:tc>
        <w:tc>
          <w:tcPr>
            <w:tcW w:type="dxa" w:w="22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40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9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FR-01</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Topic Selection</w:t>
            </w:r>
          </w:p>
        </w:tc>
        <w:tc>
          <w:tcPr>
            <w:tcW w:type="dxa" w:w="4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User selects from 13 predefined agent topic categories</w:t>
            </w:r>
          </w:p>
        </w:tc>
        <w:tc>
          <w:tcPr>
            <w:tcW w:type="dxa" w:w="1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Critical</w:t>
            </w:r>
          </w:p>
        </w:tc>
      </w:tr>
      <w:tr>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FR-02</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Figure Selection</w:t>
            </w:r>
          </w:p>
        </w:tc>
        <w:tc>
          <w:tcPr>
            <w:tcW w:type="dxa" w:w="40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User selects 1–4 historical figures to participate</w:t>
            </w:r>
          </w:p>
        </w:tc>
        <w:tc>
          <w:tcPr>
            <w:tcW w:type="dxa" w:w="1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Critical</w:t>
            </w:r>
          </w:p>
        </w:tc>
      </w:tr>
      <w:tr>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FR-03</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Round-Table Debate Launch</w:t>
            </w:r>
          </w:p>
        </w:tc>
        <w:tc>
          <w:tcPr>
            <w:tcW w:type="dxa" w:w="4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All selected figures respond sequentially to open the debate</w:t>
            </w:r>
          </w:p>
        </w:tc>
        <w:tc>
          <w:tcPr>
            <w:tcW w:type="dxa" w:w="1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Critical</w:t>
            </w:r>
          </w:p>
        </w:tc>
      </w:tr>
      <w:tr>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FR-04</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User Interjection</w:t>
            </w:r>
          </w:p>
        </w:tc>
        <w:tc>
          <w:tcPr>
            <w:tcW w:type="dxa" w:w="40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User can inject moderator questions mid-debate</w:t>
            </w:r>
          </w:p>
        </w:tc>
        <w:tc>
          <w:tcPr>
            <w:tcW w:type="dxa" w:w="1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Critical</w:t>
            </w:r>
          </w:p>
        </w:tc>
      </w:tr>
      <w:tr>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FR-05</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API Provider Switch</w:t>
            </w:r>
          </w:p>
        </w:tc>
        <w:tc>
          <w:tcPr>
            <w:tcW w:type="dxa" w:w="4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User can switch between OpenAI and Anthropic</w:t>
            </w:r>
          </w:p>
        </w:tc>
        <w:tc>
          <w:tcPr>
            <w:tcW w:type="dxa" w:w="1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High</w:t>
            </w:r>
          </w:p>
        </w:tc>
      </w:tr>
      <w:tr>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FR-06</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Visual Theme Switcher</w:t>
            </w:r>
          </w:p>
        </w:tc>
        <w:tc>
          <w:tcPr>
            <w:tcW w:type="dxa" w:w="40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4 selectable UI themes (Scholarly, Sleek, Editorial, Futuristic)</w:t>
            </w:r>
          </w:p>
        </w:tc>
        <w:tc>
          <w:tcPr>
            <w:tcW w:type="dxa" w:w="1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High</w:t>
            </w:r>
          </w:p>
        </w:tc>
      </w:tr>
      <w:tr>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FR-07</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Debate Transcript Export</w:t>
            </w:r>
          </w:p>
        </w:tc>
        <w:tc>
          <w:tcPr>
            <w:tcW w:type="dxa" w:w="4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Export full session as PDF or Word document</w:t>
            </w:r>
          </w:p>
        </w:tc>
        <w:tc>
          <w:tcPr>
            <w:tcW w:type="dxa" w:w="1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High</w:t>
            </w:r>
          </w:p>
        </w:tc>
      </w:tr>
      <w:tr>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FR-08</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Session Persistence</w:t>
            </w:r>
          </w:p>
        </w:tc>
        <w:tc>
          <w:tcPr>
            <w:tcW w:type="dxa" w:w="40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Save and resume debate sessions</w:t>
            </w:r>
          </w:p>
        </w:tc>
        <w:tc>
          <w:tcPr>
            <w:tcW w:type="dxa" w:w="1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Medium</w:t>
            </w:r>
          </w:p>
        </w:tc>
      </w:tr>
      <w:tr>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FR-09</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Policy Brief Generator</w:t>
            </w:r>
          </w:p>
        </w:tc>
        <w:tc>
          <w:tcPr>
            <w:tcW w:type="dxa" w:w="4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AI-generated summary document from debate</w:t>
            </w:r>
          </w:p>
        </w:tc>
        <w:tc>
          <w:tcPr>
            <w:tcW w:type="dxa" w:w="1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Medium</w:t>
            </w:r>
          </w:p>
        </w:tc>
      </w:tr>
      <w:tr>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FR-10</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Figure Library Expansion</w:t>
            </w:r>
          </w:p>
        </w:tc>
        <w:tc>
          <w:tcPr>
            <w:tcW w:type="dxa" w:w="40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Admin UI for adding new historical figures</w:t>
            </w:r>
          </w:p>
        </w:tc>
        <w:tc>
          <w:tcPr>
            <w:tcW w:type="dxa" w:w="1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Medium</w:t>
            </w:r>
          </w:p>
        </w:tc>
      </w:tr>
      <w:tr>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FR-11</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Multi-language Support</w:t>
            </w:r>
          </w:p>
        </w:tc>
        <w:tc>
          <w:tcPr>
            <w:tcW w:type="dxa" w:w="4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UI and debate content in English, French, Turkish, Arabic</w:t>
            </w:r>
          </w:p>
        </w:tc>
        <w:tc>
          <w:tcPr>
            <w:tcW w:type="dxa" w:w="1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Low</w:t>
            </w:r>
          </w:p>
        </w:tc>
      </w:tr>
      <w:tr>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FR-12</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User Authentication</w:t>
            </w:r>
          </w:p>
        </w:tc>
        <w:tc>
          <w:tcPr>
            <w:tcW w:type="dxa" w:w="40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Login for saved sessions and personalized history</w:t>
            </w:r>
          </w:p>
        </w:tc>
        <w:tc>
          <w:tcPr>
            <w:tcW w:type="dxa" w:w="1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Medium</w:t>
            </w:r>
          </w:p>
        </w:tc>
      </w:tr>
    </w:tbl>
    <w:p>
      <w:r>
        <w:t xml:space="preserve"/>
      </w:r>
    </w:p>
    <w:p>
      <w:pPr>
        <w:pStyle w:val="Heading2"/>
        <w:spacing w:after="120" w:before="280"/>
      </w:pPr>
      <w:r>
        <w:rPr>
          <w:rFonts w:ascii="Arial" w:cs="Arial" w:eastAsia="Arial" w:hAnsi="Arial"/>
          <w:b/>
          <w:bCs/>
          <w:color w:val="1B3A5C"/>
          <w:sz w:val="26"/>
          <w:szCs w:val="26"/>
        </w:rPr>
        <w:t xml:space="preserve">3.2 The 13 Agent Topics</w:t>
      </w:r>
    </w:p>
    <w:p>
      <w:pPr>
        <w:spacing w:after="100" w:before="60"/>
      </w:pPr>
      <w:r>
        <w:rPr>
          <w:rFonts w:ascii="Arial" w:cs="Arial" w:eastAsia="Arial" w:hAnsi="Arial"/>
          <w:color w:val="1B2B3A"/>
          <w:sz w:val="22"/>
          <w:szCs w:val="22"/>
        </w:rPr>
        <w:t xml:space="preserve">All debates are framed within one of the following thirteen specialist domains, each representing a core pillar of the FMS Think Tank's research agenda: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8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Agent Topic</w:t>
            </w:r>
          </w:p>
        </w:tc>
        <w:tc>
          <w:tcPr>
            <w:tcW w:type="dxa" w:w="59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Scope</w:t>
            </w:r>
          </w:p>
        </w:tc>
      </w:tr>
      <w:tr>
        <w:tc>
          <w:tcPr>
            <w:tcW w:type="dxa" w:w="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1</w:t>
            </w:r>
          </w:p>
        </w:tc>
        <w:tc>
          <w:tcPr>
            <w:tcW w:type="dxa" w:w="2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Chief Peace Architect</w:t>
            </w:r>
          </w:p>
        </w:tc>
        <w:tc>
          <w:tcPr>
            <w:tcW w:type="dxa" w:w="5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Meta-coordination of peace processes; structural design of peace agreements</w:t>
            </w:r>
          </w:p>
        </w:tc>
      </w:tr>
      <w:tr>
        <w:tc>
          <w:tcPr>
            <w:tcW w:type="dxa" w:w="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2</w:t>
            </w:r>
          </w:p>
        </w:tc>
        <w:tc>
          <w:tcPr>
            <w:tcW w:type="dxa" w:w="2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Peace &amp; Conflict Resolution</w:t>
            </w:r>
          </w:p>
        </w:tc>
        <w:tc>
          <w:tcPr>
            <w:tcW w:type="dxa" w:w="5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Mediation, ceasefire mechanisms, post-conflict reconstruction</w:t>
            </w:r>
          </w:p>
        </w:tc>
      </w:tr>
      <w:tr>
        <w:tc>
          <w:tcPr>
            <w:tcW w:type="dxa" w:w="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3</w:t>
            </w:r>
          </w:p>
        </w:tc>
        <w:tc>
          <w:tcPr>
            <w:tcW w:type="dxa" w:w="2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Diplomacy &amp; International Relations</w:t>
            </w:r>
          </w:p>
        </w:tc>
        <w:tc>
          <w:tcPr>
            <w:tcW w:type="dxa" w:w="5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Bilateral and multilateral diplomacy, treaty frameworks, alliances</w:t>
            </w:r>
          </w:p>
        </w:tc>
      </w:tr>
      <w:tr>
        <w:tc>
          <w:tcPr>
            <w:tcW w:type="dxa" w:w="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4</w:t>
            </w:r>
          </w:p>
        </w:tc>
        <w:tc>
          <w:tcPr>
            <w:tcW w:type="dxa" w:w="2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Strategic &amp; Security Studies</w:t>
            </w:r>
          </w:p>
        </w:tc>
        <w:tc>
          <w:tcPr>
            <w:tcW w:type="dxa" w:w="5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Military doctrine, deterrence theory, intelligence and national security</w:t>
            </w:r>
          </w:p>
        </w:tc>
      </w:tr>
      <w:tr>
        <w:tc>
          <w:tcPr>
            <w:tcW w:type="dxa" w:w="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5</w:t>
            </w:r>
          </w:p>
        </w:tc>
        <w:tc>
          <w:tcPr>
            <w:tcW w:type="dxa" w:w="2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Humanitarian Affairs</w:t>
            </w:r>
          </w:p>
        </w:tc>
        <w:tc>
          <w:tcPr>
            <w:tcW w:type="dxa" w:w="5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Refugee law, civilian protection, international humanitarian law</w:t>
            </w:r>
          </w:p>
        </w:tc>
      </w:tr>
      <w:tr>
        <w:tc>
          <w:tcPr>
            <w:tcW w:type="dxa" w:w="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6</w:t>
            </w:r>
          </w:p>
        </w:tc>
        <w:tc>
          <w:tcPr>
            <w:tcW w:type="dxa" w:w="2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AI for Peace</w:t>
            </w:r>
          </w:p>
        </w:tc>
        <w:tc>
          <w:tcPr>
            <w:tcW w:type="dxa" w:w="5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Ethical AI, algorithmic governance, tech-enabled conflict prevention</w:t>
            </w:r>
          </w:p>
        </w:tc>
      </w:tr>
      <w:tr>
        <w:tc>
          <w:tcPr>
            <w:tcW w:type="dxa" w:w="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7</w:t>
            </w:r>
          </w:p>
        </w:tc>
        <w:tc>
          <w:tcPr>
            <w:tcW w:type="dxa" w:w="2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Economic Development</w:t>
            </w:r>
          </w:p>
        </w:tc>
        <w:tc>
          <w:tcPr>
            <w:tcW w:type="dxa" w:w="5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Development finance, trade policy, inequality and growth</w:t>
            </w:r>
          </w:p>
        </w:tc>
      </w:tr>
      <w:tr>
        <w:tc>
          <w:tcPr>
            <w:tcW w:type="dxa" w:w="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8</w:t>
            </w:r>
          </w:p>
        </w:tc>
        <w:tc>
          <w:tcPr>
            <w:tcW w:type="dxa" w:w="2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Civilization &amp; Cultural Dialogue</w:t>
            </w:r>
          </w:p>
        </w:tc>
        <w:tc>
          <w:tcPr>
            <w:tcW w:type="dxa" w:w="5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Cross-cultural exchange, heritage, soft power, religious diplomacy</w:t>
            </w:r>
          </w:p>
        </w:tc>
      </w:tr>
      <w:tr>
        <w:tc>
          <w:tcPr>
            <w:tcW w:type="dxa" w:w="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9</w:t>
            </w:r>
          </w:p>
        </w:tc>
        <w:tc>
          <w:tcPr>
            <w:tcW w:type="dxa" w:w="2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Education &amp; Youth Empowerment</w:t>
            </w:r>
          </w:p>
        </w:tc>
        <w:tc>
          <w:tcPr>
            <w:tcW w:type="dxa" w:w="5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Educational access, youth civic engagement, leadership development</w:t>
            </w:r>
          </w:p>
        </w:tc>
      </w:tr>
      <w:tr>
        <w:tc>
          <w:tcPr>
            <w:tcW w:type="dxa" w:w="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10</w:t>
            </w:r>
          </w:p>
        </w:tc>
        <w:tc>
          <w:tcPr>
            <w:tcW w:type="dxa" w:w="2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Media &amp; Strategic Communication</w:t>
            </w:r>
          </w:p>
        </w:tc>
        <w:tc>
          <w:tcPr>
            <w:tcW w:type="dxa" w:w="5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Information warfare, public diplomacy, media literacy</w:t>
            </w:r>
          </w:p>
        </w:tc>
      </w:tr>
      <w:tr>
        <w:tc>
          <w:tcPr>
            <w:tcW w:type="dxa" w:w="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11</w:t>
            </w:r>
          </w:p>
        </w:tc>
        <w:tc>
          <w:tcPr>
            <w:tcW w:type="dxa" w:w="2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Environmental Security</w:t>
            </w:r>
          </w:p>
        </w:tc>
        <w:tc>
          <w:tcPr>
            <w:tcW w:type="dxa" w:w="5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Climate as a conflict driver, resource scarcity, green transitions</w:t>
            </w:r>
          </w:p>
        </w:tc>
      </w:tr>
      <w:tr>
        <w:tc>
          <w:tcPr>
            <w:tcW w:type="dxa" w:w="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12</w:t>
            </w:r>
          </w:p>
        </w:tc>
        <w:tc>
          <w:tcPr>
            <w:tcW w:type="dxa" w:w="2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Space &amp; Future Policy</w:t>
            </w:r>
          </w:p>
        </w:tc>
        <w:tc>
          <w:tcPr>
            <w:tcW w:type="dxa" w:w="5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Space governance, dual-use technology, future-of-work policy</w:t>
            </w:r>
          </w:p>
        </w:tc>
      </w:tr>
      <w:tr>
        <w:tc>
          <w:tcPr>
            <w:tcW w:type="dxa" w:w="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13</w:t>
            </w:r>
          </w:p>
        </w:tc>
        <w:tc>
          <w:tcPr>
            <w:tcW w:type="dxa" w:w="2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Ethics, Human Rights &amp; Global Governance</w:t>
            </w:r>
          </w:p>
        </w:tc>
        <w:tc>
          <w:tcPr>
            <w:tcW w:type="dxa" w:w="5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International law, human rights architecture, multilateral institutions</w:t>
            </w:r>
          </w:p>
        </w:tc>
      </w:tr>
    </w:tbl>
    <w:p>
      <w:r>
        <w:t xml:space="preserve"/>
      </w:r>
    </w:p>
    <w:p>
      <w:pPr>
        <w:pStyle w:val="Heading2"/>
        <w:spacing w:after="120" w:before="280"/>
      </w:pPr>
      <w:r>
        <w:rPr>
          <w:rFonts w:ascii="Arial" w:cs="Arial" w:eastAsia="Arial" w:hAnsi="Arial"/>
          <w:b/>
          <w:bCs/>
          <w:color w:val="1B3A5C"/>
          <w:sz w:val="26"/>
          <w:szCs w:val="26"/>
        </w:rPr>
        <w:t xml:space="preserve">3.3 Historical Figures — Initial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Figure</w:t>
            </w:r>
          </w:p>
        </w:tc>
        <w:tc>
          <w:tcPr>
            <w:tcW w:type="dxa" w:w="144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Era</w:t>
            </w:r>
          </w:p>
        </w:tc>
        <w:tc>
          <w:tcPr>
            <w:tcW w:type="dxa" w:w="552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Character Archetype</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Napoleon Bonaparte</w:t>
            </w:r>
          </w:p>
        </w:tc>
        <w:tc>
          <w:tcPr>
            <w:tcW w:type="dxa" w:w="144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1769–1821</w:t>
            </w:r>
          </w:p>
        </w:tc>
        <w:tc>
          <w:tcPr>
            <w:tcW w:type="dxa" w:w="552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Strategic realist; power through calculated action and military dominance</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Winston Churchill</w:t>
            </w:r>
          </w:p>
        </w:tc>
        <w:tc>
          <w:tcPr>
            <w:tcW w:type="dxa" w:w="144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1874–1965</w:t>
            </w:r>
          </w:p>
        </w:tc>
        <w:tc>
          <w:tcPr>
            <w:tcW w:type="dxa" w:w="552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Democratic moralist; resolute defender of liberty and Western civilization</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Mustafa Kemal Atatürk</w:t>
            </w:r>
          </w:p>
        </w:tc>
        <w:tc>
          <w:tcPr>
            <w:tcW w:type="dxa" w:w="144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1881–1938</w:t>
            </w:r>
          </w:p>
        </w:tc>
        <w:tc>
          <w:tcPr>
            <w:tcW w:type="dxa" w:w="552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Pragmatic modernizer; secular nationalist committed to reason and reform</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Mahatma Gandhi</w:t>
            </w:r>
          </w:p>
        </w:tc>
        <w:tc>
          <w:tcPr>
            <w:tcW w:type="dxa" w:w="144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1869–1948</w:t>
            </w:r>
          </w:p>
        </w:tc>
        <w:tc>
          <w:tcPr>
            <w:tcW w:type="dxa" w:w="552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Nonviolent principalist; moral authority over political force</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Franklin D. Roosevelt</w:t>
            </w:r>
          </w:p>
        </w:tc>
        <w:tc>
          <w:tcPr>
            <w:tcW w:type="dxa" w:w="144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1882–1945</w:t>
            </w:r>
          </w:p>
        </w:tc>
        <w:tc>
          <w:tcPr>
            <w:tcW w:type="dxa" w:w="552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Internationalist pragmatist; collective security and economic recovery</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Nelson Mandela</w:t>
            </w:r>
          </w:p>
        </w:tc>
        <w:tc>
          <w:tcPr>
            <w:tcW w:type="dxa" w:w="144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1918–2013</w:t>
            </w:r>
          </w:p>
        </w:tc>
        <w:tc>
          <w:tcPr>
            <w:tcW w:type="dxa" w:w="552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Reconciliatory visionary; long-view justice and human dignity</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Otto von Bismarck</w:t>
            </w:r>
          </w:p>
        </w:tc>
        <w:tc>
          <w:tcPr>
            <w:tcW w:type="dxa" w:w="144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1815–1898</w:t>
            </w:r>
          </w:p>
        </w:tc>
        <w:tc>
          <w:tcPr>
            <w:tcW w:type="dxa" w:w="552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Realpolitik master; power, interests, and the art of the possible</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Julius Caesar</w:t>
            </w:r>
          </w:p>
        </w:tc>
        <w:tc>
          <w:tcPr>
            <w:tcW w:type="dxa" w:w="144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100–44 BC</w:t>
            </w:r>
          </w:p>
        </w:tc>
        <w:tc>
          <w:tcPr>
            <w:tcW w:type="dxa" w:w="552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Tactician and statesman; civilization through decisive leadership</w:t>
            </w:r>
          </w:p>
        </w:tc>
      </w:tr>
    </w:tbl>
    <w:p>
      <w:r>
        <w:t xml:space="preserve"/>
      </w:r>
    </w:p>
    <w:p>
      <w:pPr>
        <w:pStyle w:val="Heading1"/>
        <w:pBdr>
          <w:bottom w:val="single" w:color="1B3A5C" w:sz="8" w:space="6"/>
        </w:pBdr>
        <w:spacing w:after="160" w:before="360"/>
      </w:pPr>
      <w:r>
        <w:rPr>
          <w:rFonts w:ascii="Arial" w:cs="Arial" w:eastAsia="Arial" w:hAnsi="Arial"/>
          <w:b/>
          <w:bCs/>
          <w:color w:val="1B3A5C"/>
          <w:sz w:val="32"/>
          <w:szCs w:val="32"/>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2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41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Target</w:t>
            </w:r>
          </w:p>
        </w:tc>
      </w:tr>
      <w:tr>
        <w:tc>
          <w:tcPr>
            <w:tcW w:type="dxa" w:w="2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Performance</w:t>
            </w:r>
          </w:p>
        </w:tc>
        <w:tc>
          <w:tcPr>
            <w:tcW w:type="dxa" w:w="3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Page load time</w:t>
            </w:r>
          </w:p>
        </w:tc>
        <w:tc>
          <w:tcPr>
            <w:tcW w:type="dxa" w:w="4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&lt; 2 seconds on 10 Mbps connection</w:t>
            </w:r>
          </w:p>
        </w:tc>
      </w:tr>
      <w:tr>
        <w:tc>
          <w:tcPr>
            <w:tcW w:type="dxa" w:w="20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Performance</w:t>
            </w:r>
          </w:p>
        </w:tc>
        <w:tc>
          <w:tcPr>
            <w:tcW w:type="dxa" w:w="3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First AI response rendered</w:t>
            </w:r>
          </w:p>
        </w:tc>
        <w:tc>
          <w:tcPr>
            <w:tcW w:type="dxa" w:w="41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&lt; 4 seconds after submission</w:t>
            </w:r>
          </w:p>
        </w:tc>
      </w:tr>
      <w:tr>
        <w:tc>
          <w:tcPr>
            <w:tcW w:type="dxa" w:w="2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Scalability</w:t>
            </w:r>
          </w:p>
        </w:tc>
        <w:tc>
          <w:tcPr>
            <w:tcW w:type="dxa" w:w="3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Concurrent users (Phase 1)</w:t>
            </w:r>
          </w:p>
        </w:tc>
        <w:tc>
          <w:tcPr>
            <w:tcW w:type="dxa" w:w="4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Up to 500 simultaneous sessions</w:t>
            </w:r>
          </w:p>
        </w:tc>
      </w:tr>
      <w:tr>
        <w:tc>
          <w:tcPr>
            <w:tcW w:type="dxa" w:w="20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Scalability</w:t>
            </w:r>
          </w:p>
        </w:tc>
        <w:tc>
          <w:tcPr>
            <w:tcW w:type="dxa" w:w="3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API call throughput</w:t>
            </w:r>
          </w:p>
        </w:tc>
        <w:tc>
          <w:tcPr>
            <w:tcW w:type="dxa" w:w="41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Horizontally scalable via queue-based architecture</w:t>
            </w:r>
          </w:p>
        </w:tc>
      </w:tr>
      <w:tr>
        <w:tc>
          <w:tcPr>
            <w:tcW w:type="dxa" w:w="2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Availability</w:t>
            </w:r>
          </w:p>
        </w:tc>
        <w:tc>
          <w:tcPr>
            <w:tcW w:type="dxa" w:w="3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Uptime SLA</w:t>
            </w:r>
          </w:p>
        </w:tc>
        <w:tc>
          <w:tcPr>
            <w:tcW w:type="dxa" w:w="4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99.5% monthly (excluding scheduled maintenance)</w:t>
            </w:r>
          </w:p>
        </w:tc>
      </w:tr>
      <w:tr>
        <w:tc>
          <w:tcPr>
            <w:tcW w:type="dxa" w:w="20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Security</w:t>
            </w:r>
          </w:p>
        </w:tc>
        <w:tc>
          <w:tcPr>
            <w:tcW w:type="dxa" w:w="3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API key storage</w:t>
            </w:r>
          </w:p>
        </w:tc>
        <w:tc>
          <w:tcPr>
            <w:tcW w:type="dxa" w:w="41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Client-side only; never transmitted to FMS servers</w:t>
            </w:r>
          </w:p>
        </w:tc>
      </w:tr>
      <w:tr>
        <w:tc>
          <w:tcPr>
            <w:tcW w:type="dxa" w:w="2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Security</w:t>
            </w:r>
          </w:p>
        </w:tc>
        <w:tc>
          <w:tcPr>
            <w:tcW w:type="dxa" w:w="3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Data encryption in transit</w:t>
            </w:r>
          </w:p>
        </w:tc>
        <w:tc>
          <w:tcPr>
            <w:tcW w:type="dxa" w:w="4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TLS 1.3 mandatory</w:t>
            </w:r>
          </w:p>
        </w:tc>
      </w:tr>
      <w:tr>
        <w:tc>
          <w:tcPr>
            <w:tcW w:type="dxa" w:w="20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Accessibility</w:t>
            </w:r>
          </w:p>
        </w:tc>
        <w:tc>
          <w:tcPr>
            <w:tcW w:type="dxa" w:w="3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WCAG compliance</w:t>
            </w:r>
          </w:p>
        </w:tc>
        <w:tc>
          <w:tcPr>
            <w:tcW w:type="dxa" w:w="41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WCAG 2.1 AA minimum</w:t>
            </w:r>
          </w:p>
        </w:tc>
      </w:tr>
      <w:tr>
        <w:tc>
          <w:tcPr>
            <w:tcW w:type="dxa" w:w="2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Accessibility</w:t>
            </w:r>
          </w:p>
        </w:tc>
        <w:tc>
          <w:tcPr>
            <w:tcW w:type="dxa" w:w="3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Keyboard navigation</w:t>
            </w:r>
          </w:p>
        </w:tc>
        <w:tc>
          <w:tcPr>
            <w:tcW w:type="dxa" w:w="4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Full keyboard accessibility across all features</w:t>
            </w:r>
          </w:p>
        </w:tc>
      </w:tr>
      <w:tr>
        <w:tc>
          <w:tcPr>
            <w:tcW w:type="dxa" w:w="20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Browser Support</w:t>
            </w:r>
          </w:p>
        </w:tc>
        <w:tc>
          <w:tcPr>
            <w:tcW w:type="dxa" w:w="3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Target browsers</w:t>
            </w:r>
          </w:p>
        </w:tc>
        <w:tc>
          <w:tcPr>
            <w:tcW w:type="dxa" w:w="41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Chrome 110+, Firefox 110+, Safari 16+, Edge 110+</w:t>
            </w:r>
          </w:p>
        </w:tc>
      </w:tr>
      <w:tr>
        <w:tc>
          <w:tcPr>
            <w:tcW w:type="dxa" w:w="2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Mobile</w:t>
            </w:r>
          </w:p>
        </w:tc>
        <w:tc>
          <w:tcPr>
            <w:tcW w:type="dxa" w:w="3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Responsive design</w:t>
            </w:r>
          </w:p>
        </w:tc>
        <w:tc>
          <w:tcPr>
            <w:tcW w:type="dxa" w:w="4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Fully functional on tablet (768px+); readable on mobile (375px+)</w:t>
            </w:r>
          </w:p>
        </w:tc>
      </w:tr>
      <w:tr>
        <w:tc>
          <w:tcPr>
            <w:tcW w:type="dxa" w:w="20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Privacy</w:t>
            </w:r>
          </w:p>
        </w:tc>
        <w:tc>
          <w:tcPr>
            <w:tcW w:type="dxa" w:w="3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User data retention</w:t>
            </w:r>
          </w:p>
        </w:tc>
        <w:tc>
          <w:tcPr>
            <w:tcW w:type="dxa" w:w="41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No PII collected without explicit consent; GDPR-compliant</w:t>
            </w:r>
          </w:p>
        </w:tc>
      </w:tr>
    </w:tbl>
    <w:p>
      <w:r>
        <w:t xml:space="preserve"/>
      </w:r>
    </w:p>
    <w:p>
      <w:pPr>
        <w:pStyle w:val="Heading1"/>
        <w:pBdr>
          <w:bottom w:val="single" w:color="1B3A5C" w:sz="8" w:space="6"/>
        </w:pBdr>
        <w:spacing w:after="160" w:before="360"/>
      </w:pPr>
      <w:r>
        <w:rPr>
          <w:rFonts w:ascii="Arial" w:cs="Arial" w:eastAsia="Arial" w:hAnsi="Arial"/>
          <w:b/>
          <w:bCs/>
          <w:color w:val="1B3A5C"/>
          <w:sz w:val="32"/>
          <w:szCs w:val="32"/>
        </w:rPr>
        <w:t xml:space="preserve">5. System Architecture</w:t>
      </w:r>
    </w:p>
    <w:p>
      <w:pPr>
        <w:pStyle w:val="Heading2"/>
        <w:spacing w:after="120" w:before="280"/>
      </w:pPr>
      <w:r>
        <w:rPr>
          <w:rFonts w:ascii="Arial" w:cs="Arial" w:eastAsia="Arial" w:hAnsi="Arial"/>
          <w:b/>
          <w:bCs/>
          <w:color w:val="1B3A5C"/>
          <w:sz w:val="26"/>
          <w:szCs w:val="26"/>
        </w:rPr>
        <w:t xml:space="preserve">5.1 Architecture Overview</w:t>
      </w:r>
    </w:p>
    <w:p>
      <w:pPr>
        <w:spacing w:after="100" w:before="60"/>
      </w:pPr>
      <w:r>
        <w:rPr>
          <w:rFonts w:ascii="Arial" w:cs="Arial" w:eastAsia="Arial" w:hAnsi="Arial"/>
          <w:color w:val="1B2B3A"/>
          <w:sz w:val="22"/>
          <w:szCs w:val="22"/>
        </w:rPr>
        <w:t xml:space="preserve">The platform follows a JAMstack architecture with a lightweight Node.js backend serving as an API proxy and session manager. The frontend is a React Single-Page Application (SPA) communicating with AI providers via the backend proxy to protect API credentials and enable future multi-provider routing.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860A" w:sz="6"/>
              <w:left w:val="single" w:color="C8860A" w:sz="12"/>
              <w:bottom w:val="single" w:color="D0D9E3" w:sz="1"/>
              <w:right w:val="single" w:color="D0D9E3" w:sz="1"/>
            </w:tcBorders>
            <w:shd w:fill="EEF3F8" w:val="clear"/>
            <w:tcMar>
              <w:top w:type="dxa" w:w="120"/>
              <w:left w:type="dxa" w:w="200"/>
              <w:bottom w:type="dxa" w:w="120"/>
              <w:right w:type="dxa" w:w="160"/>
            </w:tcMar>
          </w:tcPr>
          <w:p>
            <w:pPr>
              <w:spacing w:after="80" w:before="60"/>
            </w:pPr>
            <w:r>
              <w:rPr>
                <w:rFonts w:ascii="Arial" w:cs="Arial" w:eastAsia="Arial" w:hAnsi="Arial"/>
                <w:b/>
                <w:bCs/>
                <w:color w:val="1B3A5C"/>
                <w:sz w:val="22"/>
                <w:szCs w:val="22"/>
              </w:rPr>
              <w:t xml:space="preserve">Architecture Pattern: JAMstack + AI Gateway</w:t>
            </w:r>
          </w:p>
          <w:p>
            <w:pPr>
              <w:spacing w:after="60" w:before="0"/>
            </w:pPr>
            <w:r>
              <w:rPr>
                <w:rFonts w:ascii="Arial" w:cs="Arial" w:eastAsia="Arial" w:hAnsi="Arial"/>
                <w:color w:val="1B2B3A"/>
                <w:sz w:val="20"/>
                <w:szCs w:val="20"/>
              </w:rPr>
              <w:t xml:space="preserve">  Frontend (React SPA)  →  FMS API Gateway (Node.js/Express)  →  AI Providers (OpenAI / Anthropic)</w:t>
            </w:r>
          </w:p>
          <w:p>
            <w:pPr>
              <w:spacing w:after="60" w:before="0"/>
            </w:pPr>
            <w:r>
              <w:rPr>
                <w:rFonts w:ascii="Arial" w:cs="Arial" w:eastAsia="Arial" w:hAnsi="Arial"/>
                <w:color w:val="1B2B3A"/>
                <w:sz w:val="20"/>
                <w:szCs w:val="20"/>
              </w:rPr>
              <w:t xml:space="preserve">                        →  Session Store (Redis)                →  Export Service</w:t>
            </w:r>
          </w:p>
          <w:p>
            <w:pPr>
              <w:spacing w:after="60" w:before="0"/>
            </w:pPr>
            <w:r>
              <w:rPr>
                <w:rFonts w:ascii="Arial" w:cs="Arial" w:eastAsia="Arial" w:hAnsi="Arial"/>
                <w:color w:val="1B2B3A"/>
                <w:sz w:val="20"/>
                <w:szCs w:val="20"/>
              </w:rPr>
              <w:t xml:space="preserve">                        →  CDN (Static Assets)                  →  Auth Service (Phase 2)</w:t>
            </w:r>
          </w:p>
        </w:tc>
      </w:tr>
    </w:tbl>
    <w:p>
      <w:r>
        <w:t xml:space="preserve"/>
      </w:r>
    </w:p>
    <w:p>
      <w:pPr>
        <w:pStyle w:val="Heading2"/>
        <w:spacing w:after="120" w:before="280"/>
      </w:pPr>
      <w:r>
        <w:rPr>
          <w:rFonts w:ascii="Arial" w:cs="Arial" w:eastAsia="Arial" w:hAnsi="Arial"/>
          <w:b/>
          <w:bCs/>
          <w:color w:val="1B3A5C"/>
          <w:sz w:val="26"/>
          <w:szCs w:val="26"/>
        </w:rPr>
        <w:t xml:space="preserve">5.2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2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24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33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Frontend</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Shell Application</w:t>
            </w:r>
          </w:p>
        </w:tc>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React 18 + TypeScript</w:t>
            </w:r>
          </w:p>
        </w:tc>
        <w:tc>
          <w:tcPr>
            <w:tcW w:type="dxa" w:w="33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Routing, global state, theme management</w:t>
            </w:r>
          </w:p>
        </w:tc>
      </w:tr>
      <w:tr>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Frontend</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Debate Engine UI</w:t>
            </w:r>
          </w:p>
        </w:tc>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React + Zustand</w:t>
            </w:r>
          </w:p>
        </w:tc>
        <w:tc>
          <w:tcPr>
            <w:tcW w:type="dxa" w:w="33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Chat interface, figure display, topic selection</w:t>
            </w:r>
          </w:p>
        </w:tc>
      </w:tr>
      <w:tr>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Frontend</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Theme System</w:t>
            </w:r>
          </w:p>
        </w:tc>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CSS Custom Properties</w:t>
            </w:r>
          </w:p>
        </w:tc>
        <w:tc>
          <w:tcPr>
            <w:tcW w:type="dxa" w:w="33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4 visual themes with runtime switching</w:t>
            </w:r>
          </w:p>
        </w:tc>
      </w:tr>
      <w:tr>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Frontend</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Export Client</w:t>
            </w:r>
          </w:p>
        </w:tc>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html2pdf / docx.js</w:t>
            </w:r>
          </w:p>
        </w:tc>
        <w:tc>
          <w:tcPr>
            <w:tcW w:type="dxa" w:w="33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Client-side transcript export</w:t>
            </w:r>
          </w:p>
        </w:tc>
      </w:tr>
      <w:tr>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Backend</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API Gateway</w:t>
            </w:r>
          </w:p>
        </w:tc>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Node.js + Express</w:t>
            </w:r>
          </w:p>
        </w:tc>
        <w:tc>
          <w:tcPr>
            <w:tcW w:type="dxa" w:w="33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AI request proxying, rate limiting, logging</w:t>
            </w:r>
          </w:p>
        </w:tc>
      </w:tr>
      <w:tr>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Backend</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Prompt Engine</w:t>
            </w:r>
          </w:p>
        </w:tc>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TypeScript service</w:t>
            </w:r>
          </w:p>
        </w:tc>
        <w:tc>
          <w:tcPr>
            <w:tcW w:type="dxa" w:w="33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Character system prompt construction, history management</w:t>
            </w:r>
          </w:p>
        </w:tc>
      </w:tr>
      <w:tr>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Backend</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Session Manager</w:t>
            </w:r>
          </w:p>
        </w:tc>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Redis + express-session</w:t>
            </w:r>
          </w:p>
        </w:tc>
        <w:tc>
          <w:tcPr>
            <w:tcW w:type="dxa" w:w="33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Debate state persistence, user sessions</w:t>
            </w:r>
          </w:p>
        </w:tc>
      </w:tr>
      <w:tr>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Backend</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Export Service</w:t>
            </w:r>
          </w:p>
        </w:tc>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Puppeteer + docx.js</w:t>
            </w:r>
          </w:p>
        </w:tc>
        <w:tc>
          <w:tcPr>
            <w:tcW w:type="dxa" w:w="33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Server-side PDF/DOCX generation</w:t>
            </w:r>
          </w:p>
        </w:tc>
      </w:tr>
      <w:tr>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Infrastructure</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CDN</w:t>
            </w:r>
          </w:p>
        </w:tc>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Cloudflare</w:t>
            </w:r>
          </w:p>
        </w:tc>
        <w:tc>
          <w:tcPr>
            <w:tcW w:type="dxa" w:w="33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Static asset delivery, DDoS protection</w:t>
            </w:r>
          </w:p>
        </w:tc>
      </w:tr>
      <w:tr>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Infrastructure</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Hosting</w:t>
            </w:r>
          </w:p>
        </w:tc>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Vercel (frontend) + Railway (backend)</w:t>
            </w:r>
          </w:p>
        </w:tc>
        <w:tc>
          <w:tcPr>
            <w:tcW w:type="dxa" w:w="33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Scalable serverless and container hosting</w:t>
            </w:r>
          </w:p>
        </w:tc>
      </w:tr>
      <w:tr>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Infrastructure</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Monitoring</w:t>
            </w:r>
          </w:p>
        </w:tc>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Sentry + Datadog</w:t>
            </w:r>
          </w:p>
        </w:tc>
        <w:tc>
          <w:tcPr>
            <w:tcW w:type="dxa" w:w="33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Error tracking, performance monitoring</w:t>
            </w:r>
          </w:p>
        </w:tc>
      </w:tr>
    </w:tbl>
    <w:p>
      <w:r>
        <w:t xml:space="preserve"/>
      </w:r>
    </w:p>
    <w:p>
      <w:pPr>
        <w:pStyle w:val="Heading2"/>
        <w:spacing w:after="120" w:before="280"/>
      </w:pPr>
      <w:r>
        <w:rPr>
          <w:rFonts w:ascii="Arial" w:cs="Arial" w:eastAsia="Arial" w:hAnsi="Arial"/>
          <w:b/>
          <w:bCs/>
          <w:color w:val="1B3A5C"/>
          <w:sz w:val="26"/>
          <w:szCs w:val="26"/>
        </w:rPr>
        <w:t xml:space="preserve">5.3 Data Flow Diagram</w:t>
      </w:r>
    </w:p>
    <w:p>
      <w:pPr>
        <w:spacing w:after="100" w:before="60"/>
      </w:pPr>
      <w:r>
        <w:rPr>
          <w:rFonts w:ascii="Arial" w:cs="Arial" w:eastAsia="Arial" w:hAnsi="Arial"/>
          <w:color w:val="1B2B3A"/>
          <w:sz w:val="22"/>
          <w:szCs w:val="22"/>
        </w:rPr>
        <w:t xml:space="preserve">The following sequence describes the complete data flow for a round-table debate session:</w:t>
      </w:r>
    </w:p>
    <w:p>
      <w:r>
        <w:t xml:space="preserve"/>
      </w:r>
    </w:p>
    <w:p>
      <w:pPr>
        <w:pStyle w:val="ListParagraph"/>
        <w:numPr>
          <w:ilvl w:val="0"/>
          <w:numId w:val="3"/>
        </w:numPr>
        <w:spacing w:after="60" w:before="40"/>
      </w:pPr>
      <w:r>
        <w:rPr>
          <w:rFonts w:ascii="Arial" w:cs="Arial" w:eastAsia="Arial" w:hAnsi="Arial"/>
          <w:color w:val="1B2B3A"/>
          <w:sz w:val="22"/>
          <w:szCs w:val="22"/>
        </w:rPr>
        <w:t xml:space="preserve">User opens platform → React SPA loads from CDN; theme and topics initialize from static config</w:t>
      </w:r>
    </w:p>
    <w:p>
      <w:pPr>
        <w:pStyle w:val="ListParagraph"/>
        <w:numPr>
          <w:ilvl w:val="0"/>
          <w:numId w:val="3"/>
        </w:numPr>
        <w:spacing w:after="60" w:before="40"/>
      </w:pPr>
      <w:r>
        <w:rPr>
          <w:rFonts w:ascii="Arial" w:cs="Arial" w:eastAsia="Arial" w:hAnsi="Arial"/>
          <w:color w:val="1B2B3A"/>
          <w:sz w:val="22"/>
          <w:szCs w:val="22"/>
        </w:rPr>
        <w:t xml:space="preserve">User selects topic + figures → State stored locally in Zustand; no server call required</w:t>
      </w:r>
    </w:p>
    <w:p>
      <w:pPr>
        <w:pStyle w:val="ListParagraph"/>
        <w:numPr>
          <w:ilvl w:val="0"/>
          <w:numId w:val="3"/>
        </w:numPr>
        <w:spacing w:after="60" w:before="40"/>
      </w:pPr>
      <w:r>
        <w:rPr>
          <w:rFonts w:ascii="Arial" w:cs="Arial" w:eastAsia="Arial" w:hAnsi="Arial"/>
          <w:color w:val="1B2B3A"/>
          <w:sz w:val="22"/>
          <w:szCs w:val="22"/>
        </w:rPr>
        <w:t xml:space="preserve">User clicks 'Launch Debate' → Frontend sends request to FMS API Gateway with: selected topic ID, figure IDs, conversation history, provider preference</w:t>
      </w:r>
    </w:p>
    <w:p>
      <w:pPr>
        <w:pStyle w:val="ListParagraph"/>
        <w:numPr>
          <w:ilvl w:val="0"/>
          <w:numId w:val="3"/>
        </w:numPr>
        <w:spacing w:after="60" w:before="40"/>
      </w:pPr>
      <w:r>
        <w:rPr>
          <w:rFonts w:ascii="Arial" w:cs="Arial" w:eastAsia="Arial" w:hAnsi="Arial"/>
          <w:color w:val="1B2B3A"/>
          <w:sz w:val="22"/>
          <w:szCs w:val="22"/>
        </w:rPr>
        <w:t xml:space="preserve">API Gateway validates request → Rate limit check; API key injection from server-side env (Phase 2) or passthrough (Phase 1)</w:t>
      </w:r>
    </w:p>
    <w:p>
      <w:pPr>
        <w:pStyle w:val="ListParagraph"/>
        <w:numPr>
          <w:ilvl w:val="0"/>
          <w:numId w:val="3"/>
        </w:numPr>
        <w:spacing w:after="60" w:before="40"/>
      </w:pPr>
      <w:r>
        <w:rPr>
          <w:rFonts w:ascii="Arial" w:cs="Arial" w:eastAsia="Arial" w:hAnsi="Arial"/>
          <w:color w:val="1B2B3A"/>
          <w:sz w:val="22"/>
          <w:szCs w:val="22"/>
        </w:rPr>
        <w:t xml:space="preserve">Prompt Engine constructs system prompt → Character persona loaded from figure library; topic context injected; conversation history formatted</w:t>
      </w:r>
    </w:p>
    <w:p>
      <w:pPr>
        <w:pStyle w:val="ListParagraph"/>
        <w:numPr>
          <w:ilvl w:val="0"/>
          <w:numId w:val="3"/>
        </w:numPr>
        <w:spacing w:after="60" w:before="40"/>
      </w:pPr>
      <w:r>
        <w:rPr>
          <w:rFonts w:ascii="Arial" w:cs="Arial" w:eastAsia="Arial" w:hAnsi="Arial"/>
          <w:color w:val="1B2B3A"/>
          <w:sz w:val="22"/>
          <w:szCs w:val="22"/>
        </w:rPr>
        <w:t xml:space="preserve">AI Provider API called → Sequential calls for each selected figure; responses streamed back to frontend</w:t>
      </w:r>
    </w:p>
    <w:p>
      <w:pPr>
        <w:pStyle w:val="ListParagraph"/>
        <w:numPr>
          <w:ilvl w:val="0"/>
          <w:numId w:val="3"/>
        </w:numPr>
        <w:spacing w:after="60" w:before="40"/>
      </w:pPr>
      <w:r>
        <w:rPr>
          <w:rFonts w:ascii="Arial" w:cs="Arial" w:eastAsia="Arial" w:hAnsi="Arial"/>
          <w:color w:val="1B2B3A"/>
          <w:sz w:val="22"/>
          <w:szCs w:val="22"/>
        </w:rPr>
        <w:t xml:space="preserve">Frontend renders responses → Each figure's message appended to debate thread with character metadata</w:t>
      </w:r>
    </w:p>
    <w:p>
      <w:pPr>
        <w:pStyle w:val="ListParagraph"/>
        <w:numPr>
          <w:ilvl w:val="0"/>
          <w:numId w:val="3"/>
        </w:numPr>
        <w:spacing w:after="60" w:before="40"/>
      </w:pPr>
      <w:r>
        <w:rPr>
          <w:rFonts w:ascii="Arial" w:cs="Arial" w:eastAsia="Arial" w:hAnsi="Arial"/>
          <w:color w:val="1B2B3A"/>
          <w:sz w:val="22"/>
          <w:szCs w:val="22"/>
        </w:rPr>
        <w:t xml:space="preserve">User interjection → Same flow from step 3; conversation history grows; figures respond contextually</w:t>
      </w:r>
    </w:p>
    <w:p>
      <w:pPr>
        <w:pStyle w:val="ListParagraph"/>
        <w:numPr>
          <w:ilvl w:val="0"/>
          <w:numId w:val="3"/>
        </w:numPr>
        <w:spacing w:after="60" w:before="40"/>
      </w:pPr>
      <w:r>
        <w:rPr>
          <w:rFonts w:ascii="Arial" w:cs="Arial" w:eastAsia="Arial" w:hAnsi="Arial"/>
          <w:color w:val="1B2B3A"/>
          <w:sz w:val="22"/>
          <w:szCs w:val="22"/>
        </w:rPr>
        <w:t xml:space="preserve">Session save (optional) → Debate state serialized and stored in Redis with session token</w:t>
      </w:r>
    </w:p>
    <w:p>
      <w:pPr>
        <w:pStyle w:val="ListParagraph"/>
        <w:numPr>
          <w:ilvl w:val="0"/>
          <w:numId w:val="3"/>
        </w:numPr>
        <w:spacing w:after="60" w:before="40"/>
      </w:pPr>
      <w:r>
        <w:rPr>
          <w:rFonts w:ascii="Arial" w:cs="Arial" w:eastAsia="Arial" w:hAnsi="Arial"/>
          <w:color w:val="1B2B3A"/>
          <w:sz w:val="22"/>
          <w:szCs w:val="22"/>
        </w:rPr>
        <w:t xml:space="preserve">Export request → Transcript sent to Export Service; formatted PDF/DOCX returned for download</w:t>
      </w:r>
    </w:p>
    <w:p>
      <w:r>
        <w:t xml:space="preserve"/>
      </w:r>
    </w:p>
    <w:p>
      <w:pPr>
        <w:pStyle w:val="Heading1"/>
        <w:pBdr>
          <w:bottom w:val="single" w:color="1B3A5C" w:sz="8" w:space="6"/>
        </w:pBdr>
        <w:spacing w:after="160" w:before="360"/>
      </w:pPr>
      <w:r>
        <w:rPr>
          <w:rFonts w:ascii="Arial" w:cs="Arial" w:eastAsia="Arial" w:hAnsi="Arial"/>
          <w:b/>
          <w:bCs/>
          <w:color w:val="1B3A5C"/>
          <w:sz w:val="32"/>
          <w:szCs w:val="32"/>
        </w:rPr>
        <w:t xml:space="preserve">6. Technology Stack</w:t>
      </w:r>
    </w:p>
    <w:p>
      <w:pPr>
        <w:pStyle w:val="Heading2"/>
        <w:spacing w:after="120" w:before="280"/>
      </w:pPr>
      <w:r>
        <w:rPr>
          <w:rFonts w:ascii="Arial" w:cs="Arial" w:eastAsia="Arial" w:hAnsi="Arial"/>
          <w:b/>
          <w:bCs/>
          <w:color w:val="1B3A5C"/>
          <w:sz w:val="26"/>
          <w:szCs w:val="26"/>
        </w:rPr>
        <w:t xml:space="preserve">6.1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rPr>
          <w:tblHeader/>
        </w:trPr>
        <w:tc>
          <w:tcPr>
            <w:tcW w:type="dxa" w:w="22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12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24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35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React</w:t>
            </w:r>
          </w:p>
        </w:tc>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18.x</w:t>
            </w:r>
          </w:p>
        </w:tc>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UI framework</w:t>
            </w:r>
          </w:p>
        </w:tc>
        <w:tc>
          <w:tcPr>
            <w:tcW w:type="dxa" w:w="35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Industry standard; excellent ecosystem; concurrent rendering</w:t>
            </w:r>
          </w:p>
        </w:tc>
      </w:tr>
      <w:tr>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TypeScript</w:t>
            </w:r>
          </w:p>
        </w:tc>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5.x</w:t>
            </w:r>
          </w:p>
        </w:tc>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Type safety</w:t>
            </w:r>
          </w:p>
        </w:tc>
        <w:tc>
          <w:tcPr>
            <w:tcW w:type="dxa" w:w="35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Reduces runtime errors; improves maintainability at scale</w:t>
            </w:r>
          </w:p>
        </w:tc>
      </w:tr>
      <w:tr>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Zustand</w:t>
            </w:r>
          </w:p>
        </w:tc>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4.x</w:t>
            </w:r>
          </w:p>
        </w:tc>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State management</w:t>
            </w:r>
          </w:p>
        </w:tc>
        <w:tc>
          <w:tcPr>
            <w:tcW w:type="dxa" w:w="35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Lightweight alternative to Redux; simpler API for this scope</w:t>
            </w:r>
          </w:p>
        </w:tc>
      </w:tr>
      <w:tr>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React Router</w:t>
            </w:r>
          </w:p>
        </w:tc>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6.x</w:t>
            </w:r>
          </w:p>
        </w:tc>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Client-side routing</w:t>
            </w:r>
          </w:p>
        </w:tc>
        <w:tc>
          <w:tcPr>
            <w:tcW w:type="dxa" w:w="35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SPA navigation; lazy loading of route components</w:t>
            </w:r>
          </w:p>
        </w:tc>
      </w:tr>
      <w:tr>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CSS Custom Properties</w:t>
            </w:r>
          </w:p>
        </w:tc>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Native</w:t>
            </w:r>
          </w:p>
        </w:tc>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Theming system</w:t>
            </w:r>
          </w:p>
        </w:tc>
        <w:tc>
          <w:tcPr>
            <w:tcW w:type="dxa" w:w="35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Zero-JS theme switching; browser-native performance</w:t>
            </w:r>
          </w:p>
        </w:tc>
      </w:tr>
      <w:tr>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Vite</w:t>
            </w:r>
          </w:p>
        </w:tc>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5.x</w:t>
            </w:r>
          </w:p>
        </w:tc>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Build tool</w:t>
            </w:r>
          </w:p>
        </w:tc>
        <w:tc>
          <w:tcPr>
            <w:tcW w:type="dxa" w:w="35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Fast HMR; optimized production builds</w:t>
            </w:r>
          </w:p>
        </w:tc>
      </w:tr>
      <w:tr>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Google Fonts</w:t>
            </w:r>
          </w:p>
        </w:tc>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CDN</w:t>
            </w:r>
          </w:p>
        </w:tc>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Typography</w:t>
            </w:r>
          </w:p>
        </w:tc>
        <w:tc>
          <w:tcPr>
            <w:tcW w:type="dxa" w:w="35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Cormorant Garamond, Playfair Display, Rajdhani, IBM Plex Mono</w:t>
            </w:r>
          </w:p>
        </w:tc>
      </w:tr>
      <w:tr>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Tabler Icons</w:t>
            </w:r>
          </w:p>
        </w:tc>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CDN</w:t>
            </w:r>
          </w:p>
        </w:tc>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Icon system</w:t>
            </w:r>
          </w:p>
        </w:tc>
        <w:tc>
          <w:tcPr>
            <w:tcW w:type="dxa" w:w="35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5800+ outline icons; open source; consistent with design system</w:t>
            </w:r>
          </w:p>
        </w:tc>
      </w:tr>
    </w:tbl>
    <w:p>
      <w:r>
        <w:t xml:space="preserve"/>
      </w:r>
    </w:p>
    <w:p>
      <w:pPr>
        <w:pStyle w:val="Heading2"/>
        <w:spacing w:after="120" w:before="280"/>
      </w:pPr>
      <w:r>
        <w:rPr>
          <w:rFonts w:ascii="Arial" w:cs="Arial" w:eastAsia="Arial" w:hAnsi="Arial"/>
          <w:b/>
          <w:bCs/>
          <w:color w:val="1B3A5C"/>
          <w:sz w:val="26"/>
          <w:szCs w:val="26"/>
        </w:rPr>
        <w:t xml:space="preserve">6.2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rPr>
          <w:tblHeader/>
        </w:trPr>
        <w:tc>
          <w:tcPr>
            <w:tcW w:type="dxa" w:w="22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12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24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35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Node.js</w:t>
            </w:r>
          </w:p>
        </w:tc>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20 LTS</w:t>
            </w:r>
          </w:p>
        </w:tc>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Runtime</w:t>
            </w:r>
          </w:p>
        </w:tc>
        <w:tc>
          <w:tcPr>
            <w:tcW w:type="dxa" w:w="35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Non-blocking I/O ideal for streaming AI responses</w:t>
            </w:r>
          </w:p>
        </w:tc>
      </w:tr>
      <w:tr>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Express</w:t>
            </w:r>
          </w:p>
        </w:tc>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4.x</w:t>
            </w:r>
          </w:p>
        </w:tc>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Web framework</w:t>
            </w:r>
          </w:p>
        </w:tc>
        <w:tc>
          <w:tcPr>
            <w:tcW w:type="dxa" w:w="35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Lightweight; extensive middleware ecosystem</w:t>
            </w:r>
          </w:p>
        </w:tc>
      </w:tr>
      <w:tr>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TypeScript</w:t>
            </w:r>
          </w:p>
        </w:tc>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5.x</w:t>
            </w:r>
          </w:p>
        </w:tc>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Type safety</w:t>
            </w:r>
          </w:p>
        </w:tc>
        <w:tc>
          <w:tcPr>
            <w:tcW w:type="dxa" w:w="35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Shared types between frontend and backend</w:t>
            </w:r>
          </w:p>
        </w:tc>
      </w:tr>
      <w:tr>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Redis</w:t>
            </w:r>
          </w:p>
        </w:tc>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7.x</w:t>
            </w:r>
          </w:p>
        </w:tc>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Session store</w:t>
            </w:r>
          </w:p>
        </w:tc>
        <w:tc>
          <w:tcPr>
            <w:tcW w:type="dxa" w:w="35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Sub-millisecond reads; pub/sub for real-time features</w:t>
            </w:r>
          </w:p>
        </w:tc>
      </w:tr>
      <w:tr>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Puppeteer</w:t>
            </w:r>
          </w:p>
        </w:tc>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21.x</w:t>
            </w:r>
          </w:p>
        </w:tc>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PDF generation</w:t>
            </w:r>
          </w:p>
        </w:tc>
        <w:tc>
          <w:tcPr>
            <w:tcW w:type="dxa" w:w="35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Headless Chrome renders HTML to high-fidelity PDF</w:t>
            </w:r>
          </w:p>
        </w:tc>
      </w:tr>
      <w:tr>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docx.js</w:t>
            </w:r>
          </w:p>
        </w:tc>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8.x</w:t>
            </w:r>
          </w:p>
        </w:tc>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DOCX generation</w:t>
            </w:r>
          </w:p>
        </w:tc>
        <w:tc>
          <w:tcPr>
            <w:tcW w:type="dxa" w:w="35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Programmatic Word document creation for export feature</w:t>
            </w:r>
          </w:p>
        </w:tc>
      </w:tr>
      <w:tr>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Zod</w:t>
            </w:r>
          </w:p>
        </w:tc>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3.x</w:t>
            </w:r>
          </w:p>
        </w:tc>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Schema validation</w:t>
            </w:r>
          </w:p>
        </w:tc>
        <w:tc>
          <w:tcPr>
            <w:tcW w:type="dxa" w:w="35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Runtime type validation for API requests</w:t>
            </w:r>
          </w:p>
        </w:tc>
      </w:tr>
      <w:tr>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Winston</w:t>
            </w:r>
          </w:p>
        </w:tc>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3.x</w:t>
            </w:r>
          </w:p>
        </w:tc>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Logging</w:t>
            </w:r>
          </w:p>
        </w:tc>
        <w:tc>
          <w:tcPr>
            <w:tcW w:type="dxa" w:w="35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Structured logging; multiple transports (console, file, Datadog)</w:t>
            </w:r>
          </w:p>
        </w:tc>
      </w:tr>
    </w:tbl>
    <w:p>
      <w:r>
        <w:t xml:space="preserve"/>
      </w:r>
    </w:p>
    <w:p>
      <w:pPr>
        <w:pStyle w:val="Heading2"/>
        <w:spacing w:after="120" w:before="280"/>
      </w:pPr>
      <w:r>
        <w:rPr>
          <w:rFonts w:ascii="Arial" w:cs="Arial" w:eastAsia="Arial" w:hAnsi="Arial"/>
          <w:b/>
          <w:bCs/>
          <w:color w:val="1B3A5C"/>
          <w:sz w:val="26"/>
          <w:szCs w:val="26"/>
        </w:rPr>
        <w:t xml:space="preserve">6.3 AI Provider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1200"/>
        <w:gridCol w:w="1600"/>
      </w:tblGrid>
      <w:tr>
        <w:trPr>
          <w:tblHeader/>
        </w:trPr>
        <w:tc>
          <w:tcPr>
            <w:tcW w:type="dxa" w:w="18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Provider</w:t>
            </w:r>
          </w:p>
        </w:tc>
        <w:tc>
          <w:tcPr>
            <w:tcW w:type="dxa" w:w="20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Model</w:t>
            </w:r>
          </w:p>
        </w:tc>
        <w:tc>
          <w:tcPr>
            <w:tcW w:type="dxa" w:w="27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12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Max Tokens</w:t>
            </w:r>
          </w:p>
        </w:tc>
        <w:tc>
          <w:tcPr>
            <w:tcW w:type="dxa" w:w="16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Use Case</w:t>
            </w:r>
          </w:p>
        </w:tc>
      </w:tr>
      <w:tr>
        <w:tc>
          <w:tcPr>
            <w:tcW w:type="dxa" w:w="1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Anthropic</w:t>
            </w:r>
          </w:p>
        </w:tc>
        <w:tc>
          <w:tcPr>
            <w:tcW w:type="dxa" w:w="2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claude-opus-4-5</w:t>
            </w:r>
          </w:p>
        </w:tc>
        <w:tc>
          <w:tcPr>
            <w:tcW w:type="dxa" w:w="27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/v1/messages</w:t>
            </w:r>
          </w:p>
        </w:tc>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1024</w:t>
            </w:r>
          </w:p>
        </w:tc>
        <w:tc>
          <w:tcPr>
            <w:tcW w:type="dxa" w:w="1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Default provider; superior historical reasoning</w:t>
            </w:r>
          </w:p>
        </w:tc>
      </w:tr>
      <w:tr>
        <w:tc>
          <w:tcPr>
            <w:tcW w:type="dxa" w:w="1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OpenAI</w:t>
            </w:r>
          </w:p>
        </w:tc>
        <w:tc>
          <w:tcPr>
            <w:tcW w:type="dxa" w:w="20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gpt-4o</w:t>
            </w:r>
          </w:p>
        </w:tc>
        <w:tc>
          <w:tcPr>
            <w:tcW w:type="dxa" w:w="27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/v1/chat/completions</w:t>
            </w:r>
          </w:p>
        </w:tc>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1024</w:t>
            </w:r>
          </w:p>
        </w:tc>
        <w:tc>
          <w:tcPr>
            <w:tcW w:type="dxa" w:w="1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Alternative provider; user-switchable</w:t>
            </w:r>
          </w:p>
        </w:tc>
      </w:tr>
      <w:tr>
        <w:tc>
          <w:tcPr>
            <w:tcW w:type="dxa" w:w="1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OpenAI (future)</w:t>
            </w:r>
          </w:p>
        </w:tc>
        <w:tc>
          <w:tcPr>
            <w:tcW w:type="dxa" w:w="2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gpt-4o-mini</w:t>
            </w:r>
          </w:p>
        </w:tc>
        <w:tc>
          <w:tcPr>
            <w:tcW w:type="dxa" w:w="27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/v1/chat/completions</w:t>
            </w:r>
          </w:p>
        </w:tc>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1024</w:t>
            </w:r>
          </w:p>
        </w:tc>
        <w:tc>
          <w:tcPr>
            <w:tcW w:type="dxa" w:w="1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Cost-optimized fallback option</w:t>
            </w:r>
          </w:p>
        </w:tc>
      </w:tr>
      <w:tr>
        <w:tc>
          <w:tcPr>
            <w:tcW w:type="dxa" w:w="1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Mistral (future)</w:t>
            </w:r>
          </w:p>
        </w:tc>
        <w:tc>
          <w:tcPr>
            <w:tcW w:type="dxa" w:w="20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mistral-large</w:t>
            </w:r>
          </w:p>
        </w:tc>
        <w:tc>
          <w:tcPr>
            <w:tcW w:type="dxa" w:w="27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/v1/chat/completions</w:t>
            </w:r>
          </w:p>
        </w:tc>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1024</w:t>
            </w:r>
          </w:p>
        </w:tc>
        <w:tc>
          <w:tcPr>
            <w:tcW w:type="dxa" w:w="1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EU-hosted option for GDPR compliance</w:t>
            </w:r>
          </w:p>
        </w:tc>
      </w:tr>
    </w:tbl>
    <w:p>
      <w:r>
        <w:t xml:space="preserve"/>
      </w:r>
    </w:p>
    <w:p>
      <w:pPr>
        <w:pStyle w:val="Heading1"/>
        <w:pBdr>
          <w:bottom w:val="single" w:color="1B3A5C" w:sz="8" w:space="6"/>
        </w:pBdr>
        <w:spacing w:after="160" w:before="360"/>
      </w:pPr>
      <w:r>
        <w:rPr>
          <w:rFonts w:ascii="Arial" w:cs="Arial" w:eastAsia="Arial" w:hAnsi="Arial"/>
          <w:b/>
          <w:bCs/>
          <w:color w:val="1B3A5C"/>
          <w:sz w:val="32"/>
          <w:szCs w:val="32"/>
        </w:rPr>
        <w:t xml:space="preserve">7. Prompt Engineering Architecture</w:t>
      </w:r>
    </w:p>
    <w:p>
      <w:pPr>
        <w:pStyle w:val="Heading2"/>
        <w:spacing w:after="120" w:before="280"/>
      </w:pPr>
      <w:r>
        <w:rPr>
          <w:rFonts w:ascii="Arial" w:cs="Arial" w:eastAsia="Arial" w:hAnsi="Arial"/>
          <w:b/>
          <w:bCs/>
          <w:color w:val="1B3A5C"/>
          <w:sz w:val="26"/>
          <w:szCs w:val="26"/>
        </w:rPr>
        <w:t xml:space="preserve">7.1 System Prompt Structure</w:t>
      </w:r>
    </w:p>
    <w:p>
      <w:pPr>
        <w:spacing w:after="100" w:before="60"/>
      </w:pPr>
      <w:r>
        <w:rPr>
          <w:rFonts w:ascii="Arial" w:cs="Arial" w:eastAsia="Arial" w:hAnsi="Arial"/>
          <w:color w:val="1B2B3A"/>
          <w:sz w:val="22"/>
          <w:szCs w:val="22"/>
        </w:rPr>
        <w:t xml:space="preserve">Each historical figure is assigned a structured system prompt composed of five layers, assembled dynamically by the Prompt Engine at request time:</w:t>
      </w:r>
    </w:p>
    <w:p>
      <w:r>
        <w:t xml:space="preserve"/>
      </w:r>
    </w:p>
    <w:p>
      <w:pPr>
        <w:pStyle w:val="ListParagraph"/>
        <w:numPr>
          <w:ilvl w:val="0"/>
          <w:numId w:val="3"/>
        </w:numPr>
        <w:spacing w:after="60" w:before="40"/>
      </w:pPr>
      <w:r>
        <w:rPr>
          <w:rFonts w:ascii="Arial" w:cs="Arial" w:eastAsia="Arial" w:hAnsi="Arial"/>
          <w:color w:val="1B2B3A"/>
          <w:sz w:val="22"/>
          <w:szCs w:val="22"/>
        </w:rPr>
        <w:t xml:space="preserve">Identity Declaration: 'You are [Figure Name] ([Era]), participating in a scholarly round-table debate at the FMS Think Tank.'</w:t>
      </w:r>
    </w:p>
    <w:p>
      <w:pPr>
        <w:pStyle w:val="ListParagraph"/>
        <w:numPr>
          <w:ilvl w:val="0"/>
          <w:numId w:val="3"/>
        </w:numPr>
        <w:spacing w:after="60" w:before="40"/>
      </w:pPr>
      <w:r>
        <w:rPr>
          <w:rFonts w:ascii="Arial" w:cs="Arial" w:eastAsia="Arial" w:hAnsi="Arial"/>
          <w:color w:val="1B2B3A"/>
          <w:sz w:val="22"/>
          <w:szCs w:val="22"/>
        </w:rPr>
        <w:t xml:space="preserve">Character Profile: Documented historical persona, rhetorical style, known positions, key life experiences.</w:t>
      </w:r>
    </w:p>
    <w:p>
      <w:pPr>
        <w:pStyle w:val="ListParagraph"/>
        <w:numPr>
          <w:ilvl w:val="0"/>
          <w:numId w:val="3"/>
        </w:numPr>
        <w:spacing w:after="60" w:before="40"/>
      </w:pPr>
      <w:r>
        <w:rPr>
          <w:rFonts w:ascii="Arial" w:cs="Arial" w:eastAsia="Arial" w:hAnsi="Arial"/>
          <w:color w:val="1B2B3A"/>
          <w:sz w:val="22"/>
          <w:szCs w:val="22"/>
        </w:rPr>
        <w:t xml:space="preserve">Topic Contextualization: The specific agent topic and its relevance to the figure's era and worldview.</w:t>
      </w:r>
    </w:p>
    <w:p>
      <w:pPr>
        <w:pStyle w:val="ListParagraph"/>
        <w:numPr>
          <w:ilvl w:val="0"/>
          <w:numId w:val="3"/>
        </w:numPr>
        <w:spacing w:after="60" w:before="40"/>
      </w:pPr>
      <w:r>
        <w:rPr>
          <w:rFonts w:ascii="Arial" w:cs="Arial" w:eastAsia="Arial" w:hAnsi="Arial"/>
          <w:color w:val="1B2B3A"/>
          <w:sz w:val="22"/>
          <w:szCs w:val="22"/>
        </w:rPr>
        <w:t xml:space="preserve">Debate Rules: Response length constraints (3–5 sentences), first-person voice, no anachronistic language, engagement with prior speakers.</w:t>
      </w:r>
    </w:p>
    <w:p>
      <w:pPr>
        <w:pStyle w:val="ListParagraph"/>
        <w:numPr>
          <w:ilvl w:val="0"/>
          <w:numId w:val="3"/>
        </w:numPr>
        <w:spacing w:after="60" w:before="40"/>
      </w:pPr>
      <w:r>
        <w:rPr>
          <w:rFonts w:ascii="Arial" w:cs="Arial" w:eastAsia="Arial" w:hAnsi="Arial"/>
          <w:color w:val="1B2B3A"/>
          <w:sz w:val="22"/>
          <w:szCs w:val="22"/>
        </w:rPr>
        <w:t xml:space="preserve">Safety Rails: No harmful content, no fabrication of historical facts, acknowledge uncertainty when appropriate.</w:t>
      </w:r>
    </w:p>
    <w:p>
      <w:r>
        <w:t xml:space="preserve"/>
      </w:r>
    </w:p>
    <w:p>
      <w:pPr>
        <w:pStyle w:val="Heading2"/>
        <w:spacing w:after="120" w:before="280"/>
      </w:pPr>
      <w:r>
        <w:rPr>
          <w:rFonts w:ascii="Arial" w:cs="Arial" w:eastAsia="Arial" w:hAnsi="Arial"/>
          <w:b/>
          <w:bCs/>
          <w:color w:val="1B3A5C"/>
          <w:sz w:val="26"/>
          <w:szCs w:val="26"/>
        </w:rPr>
        <w:t xml:space="preserve">7.2 Context Window Management</w:t>
      </w:r>
    </w:p>
    <w:p>
      <w:pPr>
        <w:spacing w:after="100" w:before="60"/>
      </w:pPr>
      <w:r>
        <w:rPr>
          <w:rFonts w:ascii="Arial" w:cs="Arial" w:eastAsia="Arial" w:hAnsi="Arial"/>
          <w:color w:val="1B2B3A"/>
          <w:sz w:val="22"/>
          <w:szCs w:val="22"/>
        </w:rPr>
        <w:t xml:space="preserve">To maintain coherent multi-turn debates while controlling API costs, the following context management strategy is employed:</w:t>
      </w:r>
    </w:p>
    <w:p>
      <w:r>
        <w:t xml:space="preserve"/>
      </w:r>
    </w:p>
    <w:p>
      <w:pPr>
        <w:pStyle w:val="ListParagraph"/>
        <w:numPr>
          <w:ilvl w:val="0"/>
          <w:numId w:val="2"/>
        </w:numPr>
        <w:spacing w:after="60" w:before="40"/>
      </w:pPr>
      <w:r>
        <w:rPr>
          <w:rFonts w:ascii="Arial" w:cs="Arial" w:eastAsia="Arial" w:hAnsi="Arial"/>
          <w:color w:val="1B2B3A"/>
          <w:sz w:val="22"/>
          <w:szCs w:val="22"/>
        </w:rPr>
        <w:t xml:space="preserve">Full conversation history included for first 8 exchanges</w:t>
      </w:r>
    </w:p>
    <w:p>
      <w:pPr>
        <w:pStyle w:val="ListParagraph"/>
        <w:numPr>
          <w:ilvl w:val="0"/>
          <w:numId w:val="2"/>
        </w:numPr>
        <w:spacing w:after="60" w:before="40"/>
      </w:pPr>
      <w:r>
        <w:rPr>
          <w:rFonts w:ascii="Arial" w:cs="Arial" w:eastAsia="Arial" w:hAnsi="Arial"/>
          <w:color w:val="1B2B3A"/>
          <w:sz w:val="22"/>
          <w:szCs w:val="22"/>
        </w:rPr>
        <w:t xml:space="preserve">Beyond 8 exchanges: a sliding window of the last 6 messages is used, preceded by a 2-sentence AI-generated summary of earlier context</w:t>
      </w:r>
    </w:p>
    <w:p>
      <w:pPr>
        <w:pStyle w:val="ListParagraph"/>
        <w:numPr>
          <w:ilvl w:val="0"/>
          <w:numId w:val="2"/>
        </w:numPr>
        <w:spacing w:after="60" w:before="40"/>
      </w:pPr>
      <w:r>
        <w:rPr>
          <w:rFonts w:ascii="Arial" w:cs="Arial" w:eastAsia="Arial" w:hAnsi="Arial"/>
          <w:color w:val="1B2B3A"/>
          <w:sz w:val="22"/>
          <w:szCs w:val="22"/>
        </w:rPr>
        <w:t xml:space="preserve">Topic and figure identity always re-injected at the top of every request regardless of window size</w:t>
      </w:r>
    </w:p>
    <w:p>
      <w:pPr>
        <w:pStyle w:val="ListParagraph"/>
        <w:numPr>
          <w:ilvl w:val="0"/>
          <w:numId w:val="2"/>
        </w:numPr>
        <w:spacing w:after="60" w:before="40"/>
      </w:pPr>
      <w:r>
        <w:rPr>
          <w:rFonts w:ascii="Arial" w:cs="Arial" w:eastAsia="Arial" w:hAnsi="Arial"/>
          <w:color w:val="1B2B3A"/>
          <w:sz w:val="22"/>
          <w:szCs w:val="22"/>
        </w:rPr>
        <w:t xml:space="preserve">User interjections always included in full, regardless of position in conversation</w:t>
      </w:r>
    </w:p>
    <w:p>
      <w:r>
        <w:t xml:space="preserve"/>
      </w:r>
    </w:p>
    <w:p>
      <w:pPr>
        <w:pStyle w:val="Heading2"/>
        <w:spacing w:after="120" w:before="280"/>
      </w:pPr>
      <w:r>
        <w:rPr>
          <w:rFonts w:ascii="Arial" w:cs="Arial" w:eastAsia="Arial" w:hAnsi="Arial"/>
          <w:b/>
          <w:bCs/>
          <w:color w:val="1B3A5C"/>
          <w:sz w:val="26"/>
          <w:szCs w:val="26"/>
        </w:rPr>
        <w:t xml:space="preserve">7.3 Character Persona Library</w:t>
      </w:r>
    </w:p>
    <w:p>
      <w:pPr>
        <w:spacing w:after="100" w:before="60"/>
      </w:pPr>
      <w:r>
        <w:rPr>
          <w:rFonts w:ascii="Arial" w:cs="Arial" w:eastAsia="Arial" w:hAnsi="Arial"/>
          <w:color w:val="1B2B3A"/>
          <w:sz w:val="22"/>
          <w:szCs w:val="22"/>
        </w:rPr>
        <w:t xml:space="preserve">Each figure entry in the persona library contains the following structured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4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61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1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id</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string</w:t>
            </w:r>
          </w:p>
        </w:tc>
        <w:tc>
          <w:tcPr>
            <w:tcW w:type="dxa" w:w="6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Unique kebab-case identifier (e.g., 'napoleon-bonapart')</w:t>
            </w:r>
          </w:p>
        </w:tc>
      </w:tr>
      <w:tr>
        <w:tc>
          <w:tcPr>
            <w:tcW w:type="dxa" w:w="1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displayName</w:t>
            </w:r>
          </w:p>
        </w:tc>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string</w:t>
            </w:r>
          </w:p>
        </w:tc>
        <w:tc>
          <w:tcPr>
            <w:tcW w:type="dxa" w:w="61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Full display name for UI</w:t>
            </w:r>
          </w:p>
        </w:tc>
      </w:tr>
      <w:tr>
        <w:tc>
          <w:tcPr>
            <w:tcW w:type="dxa" w:w="1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initials</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string</w:t>
            </w:r>
          </w:p>
        </w:tc>
        <w:tc>
          <w:tcPr>
            <w:tcW w:type="dxa" w:w="6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2–3 character initials for avatar display</w:t>
            </w:r>
          </w:p>
        </w:tc>
      </w:tr>
      <w:tr>
        <w:tc>
          <w:tcPr>
            <w:tcW w:type="dxa" w:w="1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lifespan</w:t>
            </w:r>
          </w:p>
        </w:tc>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string</w:t>
            </w:r>
          </w:p>
        </w:tc>
        <w:tc>
          <w:tcPr>
            <w:tcW w:type="dxa" w:w="61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Birth–death years</w:t>
            </w:r>
          </w:p>
        </w:tc>
      </w:tr>
      <w:tr>
        <w:tc>
          <w:tcPr>
            <w:tcW w:type="dxa" w:w="1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era</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string</w:t>
            </w:r>
          </w:p>
        </w:tc>
        <w:tc>
          <w:tcPr>
            <w:tcW w:type="dxa" w:w="6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Historical period description</w:t>
            </w:r>
          </w:p>
        </w:tc>
      </w:tr>
      <w:tr>
        <w:tc>
          <w:tcPr>
            <w:tcW w:type="dxa" w:w="1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nationality</w:t>
            </w:r>
          </w:p>
        </w:tc>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string</w:t>
            </w:r>
          </w:p>
        </w:tc>
        <w:tc>
          <w:tcPr>
            <w:tcW w:type="dxa" w:w="61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Country/civilization of origin</w:t>
            </w:r>
          </w:p>
        </w:tc>
      </w:tr>
      <w:tr>
        <w:tc>
          <w:tcPr>
            <w:tcW w:type="dxa" w:w="1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systemPersona</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string (long)</w:t>
            </w:r>
          </w:p>
        </w:tc>
        <w:tc>
          <w:tcPr>
            <w:tcW w:type="dxa" w:w="6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Full character system prompt paragraph (500–800 chars)</w:t>
            </w:r>
          </w:p>
        </w:tc>
      </w:tr>
      <w:tr>
        <w:tc>
          <w:tcPr>
            <w:tcW w:type="dxa" w:w="1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speakingStyle</w:t>
            </w:r>
          </w:p>
        </w:tc>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string</w:t>
            </w:r>
          </w:p>
        </w:tc>
        <w:tc>
          <w:tcPr>
            <w:tcW w:type="dxa" w:w="61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Brief style descriptor for UI display</w:t>
            </w:r>
          </w:p>
        </w:tc>
      </w:tr>
      <w:tr>
        <w:tc>
          <w:tcPr>
            <w:tcW w:type="dxa" w:w="1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keyThemes</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string[]</w:t>
            </w:r>
          </w:p>
        </w:tc>
        <w:tc>
          <w:tcPr>
            <w:tcW w:type="dxa" w:w="6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5–8 topics this figure speaks to with authority</w:t>
            </w:r>
          </w:p>
        </w:tc>
      </w:tr>
      <w:tr>
        <w:tc>
          <w:tcPr>
            <w:tcW w:type="dxa" w:w="1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avoidTopics</w:t>
            </w:r>
          </w:p>
        </w:tc>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string[]</w:t>
            </w:r>
          </w:p>
        </w:tc>
        <w:tc>
          <w:tcPr>
            <w:tcW w:type="dxa" w:w="61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Anachronistic topics to redirect gracefully</w:t>
            </w:r>
          </w:p>
        </w:tc>
      </w:tr>
      <w:tr>
        <w:tc>
          <w:tcPr>
            <w:tcW w:type="dxa" w:w="1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sources</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string[]</w:t>
            </w:r>
          </w:p>
        </w:tc>
        <w:tc>
          <w:tcPr>
            <w:tcW w:type="dxa" w:w="6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Historical references used to ground the persona</w:t>
            </w:r>
          </w:p>
        </w:tc>
      </w:tr>
    </w:tbl>
    <w:p>
      <w:r>
        <w:t xml:space="preserve"/>
      </w:r>
    </w:p>
    <w:p>
      <w:pPr>
        <w:pStyle w:val="Heading1"/>
        <w:pBdr>
          <w:bottom w:val="single" w:color="1B3A5C" w:sz="8" w:space="6"/>
        </w:pBdr>
        <w:spacing w:after="160" w:before="360"/>
      </w:pPr>
      <w:r>
        <w:rPr>
          <w:rFonts w:ascii="Arial" w:cs="Arial" w:eastAsia="Arial" w:hAnsi="Arial"/>
          <w:b/>
          <w:bCs/>
          <w:color w:val="1B3A5C"/>
          <w:sz w:val="32"/>
          <w:szCs w:val="32"/>
        </w:rPr>
        <w:t xml:space="preserve">8. Security &amp; Compliance</w:t>
      </w:r>
    </w:p>
    <w:p>
      <w:pPr>
        <w:pStyle w:val="Heading2"/>
        <w:spacing w:after="120" w:before="280"/>
      </w:pPr>
      <w:r>
        <w:rPr>
          <w:rFonts w:ascii="Arial" w:cs="Arial" w:eastAsia="Arial" w:hAnsi="Arial"/>
          <w:b/>
          <w:bCs/>
          <w:color w:val="1B3A5C"/>
          <w:sz w:val="26"/>
          <w:szCs w:val="26"/>
        </w:rPr>
        <w:t xml:space="preserve">8.1 API Key Management</w:t>
      </w:r>
    </w:p>
    <w:p>
      <w:pPr>
        <w:spacing w:after="100" w:before="60"/>
      </w:pPr>
      <w:r>
        <w:rPr>
          <w:rFonts w:ascii="Arial" w:cs="Arial" w:eastAsia="Arial" w:hAnsi="Arial"/>
          <w:color w:val="1B2B3A"/>
          <w:sz w:val="22"/>
          <w:szCs w:val="22"/>
        </w:rPr>
        <w:t xml:space="preserve">Phase 1 (current prototype): API keys are entered by the user directly in the client UI and passed client-side to AI providers. Keys are never stored on FMS servers or transmitted to any intermediary.</w:t>
      </w:r>
    </w:p>
    <w:p>
      <w:r>
        <w:t xml:space="preserve"/>
      </w:r>
    </w:p>
    <w:p>
      <w:pPr>
        <w:spacing w:after="100" w:before="60"/>
      </w:pPr>
      <w:r>
        <w:rPr>
          <w:rFonts w:ascii="Arial" w:cs="Arial" w:eastAsia="Arial" w:hAnsi="Arial"/>
          <w:color w:val="1B2B3A"/>
          <w:sz w:val="22"/>
          <w:szCs w:val="22"/>
        </w:rPr>
        <w:t xml:space="preserve">Phase 2 (production): API keys are stored server-side as encrypted environment variables. The frontend sends requests to the FMS API Gateway, which injects the appropriate provider key before forwarding to the AI provider. Users never see or handle raw API keys.</w:t>
      </w:r>
    </w:p>
    <w:p>
      <w:r>
        <w:t xml:space="preserve"/>
      </w:r>
    </w:p>
    <w:p>
      <w:pPr>
        <w:pStyle w:val="Heading2"/>
        <w:spacing w:after="120" w:before="280"/>
      </w:pPr>
      <w:r>
        <w:rPr>
          <w:rFonts w:ascii="Arial" w:cs="Arial" w:eastAsia="Arial" w:hAnsi="Arial"/>
          <w:b/>
          <w:bCs/>
          <w:color w:val="1B3A5C"/>
          <w:sz w:val="26"/>
          <w:szCs w:val="26"/>
        </w:rPr>
        <w:t xml:space="preserve">8.2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Control</w:t>
            </w:r>
          </w:p>
        </w:tc>
        <w:tc>
          <w:tcPr>
            <w:tcW w:type="dxa" w:w="14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53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Implementation</w:t>
            </w:r>
          </w:p>
        </w:tc>
      </w:tr>
      <w:tr>
        <w:tc>
          <w:tcPr>
            <w:tcW w:type="dxa" w:w="2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TLS encryption</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Phase 1+</w:t>
            </w:r>
          </w:p>
        </w:tc>
        <w:tc>
          <w:tcPr>
            <w:tcW w:type="dxa" w:w="53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All traffic over HTTPS; HSTS enforced; TLS 1.3 minimum</w:t>
            </w:r>
          </w:p>
        </w:tc>
      </w:tr>
      <w:tr>
        <w:tc>
          <w:tcPr>
            <w:tcW w:type="dxa" w:w="2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API key encryption at rest</w:t>
            </w:r>
          </w:p>
        </w:tc>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Phase 2</w:t>
            </w:r>
          </w:p>
        </w:tc>
        <w:tc>
          <w:tcPr>
            <w:tcW w:type="dxa" w:w="53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Keys encrypted with AES-256 in server environment variables</w:t>
            </w:r>
          </w:p>
        </w:tc>
      </w:tr>
      <w:tr>
        <w:tc>
          <w:tcPr>
            <w:tcW w:type="dxa" w:w="2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Rate limiting</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Phase 2</w:t>
            </w:r>
          </w:p>
        </w:tc>
        <w:tc>
          <w:tcPr>
            <w:tcW w:type="dxa" w:w="53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100 requests/hour per session; 1000/day per authenticated user</w:t>
            </w:r>
          </w:p>
        </w:tc>
      </w:tr>
      <w:tr>
        <w:tc>
          <w:tcPr>
            <w:tcW w:type="dxa" w:w="2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Input sanitization</w:t>
            </w:r>
          </w:p>
        </w:tc>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Phase 1+</w:t>
            </w:r>
          </w:p>
        </w:tc>
        <w:tc>
          <w:tcPr>
            <w:tcW w:type="dxa" w:w="53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All user inputs stripped of prompt injection patterns before API submission</w:t>
            </w:r>
          </w:p>
        </w:tc>
      </w:tr>
      <w:tr>
        <w:tc>
          <w:tcPr>
            <w:tcW w:type="dxa" w:w="2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Content moderation</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Phase 2</w:t>
            </w:r>
          </w:p>
        </w:tc>
        <w:tc>
          <w:tcPr>
            <w:tcW w:type="dxa" w:w="53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Anthropic/OpenAI moderation endpoint pre-screens user inputs</w:t>
            </w:r>
          </w:p>
        </w:tc>
      </w:tr>
      <w:tr>
        <w:tc>
          <w:tcPr>
            <w:tcW w:type="dxa" w:w="2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CORS policy</w:t>
            </w:r>
          </w:p>
        </w:tc>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Phase 2</w:t>
            </w:r>
          </w:p>
        </w:tc>
        <w:tc>
          <w:tcPr>
            <w:tcW w:type="dxa" w:w="53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Strict CORS allowing only fmsthinktank.org origin</w:t>
            </w:r>
          </w:p>
        </w:tc>
      </w:tr>
      <w:tr>
        <w:tc>
          <w:tcPr>
            <w:tcW w:type="dxa" w:w="2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DDoS protection</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Phase 1+</w:t>
            </w:r>
          </w:p>
        </w:tc>
        <w:tc>
          <w:tcPr>
            <w:tcW w:type="dxa" w:w="53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Cloudflare layer-7 DDoS mitigation</w:t>
            </w:r>
          </w:p>
        </w:tc>
      </w:tr>
      <w:tr>
        <w:tc>
          <w:tcPr>
            <w:tcW w:type="dxa" w:w="2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Audit logging</w:t>
            </w:r>
          </w:p>
        </w:tc>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Phase 2</w:t>
            </w:r>
          </w:p>
        </w:tc>
        <w:tc>
          <w:tcPr>
            <w:tcW w:type="dxa" w:w="53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All API calls logged (no PII) for cost monitoring and abuse detection</w:t>
            </w:r>
          </w:p>
        </w:tc>
      </w:tr>
    </w:tbl>
    <w:p>
      <w:r>
        <w:t xml:space="preserve"/>
      </w:r>
    </w:p>
    <w:p>
      <w:pPr>
        <w:pStyle w:val="Heading2"/>
        <w:spacing w:after="120" w:before="280"/>
      </w:pPr>
      <w:r>
        <w:rPr>
          <w:rFonts w:ascii="Arial" w:cs="Arial" w:eastAsia="Arial" w:hAnsi="Arial"/>
          <w:b/>
          <w:bCs/>
          <w:color w:val="1B3A5C"/>
          <w:sz w:val="26"/>
          <w:szCs w:val="26"/>
        </w:rPr>
        <w:t xml:space="preserve">8.3 Content Safety</w:t>
      </w:r>
    </w:p>
    <w:p>
      <w:pPr>
        <w:pStyle w:val="ListParagraph"/>
        <w:numPr>
          <w:ilvl w:val="0"/>
          <w:numId w:val="2"/>
        </w:numPr>
        <w:spacing w:after="60" w:before="40"/>
      </w:pPr>
      <w:r>
        <w:rPr>
          <w:rFonts w:ascii="Arial" w:cs="Arial" w:eastAsia="Arial" w:hAnsi="Arial"/>
          <w:color w:val="1B2B3A"/>
          <w:sz w:val="22"/>
          <w:szCs w:val="22"/>
        </w:rPr>
        <w:t xml:space="preserve">All AI outputs filtered through provider-native content safety systems</w:t>
      </w:r>
    </w:p>
    <w:p>
      <w:pPr>
        <w:pStyle w:val="ListParagraph"/>
        <w:numPr>
          <w:ilvl w:val="0"/>
          <w:numId w:val="2"/>
        </w:numPr>
        <w:spacing w:after="60" w:before="40"/>
      </w:pPr>
      <w:r>
        <w:rPr>
          <w:rFonts w:ascii="Arial" w:cs="Arial" w:eastAsia="Arial" w:hAnsi="Arial"/>
          <w:color w:val="1B2B3A"/>
          <w:sz w:val="22"/>
          <w:szCs w:val="22"/>
        </w:rPr>
        <w:t xml:space="preserve">Prompt injection detection: user inputs scanned for role-override attempts before submission</w:t>
      </w:r>
    </w:p>
    <w:p>
      <w:pPr>
        <w:pStyle w:val="ListParagraph"/>
        <w:numPr>
          <w:ilvl w:val="0"/>
          <w:numId w:val="2"/>
        </w:numPr>
        <w:spacing w:after="60" w:before="40"/>
      </w:pPr>
      <w:r>
        <w:rPr>
          <w:rFonts w:ascii="Arial" w:cs="Arial" w:eastAsia="Arial" w:hAnsi="Arial"/>
          <w:color w:val="1B2B3A"/>
          <w:sz w:val="22"/>
          <w:szCs w:val="22"/>
        </w:rPr>
        <w:t xml:space="preserve">Historical accuracy disclaimer displayed in UI; figures explicitly acknowledge they represent simulated perspectives</w:t>
      </w:r>
    </w:p>
    <w:p>
      <w:pPr>
        <w:pStyle w:val="ListParagraph"/>
        <w:numPr>
          <w:ilvl w:val="0"/>
          <w:numId w:val="2"/>
        </w:numPr>
        <w:spacing w:after="60" w:before="40"/>
      </w:pPr>
      <w:r>
        <w:rPr>
          <w:rFonts w:ascii="Arial" w:cs="Arial" w:eastAsia="Arial" w:hAnsi="Arial"/>
          <w:color w:val="1B2B3A"/>
          <w:sz w:val="22"/>
          <w:szCs w:val="22"/>
        </w:rPr>
        <w:t xml:space="preserve">No real-world policy advice presented as authoritative; educational framing enforced throughout</w:t>
      </w:r>
    </w:p>
    <w:p>
      <w:r>
        <w:t xml:space="preserve"/>
      </w:r>
    </w:p>
    <w:p>
      <w:pPr>
        <w:pStyle w:val="Heading1"/>
        <w:pBdr>
          <w:bottom w:val="single" w:color="1B3A5C" w:sz="8" w:space="6"/>
        </w:pBdr>
        <w:spacing w:after="160" w:before="360"/>
      </w:pPr>
      <w:r>
        <w:rPr>
          <w:rFonts w:ascii="Arial" w:cs="Arial" w:eastAsia="Arial" w:hAnsi="Arial"/>
          <w:b/>
          <w:bCs/>
          <w:color w:val="1B3A5C"/>
          <w:sz w:val="32"/>
          <w:szCs w:val="32"/>
        </w:rPr>
        <w:t xml:space="preserve">9. Deployment Architecture</w:t>
      </w:r>
    </w:p>
    <w:p>
      <w:pPr>
        <w:pStyle w:val="Heading2"/>
        <w:spacing w:after="120" w:before="280"/>
      </w:pPr>
      <w:r>
        <w:rPr>
          <w:rFonts w:ascii="Arial" w:cs="Arial" w:eastAsia="Arial" w:hAnsi="Arial"/>
          <w:b/>
          <w:bCs/>
          <w:color w:val="1B3A5C"/>
          <w:sz w:val="26"/>
          <w:szCs w:val="26"/>
        </w:rPr>
        <w:t xml:space="preserve">9.1 Infrastructure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328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Phase 1 (Prototype)</w:t>
            </w:r>
          </w:p>
        </w:tc>
        <w:tc>
          <w:tcPr>
            <w:tcW w:type="dxa" w:w="328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Phase 2 (Production)</w:t>
            </w:r>
          </w:p>
        </w:tc>
      </w:tr>
      <w:tr>
        <w:tc>
          <w:tcPr>
            <w:tcW w:type="dxa" w:w="2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Frontend hosting</w:t>
            </w:r>
          </w:p>
        </w:tc>
        <w:tc>
          <w:tcPr>
            <w:tcW w:type="dxa" w:w="328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Vercel (free tier)</w:t>
            </w:r>
          </w:p>
        </w:tc>
        <w:tc>
          <w:tcPr>
            <w:tcW w:type="dxa" w:w="328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Vercel Pro — edge network, custom domain</w:t>
            </w:r>
          </w:p>
        </w:tc>
      </w:tr>
      <w:tr>
        <w:tc>
          <w:tcPr>
            <w:tcW w:type="dxa" w:w="2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Backend hosting</w:t>
            </w:r>
          </w:p>
        </w:tc>
        <w:tc>
          <w:tcPr>
            <w:tcW w:type="dxa" w:w="328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Vercel serverless functions</w:t>
            </w:r>
          </w:p>
        </w:tc>
        <w:tc>
          <w:tcPr>
            <w:tcW w:type="dxa" w:w="328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Railway container — persistent Node.js server</w:t>
            </w:r>
          </w:p>
        </w:tc>
      </w:tr>
      <w:tr>
        <w:tc>
          <w:tcPr>
            <w:tcW w:type="dxa" w:w="2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Database</w:t>
            </w:r>
          </w:p>
        </w:tc>
        <w:tc>
          <w:tcPr>
            <w:tcW w:type="dxa" w:w="328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None (stateless)</w:t>
            </w:r>
          </w:p>
        </w:tc>
        <w:tc>
          <w:tcPr>
            <w:tcW w:type="dxa" w:w="328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Redis Cloud (Upstash) for session persistence</w:t>
            </w:r>
          </w:p>
        </w:tc>
      </w:tr>
      <w:tr>
        <w:tc>
          <w:tcPr>
            <w:tcW w:type="dxa" w:w="2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CDN</w:t>
            </w:r>
          </w:p>
        </w:tc>
        <w:tc>
          <w:tcPr>
            <w:tcW w:type="dxa" w:w="328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Vercel Edge Network</w:t>
            </w:r>
          </w:p>
        </w:tc>
        <w:tc>
          <w:tcPr>
            <w:tcW w:type="dxa" w:w="328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Cloudflare CDN + WAF</w:t>
            </w:r>
          </w:p>
        </w:tc>
      </w:tr>
      <w:tr>
        <w:tc>
          <w:tcPr>
            <w:tcW w:type="dxa" w:w="2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Domain</w:t>
            </w:r>
          </w:p>
        </w:tc>
        <w:tc>
          <w:tcPr>
            <w:tcW w:type="dxa" w:w="328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vercel.app subdomain</w:t>
            </w:r>
          </w:p>
        </w:tc>
        <w:tc>
          <w:tcPr>
            <w:tcW w:type="dxa" w:w="328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roundtable.fmsthinktank.org</w:t>
            </w:r>
          </w:p>
        </w:tc>
      </w:tr>
      <w:tr>
        <w:tc>
          <w:tcPr>
            <w:tcW w:type="dxa" w:w="2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SSL</w:t>
            </w:r>
          </w:p>
        </w:tc>
        <w:tc>
          <w:tcPr>
            <w:tcW w:type="dxa" w:w="328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Vercel managed</w:t>
            </w:r>
          </w:p>
        </w:tc>
        <w:tc>
          <w:tcPr>
            <w:tcW w:type="dxa" w:w="328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Cloudflare managed + HSTS preload</w:t>
            </w:r>
          </w:p>
        </w:tc>
      </w:tr>
      <w:tr>
        <w:tc>
          <w:tcPr>
            <w:tcW w:type="dxa" w:w="2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Monitoring</w:t>
            </w:r>
          </w:p>
        </w:tc>
        <w:tc>
          <w:tcPr>
            <w:tcW w:type="dxa" w:w="328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Vercel analytics</w:t>
            </w:r>
          </w:p>
        </w:tc>
        <w:tc>
          <w:tcPr>
            <w:tcW w:type="dxa" w:w="328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Sentry (errors) + Datadog (APM) + Uptime Robot</w:t>
            </w:r>
          </w:p>
        </w:tc>
      </w:tr>
      <w:tr>
        <w:tc>
          <w:tcPr>
            <w:tcW w:type="dxa" w:w="2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CI/CD</w:t>
            </w:r>
          </w:p>
        </w:tc>
        <w:tc>
          <w:tcPr>
            <w:tcW w:type="dxa" w:w="328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GitHub Actions (manual)</w:t>
            </w:r>
          </w:p>
        </w:tc>
        <w:tc>
          <w:tcPr>
            <w:tcW w:type="dxa" w:w="328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GitHub Actions (automated) with staging environment</w:t>
            </w:r>
          </w:p>
        </w:tc>
      </w:tr>
    </w:tbl>
    <w:p>
      <w:r>
        <w:t xml:space="preserve"/>
      </w:r>
    </w:p>
    <w:p>
      <w:pPr>
        <w:pStyle w:val="Heading2"/>
        <w:spacing w:after="120" w:before="280"/>
      </w:pPr>
      <w:r>
        <w:rPr>
          <w:rFonts w:ascii="Arial" w:cs="Arial" w:eastAsia="Arial" w:hAnsi="Arial"/>
          <w:b/>
          <w:bCs/>
          <w:color w:val="1B3A5C"/>
          <w:sz w:val="26"/>
          <w:szCs w:val="26"/>
        </w:rPr>
        <w:t xml:space="preserve">9.2 Deployment Pipeline</w:t>
      </w:r>
    </w:p>
    <w:p>
      <w:pPr>
        <w:pStyle w:val="ListParagraph"/>
        <w:numPr>
          <w:ilvl w:val="0"/>
          <w:numId w:val="3"/>
        </w:numPr>
        <w:spacing w:after="60" w:before="40"/>
      </w:pPr>
      <w:r>
        <w:rPr>
          <w:rFonts w:ascii="Arial" w:cs="Arial" w:eastAsia="Arial" w:hAnsi="Arial"/>
          <w:color w:val="1B2B3A"/>
          <w:sz w:val="22"/>
          <w:szCs w:val="22"/>
        </w:rPr>
        <w:t xml:space="preserve">Developer pushes to feature branch on GitHub</w:t>
      </w:r>
    </w:p>
    <w:p>
      <w:pPr>
        <w:pStyle w:val="ListParagraph"/>
        <w:numPr>
          <w:ilvl w:val="0"/>
          <w:numId w:val="3"/>
        </w:numPr>
        <w:spacing w:after="60" w:before="40"/>
      </w:pPr>
      <w:r>
        <w:rPr>
          <w:rFonts w:ascii="Arial" w:cs="Arial" w:eastAsia="Arial" w:hAnsi="Arial"/>
          <w:color w:val="1B2B3A"/>
          <w:sz w:val="22"/>
          <w:szCs w:val="22"/>
        </w:rPr>
        <w:t xml:space="preserve">GitHub Actions triggers: lint → TypeScript compile → unit tests → build</w:t>
      </w:r>
    </w:p>
    <w:p>
      <w:pPr>
        <w:pStyle w:val="ListParagraph"/>
        <w:numPr>
          <w:ilvl w:val="0"/>
          <w:numId w:val="3"/>
        </w:numPr>
        <w:spacing w:after="60" w:before="40"/>
      </w:pPr>
      <w:r>
        <w:rPr>
          <w:rFonts w:ascii="Arial" w:cs="Arial" w:eastAsia="Arial" w:hAnsi="Arial"/>
          <w:color w:val="1B2B3A"/>
          <w:sz w:val="22"/>
          <w:szCs w:val="22"/>
        </w:rPr>
        <w:t xml:space="preserve">PR review required for merge to main</w:t>
      </w:r>
    </w:p>
    <w:p>
      <w:pPr>
        <w:pStyle w:val="ListParagraph"/>
        <w:numPr>
          <w:ilvl w:val="0"/>
          <w:numId w:val="3"/>
        </w:numPr>
        <w:spacing w:after="60" w:before="40"/>
      </w:pPr>
      <w:r>
        <w:rPr>
          <w:rFonts w:ascii="Arial" w:cs="Arial" w:eastAsia="Arial" w:hAnsi="Arial"/>
          <w:color w:val="1B2B3A"/>
          <w:sz w:val="22"/>
          <w:szCs w:val="22"/>
        </w:rPr>
        <w:t xml:space="preserve">Merge to main triggers automatic deployment to staging.roundtable.fmsthinktank.org</w:t>
      </w:r>
    </w:p>
    <w:p>
      <w:pPr>
        <w:pStyle w:val="ListParagraph"/>
        <w:numPr>
          <w:ilvl w:val="0"/>
          <w:numId w:val="3"/>
        </w:numPr>
        <w:spacing w:after="60" w:before="40"/>
      </w:pPr>
      <w:r>
        <w:rPr>
          <w:rFonts w:ascii="Arial" w:cs="Arial" w:eastAsia="Arial" w:hAnsi="Arial"/>
          <w:color w:val="1B2B3A"/>
          <w:sz w:val="22"/>
          <w:szCs w:val="22"/>
        </w:rPr>
        <w:t xml:space="preserve">QA sign-off triggers production deployment via GitHub Release tag</w:t>
      </w:r>
    </w:p>
    <w:p>
      <w:pPr>
        <w:pStyle w:val="ListParagraph"/>
        <w:numPr>
          <w:ilvl w:val="0"/>
          <w:numId w:val="3"/>
        </w:numPr>
        <w:spacing w:after="60" w:before="40"/>
      </w:pPr>
      <w:r>
        <w:rPr>
          <w:rFonts w:ascii="Arial" w:cs="Arial" w:eastAsia="Arial" w:hAnsi="Arial"/>
          <w:color w:val="1B2B3A"/>
          <w:sz w:val="22"/>
          <w:szCs w:val="22"/>
        </w:rPr>
        <w:t xml:space="preserve">Cloudflare cache purge on production deployment</w:t>
      </w:r>
    </w:p>
    <w:p>
      <w:pPr>
        <w:pStyle w:val="ListParagraph"/>
        <w:numPr>
          <w:ilvl w:val="0"/>
          <w:numId w:val="3"/>
        </w:numPr>
        <w:spacing w:after="60" w:before="40"/>
      </w:pPr>
      <w:r>
        <w:rPr>
          <w:rFonts w:ascii="Arial" w:cs="Arial" w:eastAsia="Arial" w:hAnsi="Arial"/>
          <w:color w:val="1B2B3A"/>
          <w:sz w:val="22"/>
          <w:szCs w:val="22"/>
        </w:rPr>
        <w:t xml:space="preserve">Sentry release tracking records deployment; alerts on spike in errors post-deploy</w:t>
      </w:r>
    </w:p>
    <w:p>
      <w:r>
        <w:t xml:space="preserve"/>
      </w:r>
    </w:p>
    <w:p>
      <w:pPr>
        <w:pStyle w:val="Heading1"/>
        <w:pBdr>
          <w:bottom w:val="single" w:color="1B3A5C" w:sz="8" w:space="6"/>
        </w:pBdr>
        <w:spacing w:after="160" w:before="360"/>
      </w:pPr>
      <w:r>
        <w:rPr>
          <w:rFonts w:ascii="Arial" w:cs="Arial" w:eastAsia="Arial" w:hAnsi="Arial"/>
          <w:b/>
          <w:bCs/>
          <w:color w:val="1B3A5C"/>
          <w:sz w:val="32"/>
          <w:szCs w:val="32"/>
        </w:rPr>
        <w:t xml:space="preserve">10. Data Models</w:t>
      </w:r>
    </w:p>
    <w:p>
      <w:pPr>
        <w:pStyle w:val="Heading2"/>
        <w:spacing w:after="120" w:before="280"/>
      </w:pPr>
      <w:r>
        <w:rPr>
          <w:rFonts w:ascii="Arial" w:cs="Arial" w:eastAsia="Arial" w:hAnsi="Arial"/>
          <w:b/>
          <w:bCs/>
          <w:color w:val="1B3A5C"/>
          <w:sz w:val="26"/>
          <w:szCs w:val="26"/>
        </w:rPr>
        <w:t xml:space="preserve">10.1 Debate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22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sessionId</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string (uuid)</w:t>
            </w:r>
          </w:p>
        </w:tc>
        <w:tc>
          <w:tcPr>
            <w:tcW w:type="dxa" w:w="47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Unique session identifier</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createdAt</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ISO timestamp</w:t>
            </w:r>
          </w:p>
        </w:tc>
        <w:tc>
          <w:tcPr>
            <w:tcW w:type="dxa" w:w="47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Session creation time</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topic</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TopicID (enum)</w:t>
            </w:r>
          </w:p>
        </w:tc>
        <w:tc>
          <w:tcPr>
            <w:tcW w:type="dxa" w:w="47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Selected agent topic (1–13)</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figures</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FigureID[]</w:t>
            </w:r>
          </w:p>
        </w:tc>
        <w:tc>
          <w:tcPr>
            <w:tcW w:type="dxa" w:w="47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Array of selected figure IDs (max 4)</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messages</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Message[]</w:t>
            </w:r>
          </w:p>
        </w:tc>
        <w:tc>
          <w:tcPr>
            <w:tcW w:type="dxa" w:w="47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Ordered array of debate messages</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provider</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ProviderEnum</w:t>
            </w:r>
          </w:p>
        </w:tc>
        <w:tc>
          <w:tcPr>
            <w:tcW w:type="dxa" w:w="47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'anthropic' | 'openai'</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theme</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ThemeEnum</w:t>
            </w:r>
          </w:p>
        </w:tc>
        <w:tc>
          <w:tcPr>
            <w:tcW w:type="dxa" w:w="47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'scholarly' | 'dark' | 'editorial' | 'futuristic'</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exportedAt</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ISO timestamp?</w:t>
            </w:r>
          </w:p>
        </w:tc>
        <w:tc>
          <w:tcPr>
            <w:tcW w:type="dxa" w:w="47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Timestamp if session was exported</w:t>
            </w:r>
          </w:p>
        </w:tc>
      </w:tr>
    </w:tbl>
    <w:p>
      <w:r>
        <w:t xml:space="preserve"/>
      </w:r>
    </w:p>
    <w:p>
      <w:pPr>
        <w:pStyle w:val="Heading2"/>
        <w:spacing w:after="120" w:before="280"/>
      </w:pPr>
      <w:r>
        <w:rPr>
          <w:rFonts w:ascii="Arial" w:cs="Arial" w:eastAsia="Arial" w:hAnsi="Arial"/>
          <w:b/>
          <w:bCs/>
          <w:color w:val="1B3A5C"/>
          <w:sz w:val="26"/>
          <w:szCs w:val="26"/>
        </w:rPr>
        <w:t xml:space="preserve">10.2 Message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22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id</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string (uuid)</w:t>
            </w:r>
          </w:p>
        </w:tc>
        <w:tc>
          <w:tcPr>
            <w:tcW w:type="dxa" w:w="47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Unique message identifier</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role</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RoleEnum</w:t>
            </w:r>
          </w:p>
        </w:tc>
        <w:tc>
          <w:tcPr>
            <w:tcW w:type="dxa" w:w="47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'assistant' (figure) | 'user' (moderator)</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figureId</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string?</w:t>
            </w:r>
          </w:p>
        </w:tc>
        <w:tc>
          <w:tcPr>
            <w:tcW w:type="dxa" w:w="47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Figure ID if role is 'assistant'</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figureName</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string?</w:t>
            </w:r>
          </w:p>
        </w:tc>
        <w:tc>
          <w:tcPr>
            <w:tcW w:type="dxa" w:w="47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Display name for rendering</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content</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string</w:t>
            </w:r>
          </w:p>
        </w:tc>
        <w:tc>
          <w:tcPr>
            <w:tcW w:type="dxa" w:w="47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The debate message text</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timestamp</w:t>
            </w:r>
          </w:p>
        </w:tc>
        <w:tc>
          <w:tcPr>
            <w:tcW w:type="dxa" w:w="2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ISO timestamp</w:t>
            </w:r>
          </w:p>
        </w:tc>
        <w:tc>
          <w:tcPr>
            <w:tcW w:type="dxa" w:w="47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Message creation time</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tokenCount</w:t>
            </w:r>
          </w:p>
        </w:tc>
        <w:tc>
          <w:tcPr>
            <w:tcW w:type="dxa" w:w="2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number?</w:t>
            </w:r>
          </w:p>
        </w:tc>
        <w:tc>
          <w:tcPr>
            <w:tcW w:type="dxa" w:w="47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Approximate tokens used (for cost tracking)</w:t>
            </w:r>
          </w:p>
        </w:tc>
      </w:tr>
    </w:tbl>
    <w:p>
      <w:r>
        <w:t xml:space="preserve"/>
      </w:r>
    </w:p>
    <w:p>
      <w:pPr>
        <w:pStyle w:val="Heading1"/>
        <w:pBdr>
          <w:bottom w:val="single" w:color="1B3A5C" w:sz="8" w:space="6"/>
        </w:pBdr>
        <w:spacing w:after="160" w:before="360"/>
      </w:pPr>
      <w:r>
        <w:rPr>
          <w:rFonts w:ascii="Arial" w:cs="Arial" w:eastAsia="Arial" w:hAnsi="Arial"/>
          <w:b/>
          <w:bCs/>
          <w:color w:val="1B3A5C"/>
          <w:sz w:val="32"/>
          <w:szCs w:val="32"/>
        </w:rPr>
        <w:t xml:space="preserve">11.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600"/>
        <w:gridCol w:w="1560"/>
      </w:tblGrid>
      <w:tr>
        <w:trPr>
          <w:tblHeader/>
        </w:trPr>
        <w:tc>
          <w:tcPr>
            <w:tcW w:type="dxa" w:w="18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14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Timeline</w:t>
            </w:r>
          </w:p>
        </w:tc>
        <w:tc>
          <w:tcPr>
            <w:tcW w:type="dxa" w:w="46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Features</w:t>
            </w:r>
          </w:p>
        </w:tc>
        <w:tc>
          <w:tcPr>
            <w:tcW w:type="dxa" w:w="15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Phase 1 — Prototype</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Complete</w:t>
            </w:r>
          </w:p>
        </w:tc>
        <w:tc>
          <w:tcPr>
            <w:tcW w:type="dxa" w:w="4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Core debate UI, 8 figures, 13 topics, 4 themes, client-side API keys, OpenAI + Anthropic support</w:t>
            </w:r>
          </w:p>
        </w:tc>
        <w:tc>
          <w:tcPr>
            <w:tcW w:type="dxa" w:w="15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Complete</w:t>
            </w:r>
          </w:p>
        </w:tc>
      </w:tr>
      <w:tr>
        <w:tc>
          <w:tcPr>
            <w:tcW w:type="dxa" w:w="1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Phase 2 — Alpha</w:t>
            </w:r>
          </w:p>
        </w:tc>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Q3 2026</w:t>
            </w:r>
          </w:p>
        </w:tc>
        <w:tc>
          <w:tcPr>
            <w:tcW w:type="dxa" w:w="4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Server-side API gateway, session persistence (Redis), PDF/DOCX export, user authentication, rate limiting</w:t>
            </w:r>
          </w:p>
        </w:tc>
        <w:tc>
          <w:tcPr>
            <w:tcW w:type="dxa" w:w="15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Planned</w:t>
            </w:r>
          </w:p>
        </w:tc>
      </w:tr>
      <w:tr>
        <w:tc>
          <w:tcPr>
            <w:tcW w:type="dxa" w:w="1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Phase 3 — Beta</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Q4 2026</w:t>
            </w:r>
          </w:p>
        </w:tc>
        <w:tc>
          <w:tcPr>
            <w:tcW w:type="dxa" w:w="4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Policy brief AI generator, 20+ figures, admin figure library editor, multi-language (FR/TR/AR), WCAG 2.1 AA audit</w:t>
            </w:r>
          </w:p>
        </w:tc>
        <w:tc>
          <w:tcPr>
            <w:tcW w:type="dxa" w:w="15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Planned</w:t>
            </w:r>
          </w:p>
        </w:tc>
      </w:tr>
      <w:tr>
        <w:tc>
          <w:tcPr>
            <w:tcW w:type="dxa" w:w="18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Phase 4 — Launch</w:t>
            </w:r>
          </w:p>
        </w:tc>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Q1 2027</w:t>
            </w:r>
          </w:p>
        </w:tc>
        <w:tc>
          <w:tcPr>
            <w:tcW w:type="dxa" w:w="4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Production deployment to fmsthinktank.org, Cloudflare CDN, Datadog monitoring, public beta with invite codes</w:t>
            </w:r>
          </w:p>
        </w:tc>
        <w:tc>
          <w:tcPr>
            <w:tcW w:type="dxa" w:w="15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Planned</w:t>
            </w:r>
          </w:p>
        </w:tc>
      </w:tr>
      <w:tr>
        <w:tc>
          <w:tcPr>
            <w:tcW w:type="dxa" w:w="18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Phase 5 — Expansion</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Q2 2027+</w:t>
            </w:r>
          </w:p>
        </w:tc>
        <w:tc>
          <w:tcPr>
            <w:tcW w:type="dxa" w:w="4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LMS integration, educator dashboard, debate scoring rubric, collaborative multi-user debates, mobile app (React Native)</w:t>
            </w:r>
          </w:p>
        </w:tc>
        <w:tc>
          <w:tcPr>
            <w:tcW w:type="dxa" w:w="15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Future</w:t>
            </w:r>
          </w:p>
        </w:tc>
      </w:tr>
    </w:tbl>
    <w:p>
      <w:r>
        <w:t xml:space="preserve"/>
      </w:r>
    </w:p>
    <w:p>
      <w:pPr>
        <w:pStyle w:val="Heading1"/>
        <w:pBdr>
          <w:bottom w:val="single" w:color="1B3A5C" w:sz="8" w:space="6"/>
        </w:pBdr>
        <w:spacing w:after="160" w:before="360"/>
      </w:pPr>
      <w:r>
        <w:rPr>
          <w:rFonts w:ascii="Arial" w:cs="Arial" w:eastAsia="Arial" w:hAnsi="Arial"/>
          <w:b/>
          <w:bCs/>
          <w:color w:val="1B3A5C"/>
          <w:sz w:val="32"/>
          <w:szCs w:val="32"/>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rPr>
          <w:tblHeader/>
        </w:trPr>
        <w:tc>
          <w:tcPr>
            <w:tcW w:type="dxa" w:w="26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14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Likelihood</w:t>
            </w:r>
          </w:p>
        </w:tc>
        <w:tc>
          <w:tcPr>
            <w:tcW w:type="dxa" w:w="12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Impact</w:t>
            </w:r>
          </w:p>
        </w:tc>
        <w:tc>
          <w:tcPr>
            <w:tcW w:type="dxa" w:w="41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2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AI provider API changes or pricing increase</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Medium</w:t>
            </w:r>
          </w:p>
        </w:tc>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High</w:t>
            </w:r>
          </w:p>
        </w:tc>
        <w:tc>
          <w:tcPr>
            <w:tcW w:type="dxa" w:w="4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Multi-provider architecture; provider-agnostic abstraction layer</w:t>
            </w:r>
          </w:p>
        </w:tc>
      </w:tr>
      <w:tr>
        <w:tc>
          <w:tcPr>
            <w:tcW w:type="dxa" w:w="2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Historical figure persona inaccuracy or misrepresentation</w:t>
            </w:r>
          </w:p>
        </w:tc>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Medium</w:t>
            </w:r>
          </w:p>
        </w:tc>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High</w:t>
            </w:r>
          </w:p>
        </w:tc>
        <w:tc>
          <w:tcPr>
            <w:tcW w:type="dxa" w:w="41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Academic review board; disclaimer UI; persona sourcing documented</w:t>
            </w:r>
          </w:p>
        </w:tc>
      </w:tr>
      <w:tr>
        <w:tc>
          <w:tcPr>
            <w:tcW w:type="dxa" w:w="2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Prompt injection attacks by users</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Medium</w:t>
            </w:r>
          </w:p>
        </w:tc>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Medium</w:t>
            </w:r>
          </w:p>
        </w:tc>
        <w:tc>
          <w:tcPr>
            <w:tcW w:type="dxa" w:w="4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Input sanitization; prompt guard layer; content moderation API</w:t>
            </w:r>
          </w:p>
        </w:tc>
      </w:tr>
      <w:tr>
        <w:tc>
          <w:tcPr>
            <w:tcW w:type="dxa" w:w="2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API cost overruns from heavy usage</w:t>
            </w:r>
          </w:p>
        </w:tc>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Medium</w:t>
            </w:r>
          </w:p>
        </w:tc>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Medium</w:t>
            </w:r>
          </w:p>
        </w:tc>
        <w:tc>
          <w:tcPr>
            <w:tcW w:type="dxa" w:w="41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Token budgeting per session; rate limiting; cost alerts in Datadog</w:t>
            </w:r>
          </w:p>
        </w:tc>
      </w:tr>
      <w:tr>
        <w:tc>
          <w:tcPr>
            <w:tcW w:type="dxa" w:w="2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Copyright or IP concerns over historical figure portrayals</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Low</w:t>
            </w:r>
          </w:p>
        </w:tc>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Medium</w:t>
            </w:r>
          </w:p>
        </w:tc>
        <w:tc>
          <w:tcPr>
            <w:tcW w:type="dxa" w:w="4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Legal review; public domain figures only; educational use framing</w:t>
            </w:r>
          </w:p>
        </w:tc>
      </w:tr>
      <w:tr>
        <w:tc>
          <w:tcPr>
            <w:tcW w:type="dxa" w:w="2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Platform performance under load</w:t>
            </w:r>
          </w:p>
        </w:tc>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Low</w:t>
            </w:r>
          </w:p>
        </w:tc>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High</w:t>
            </w:r>
          </w:p>
        </w:tc>
        <w:tc>
          <w:tcPr>
            <w:tcW w:type="dxa" w:w="41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Horizontal scaling on Railway; Redis caching; CDN for static assets</w:t>
            </w:r>
          </w:p>
        </w:tc>
      </w:tr>
      <w:tr>
        <w:tc>
          <w:tcPr>
            <w:tcW w:type="dxa" w:w="2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GDPR non-compliance</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Low</w:t>
            </w:r>
          </w:p>
        </w:tc>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High</w:t>
            </w:r>
          </w:p>
        </w:tc>
        <w:tc>
          <w:tcPr>
            <w:tcW w:type="dxa" w:w="41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No PII collected in Phase 1; Phase 2 DPA and privacy audit before launch</w:t>
            </w:r>
          </w:p>
        </w:tc>
      </w:tr>
    </w:tbl>
    <w:p>
      <w:r>
        <w:t xml:space="preserve"/>
      </w:r>
    </w:p>
    <w:p>
      <w:pPr>
        <w:pStyle w:val="Heading1"/>
        <w:pBdr>
          <w:bottom w:val="single" w:color="1B3A5C" w:sz="8" w:space="6"/>
        </w:pBdr>
        <w:spacing w:after="160" w:before="360"/>
      </w:pPr>
      <w:r>
        <w:rPr>
          <w:rFonts w:ascii="Arial" w:cs="Arial" w:eastAsia="Arial" w:hAnsi="Arial"/>
          <w:b/>
          <w:bCs/>
          <w:color w:val="1B3A5C"/>
          <w:sz w:val="32"/>
          <w:szCs w:val="32"/>
        </w:rPr>
        <w:t xml:space="preserve">13. Appendix</w:t>
      </w:r>
    </w:p>
    <w:p>
      <w:pPr>
        <w:pStyle w:val="Heading2"/>
        <w:spacing w:after="120" w:before="280"/>
      </w:pPr>
      <w:r>
        <w:rPr>
          <w:rFonts w:ascii="Arial" w:cs="Arial" w:eastAsia="Arial" w:hAnsi="Arial"/>
          <w:b/>
          <w:bCs/>
          <w:color w:val="1B3A5C"/>
          <w:sz w:val="26"/>
          <w:szCs w:val="26"/>
        </w:rPr>
        <w:t xml:space="preserve">A. Agent Topic Mapping to Historical Figures</w:t>
      </w:r>
    </w:p>
    <w:p>
      <w:pPr>
        <w:spacing w:after="100" w:before="60"/>
      </w:pPr>
      <w:r>
        <w:rPr>
          <w:rFonts w:ascii="Arial" w:cs="Arial" w:eastAsia="Arial" w:hAnsi="Arial"/>
          <w:color w:val="1B2B3A"/>
          <w:sz w:val="22"/>
          <w:szCs w:val="22"/>
        </w:rPr>
        <w:t xml:space="preserve">The following matrix indicates which figures have documented positions or expertise relevant to each agent topic (● = strong relevance, ○ = partial relevance):</w:t>
      </w:r>
    </w:p>
    <w:p>
      <w:r>
        <w:t xml:space="preserve"/>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2600"/>
        <w:gridCol w:w="850"/>
        <w:gridCol w:w="850"/>
        <w:gridCol w:w="850"/>
        <w:gridCol w:w="850"/>
        <w:gridCol w:w="850"/>
        <w:gridCol w:w="850"/>
        <w:gridCol w:w="850"/>
        <w:gridCol w:w="860"/>
      </w:tblGrid>
      <w:tr>
        <w:trPr>
          <w:tblHeader/>
        </w:trPr>
        <w:tc>
          <w:tcPr>
            <w:tcW w:type="dxa" w:w="26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Topic</w:t>
            </w:r>
          </w:p>
        </w:tc>
        <w:tc>
          <w:tcPr>
            <w:tcW w:type="dxa" w:w="85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Napoleon</w:t>
            </w:r>
          </w:p>
        </w:tc>
        <w:tc>
          <w:tcPr>
            <w:tcW w:type="dxa" w:w="85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Churchill</w:t>
            </w:r>
          </w:p>
        </w:tc>
        <w:tc>
          <w:tcPr>
            <w:tcW w:type="dxa" w:w="85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Atatürk</w:t>
            </w:r>
          </w:p>
        </w:tc>
        <w:tc>
          <w:tcPr>
            <w:tcW w:type="dxa" w:w="85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Gandhi</w:t>
            </w:r>
          </w:p>
        </w:tc>
        <w:tc>
          <w:tcPr>
            <w:tcW w:type="dxa" w:w="85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FDR</w:t>
            </w:r>
          </w:p>
        </w:tc>
        <w:tc>
          <w:tcPr>
            <w:tcW w:type="dxa" w:w="85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Mandela</w:t>
            </w:r>
          </w:p>
        </w:tc>
        <w:tc>
          <w:tcPr>
            <w:tcW w:type="dxa" w:w="85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Bismarck</w:t>
            </w:r>
          </w:p>
        </w:tc>
        <w:tc>
          <w:tcPr>
            <w:tcW w:type="dxa" w:w="8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Caesar</w:t>
            </w:r>
          </w:p>
        </w:tc>
      </w:tr>
      <w:tr>
        <w:tc>
          <w:tcPr>
            <w:tcW w:type="dxa" w:w="2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Peace Architecture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r>
      <w:tr>
        <w:tc>
          <w:tcPr>
            <w:tcW w:type="dxa" w:w="2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Conflict Resolution</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r>
      <w:tr>
        <w:tc>
          <w:tcPr>
            <w:tcW w:type="dxa" w:w="2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Diplomacy &amp; IR</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r>
      <w:tr>
        <w:tc>
          <w:tcPr>
            <w:tcW w:type="dxa" w:w="2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Strategic Security</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r>
      <w:tr>
        <w:tc>
          <w:tcPr>
            <w:tcW w:type="dxa" w:w="2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Humanitarian Affairs</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r>
      <w:tr>
        <w:tc>
          <w:tcPr>
            <w:tcW w:type="dxa" w:w="2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AI for Peace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r>
      <w:tr>
        <w:tc>
          <w:tcPr>
            <w:tcW w:type="dxa" w:w="2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Economic Development</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r>
      <w:tr>
        <w:tc>
          <w:tcPr>
            <w:tcW w:type="dxa" w:w="2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Civilization Dialogue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r>
      <w:tr>
        <w:tc>
          <w:tcPr>
            <w:tcW w:type="dxa" w:w="2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Education &amp; Youth</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r>
      <w:tr>
        <w:tc>
          <w:tcPr>
            <w:tcW w:type="dxa" w:w="2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Media &amp; Comms</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r>
      <w:tr>
        <w:tc>
          <w:tcPr>
            <w:tcW w:type="dxa" w:w="2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Environmental Security</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r>
      <w:tr>
        <w:tc>
          <w:tcPr>
            <w:tcW w:type="dxa" w:w="26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Space &amp; Future Policy</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w:t>
            </w:r>
          </w:p>
        </w:tc>
      </w:tr>
      <w:tr>
        <w:tc>
          <w:tcPr>
            <w:tcW w:type="dxa" w:w="26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Ethics &amp; Human Rights</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5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c>
          <w:tcPr>
            <w:tcW w:type="dxa" w:w="8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w:t>
            </w:r>
          </w:p>
        </w:tc>
      </w:tr>
    </w:tbl>
    <w:p>
      <w:r>
        <w:t xml:space="preserve"/>
      </w:r>
    </w:p>
    <w:p>
      <w:pPr>
        <w:pStyle w:val="Heading2"/>
        <w:spacing w:after="120" w:before="280"/>
      </w:pPr>
      <w:r>
        <w:rPr>
          <w:rFonts w:ascii="Arial" w:cs="Arial" w:eastAsia="Arial" w:hAnsi="Arial"/>
          <w:b/>
          <w:bCs/>
          <w:color w:val="1B3A5C"/>
          <w:sz w:val="26"/>
          <w:szCs w:val="26"/>
        </w:rPr>
        <w:t xml:space="preserve">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69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Agent Topic</w:t>
            </w:r>
          </w:p>
        </w:tc>
        <w:tc>
          <w:tcPr>
            <w:tcW w:type="dxa" w:w="6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One of 13 specialist research domains organizing the debate content</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API Gateway</w:t>
            </w:r>
          </w:p>
        </w:tc>
        <w:tc>
          <w:tcPr>
            <w:tcW w:type="dxa" w:w="6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Server-side proxy that manages AI provider authentication and routing</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Character Persona</w:t>
            </w:r>
          </w:p>
        </w:tc>
        <w:tc>
          <w:tcPr>
            <w:tcW w:type="dxa" w:w="6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Structured description of a historical figure's worldview, style, and constraints</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Context Window</w:t>
            </w:r>
          </w:p>
        </w:tc>
        <w:tc>
          <w:tcPr>
            <w:tcW w:type="dxa" w:w="6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The maximum token limit passed to an AI model in a single request</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JAMstack</w:t>
            </w:r>
          </w:p>
        </w:tc>
        <w:tc>
          <w:tcPr>
            <w:tcW w:type="dxa" w:w="6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JavaScript, APIs, Markup — an architecture pattern for fast, scalable web apps</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Prompt Engine</w:t>
            </w:r>
          </w:p>
        </w:tc>
        <w:tc>
          <w:tcPr>
            <w:tcW w:type="dxa" w:w="6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Backend service that dynamically constructs AI system prompts from persona library + context</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Round-Table Format</w:t>
            </w:r>
          </w:p>
        </w:tc>
        <w:tc>
          <w:tcPr>
            <w:tcW w:type="dxa" w:w="6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Debate format where multiple figures respond sequentially, with user interjection allowed</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System Prompt</w:t>
            </w:r>
          </w:p>
        </w:tc>
        <w:tc>
          <w:tcPr>
            <w:tcW w:type="dxa" w:w="6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Instructions passed to an AI model that define its role, persona, and constraints</w:t>
            </w:r>
          </w:p>
        </w:tc>
      </w:tr>
      <w:tr>
        <w:tc>
          <w:tcPr>
            <w:tcW w:type="dxa" w:w="2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Token</w:t>
            </w:r>
          </w:p>
        </w:tc>
        <w:tc>
          <w:tcPr>
            <w:tcW w:type="dxa" w:w="69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The basic unit of text processed by an AI model; approximately 0.75 words in English</w:t>
            </w:r>
          </w:p>
        </w:tc>
      </w:tr>
      <w:tr>
        <w:tc>
          <w:tcPr>
            <w:tcW w:type="dxa" w:w="2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Zustand</w:t>
            </w:r>
          </w:p>
        </w:tc>
        <w:tc>
          <w:tcPr>
            <w:tcW w:type="dxa" w:w="69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Lightweight state management library for React applications</w:t>
            </w:r>
          </w:p>
        </w:tc>
      </w:tr>
    </w:tbl>
    <w:p>
      <w:r>
        <w:t xml:space="preserve"/>
      </w:r>
    </w:p>
    <w:p>
      <w:pPr>
        <w:pStyle w:val="Heading2"/>
        <w:spacing w:after="120" w:before="280"/>
      </w:pPr>
      <w:r>
        <w:rPr>
          <w:rFonts w:ascii="Arial" w:cs="Arial" w:eastAsia="Arial" w:hAnsi="Arial"/>
          <w:b/>
          <w:bCs/>
          <w:color w:val="1B3A5C"/>
          <w:sz w:val="26"/>
          <w:szCs w:val="26"/>
        </w:rPr>
        <w:t xml:space="preserve">C.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000"/>
        <w:gridCol w:w="3760"/>
      </w:tblGrid>
      <w:tr>
        <w:trPr>
          <w:tblHeader/>
        </w:trPr>
        <w:tc>
          <w:tcPr>
            <w:tcW w:type="dxa" w:w="12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14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300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Author</w:t>
            </w:r>
          </w:p>
        </w:tc>
        <w:tc>
          <w:tcPr>
            <w:tcW w:type="dxa" w:w="3760"/>
            <w:tcBorders>
              <w:top w:val="single" w:color="D0D9E3" w:sz="1"/>
              <w:left w:val="single" w:color="D0D9E3" w:sz="1"/>
              <w:bottom w:val="single" w:color="D0D9E3" w:sz="1"/>
              <w:right w:val="single" w:color="D0D9E3"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Changes</w:t>
            </w:r>
          </w:p>
        </w:tc>
      </w:tr>
      <w:tr>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0.1</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May 2026</w:t>
            </w:r>
          </w:p>
        </w:tc>
        <w:tc>
          <w:tcPr>
            <w:tcW w:type="dxa" w:w="3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Technology Division</w:t>
            </w:r>
          </w:p>
        </w:tc>
        <w:tc>
          <w:tcPr>
            <w:tcW w:type="dxa" w:w="37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Initial draft</w:t>
            </w:r>
          </w:p>
        </w:tc>
      </w:tr>
      <w:tr>
        <w:tc>
          <w:tcPr>
            <w:tcW w:type="dxa" w:w="12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0.9</w:t>
            </w:r>
          </w:p>
        </w:tc>
        <w:tc>
          <w:tcPr>
            <w:tcW w:type="dxa" w:w="14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June 2026</w:t>
            </w:r>
          </w:p>
        </w:tc>
        <w:tc>
          <w:tcPr>
            <w:tcW w:type="dxa" w:w="300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Technology Division</w:t>
            </w:r>
          </w:p>
        </w:tc>
        <w:tc>
          <w:tcPr>
            <w:tcW w:type="dxa" w:w="3760"/>
            <w:tcBorders>
              <w:top w:val="single" w:color="D0D9E3" w:sz="1"/>
              <w:left w:val="single" w:color="D0D9E3" w:sz="1"/>
              <w:bottom w:val="single" w:color="D0D9E3" w:sz="1"/>
              <w:right w:val="single" w:color="D0D9E3" w:sz="1"/>
            </w:tcBorders>
            <w:shd w:fill="F4F7FA" w:val="clear"/>
            <w:tcMar>
              <w:top w:type="dxa" w:w="80"/>
              <w:left w:type="dxa" w:w="140"/>
              <w:bottom w:type="dxa" w:w="80"/>
              <w:right w:type="dxa" w:w="140"/>
            </w:tcMar>
          </w:tcPr>
          <w:p>
            <w:r>
              <w:rPr>
                <w:rFonts w:ascii="Arial" w:cs="Arial" w:eastAsia="Arial" w:hAnsi="Arial"/>
                <w:color w:val="1B2B3A"/>
                <w:sz w:val="20"/>
                <w:szCs w:val="20"/>
              </w:rPr>
              <w:t xml:space="preserve">Architecture sections completed; data models added</w:t>
            </w:r>
          </w:p>
        </w:tc>
      </w:tr>
      <w:tr>
        <w:tc>
          <w:tcPr>
            <w:tcW w:type="dxa" w:w="12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1.0</w:t>
            </w:r>
          </w:p>
        </w:tc>
        <w:tc>
          <w:tcPr>
            <w:tcW w:type="dxa" w:w="14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June 2026</w:t>
            </w:r>
          </w:p>
        </w:tc>
        <w:tc>
          <w:tcPr>
            <w:tcW w:type="dxa" w:w="300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Technology Division</w:t>
            </w:r>
          </w:p>
        </w:tc>
        <w:tc>
          <w:tcPr>
            <w:tcW w:type="dxa" w:w="3760"/>
            <w:tcBorders>
              <w:top w:val="single" w:color="D0D9E3" w:sz="1"/>
              <w:left w:val="single" w:color="D0D9E3" w:sz="1"/>
              <w:bottom w:val="single" w:color="D0D9E3" w:sz="1"/>
              <w:right w:val="single" w:color="D0D9E3" w:sz="1"/>
            </w:tcBorders>
            <w:shd w:fill="FFFFFF" w:val="clear"/>
            <w:tcMar>
              <w:top w:type="dxa" w:w="80"/>
              <w:left w:type="dxa" w:w="140"/>
              <w:bottom w:type="dxa" w:w="80"/>
              <w:right w:type="dxa" w:w="140"/>
            </w:tcMar>
          </w:tcPr>
          <w:p>
            <w:r>
              <w:rPr>
                <w:rFonts w:ascii="Arial" w:cs="Arial" w:eastAsia="Arial" w:hAnsi="Arial"/>
                <w:color w:val="1B2B3A"/>
                <w:sz w:val="20"/>
                <w:szCs w:val="20"/>
              </w:rPr>
              <w:t xml:space="preserve">Final review; risk register and roadmap finalized</w:t>
            </w:r>
          </w:p>
        </w:tc>
      </w:tr>
    </w:tbl>
    <w:p>
      <w:r>
        <w:t xml:space="preserve"/>
      </w:r>
    </w:p>
    <w:p>
      <w:r>
        <w:t xml:space="preserve"/>
      </w:r>
    </w:p>
    <w:p>
      <w:pPr>
        <w:pBdr>
          <w:top w:val="single" w:color="C8860A" w:sz="4" w:space="8"/>
        </w:pBdr>
        <w:spacing w:before="200"/>
        <w:jc w:val="center"/>
      </w:pPr>
      <w:r>
        <w:rPr>
          <w:rFonts w:ascii="Arial" w:cs="Arial" w:eastAsia="Arial" w:hAnsi="Arial"/>
          <w:i/>
          <w:iCs/>
          <w:color w:val="7A8FA6"/>
          <w:sz w:val="18"/>
          <w:szCs w:val="18"/>
        </w:rPr>
        <w:t xml:space="preserve">FMS Think Tank  ·  fmsthinktank.org  ·  All rights reserved ©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6"/>
      </w:pBdr>
      <w:tabs>
        <w:tab w:val="right" w:pos="9360"/>
      </w:tabs>
    </w:pPr>
    <w:r>
      <w:rPr>
        <w:rFonts w:ascii="Arial" w:cs="Arial" w:eastAsia="Arial" w:hAnsi="Arial"/>
        <w:color w:val="7A8FA6"/>
        <w:sz w:val="18"/>
        <w:szCs w:val="18"/>
      </w:rPr>
      <w:t xml:space="preserve">Version 1.0  |  June 2026</w:t>
    </w:r>
    <w:r>
      <w:rPr>
        <w:rFonts w:ascii="Arial" w:cs="Arial" w:eastAsia="Arial" w:hAnsi="Arial"/>
        <w:sz w:val="18"/>
        <w:szCs w:val="18"/>
      </w:rPr>
      <w:t xml:space="preserve">	</w:t>
    </w:r>
    <w:r>
      <w:rPr>
        <w:rFonts w:ascii="Arial" w:cs="Arial" w:eastAsia="Arial" w:hAnsi="Arial"/>
        <w:color w:val="7A8FA6"/>
        <w:sz w:val="18"/>
        <w:szCs w:val="18"/>
      </w:rPr>
      <w:t xml:space="preserve">Page </w:t>
    </w:r>
    <w:r>
      <w:rPr>
        <w:rFonts w:ascii="Arial" w:cs="Arial" w:eastAsia="Arial" w:hAnsi="Arial"/>
        <w:color w:val="7A8FA6"/>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6"/>
      </w:pBdr>
      <w:tabs>
        <w:tab w:val="right" w:pos="9360"/>
      </w:tabs>
    </w:pPr>
    <w:r>
      <w:rPr>
        <w:rFonts w:ascii="Arial" w:cs="Arial" w:eastAsia="Arial" w:hAnsi="Arial"/>
        <w:color w:val="7A8FA6"/>
        <w:sz w:val="18"/>
        <w:szCs w:val="18"/>
      </w:rPr>
      <w:t xml:space="preserve">FMS Think Tank  |  Historical Round Table Platform</w:t>
    </w:r>
    <w:r>
      <w:rPr>
        <w:rFonts w:ascii="Arial" w:cs="Arial" w:eastAsia="Arial" w:hAnsi="Arial"/>
        <w:sz w:val="18"/>
        <w:szCs w:val="18"/>
      </w:rPr>
      <w:t xml:space="preserve">	</w:t>
    </w:r>
    <w:r>
      <w:rPr>
        <w:rFonts w:ascii="Arial" w:cs="Arial" w:eastAsia="Arial" w:hAnsi="Arial"/>
        <w:i/>
        <w:iCs/>
        <w:color w:val="B0A070"/>
        <w:sz w:val="16"/>
        <w:szCs w:val="16"/>
      </w:rPr>
      <w:t xml:space="preserve">CONFIDENTIAL —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4E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2026-06-03T03:53:41.051Z</dcterms:created>
  <dcterms:modified xsi:type="dcterms:W3CDTF">2026-06-03T03:53:41.052Z</dcterms:modified>
</cp:coreProperties>
</file>

<file path=docProps/custom.xml><?xml version="1.0" encoding="utf-8"?>
<Properties xmlns="http://schemas.openxmlformats.org/officeDocument/2006/custom-properties" xmlns:vt="http://schemas.openxmlformats.org/officeDocument/2006/docPropsVTypes"/>
</file>