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F0" w:rsidRDefault="00AE217F">
      <w:pPr>
        <w:pStyle w:val="Ttulo"/>
      </w:pPr>
      <w:r>
        <w:t xml:space="preserve">Ejercicio 2 Examen AC </w:t>
      </w:r>
      <w:bookmarkStart w:id="0" w:name="_GoBack"/>
      <w:bookmarkEnd w:id="0"/>
      <w:r w:rsidR="0085005D">
        <w:t>junio</w:t>
      </w:r>
      <w:r>
        <w:t xml:space="preserve"> 2015</w:t>
      </w:r>
    </w:p>
    <w:p w:rsidR="004649F0" w:rsidRDefault="004649F0">
      <w:pPr>
        <w:pStyle w:val="Textbody"/>
      </w:pPr>
    </w:p>
    <w:p w:rsidR="004649F0" w:rsidRDefault="00AE217F">
      <w:pPr>
        <w:pStyle w:val="Textbody"/>
        <w:rPr>
          <w:color w:val="333333"/>
        </w:rPr>
      </w:pPr>
      <w:r>
        <w:rPr>
          <w:color w:val="333333"/>
        </w:rPr>
        <w:t xml:space="preserve">2.- En el diseño de una CPU se está considerando la conveniencia de remplazar las instrucciones de salto condicional por una versión que incluya la </w:t>
      </w:r>
      <w:r>
        <w:rPr>
          <w:color w:val="333333"/>
        </w:rPr>
        <w:t>comparación en el salto. En la alternativa de diseño de la CPU A se han utilizado códigos de condición que son actualizados por la instrucción de comparación CMP. En la alternativa de la CPU B la arquitectura es la misma salvando que las instrucciones de s</w:t>
      </w:r>
      <w:r>
        <w:rPr>
          <w:color w:val="333333"/>
        </w:rPr>
        <w:t>alto realizan la comparación SLTCMP, eliminando las correspondientes instrucciones de comparación y reduciendo el RI. La incorporación de la instrucción SLTCMP incrementa el clk en la CPU B en un 5%. El CPI y frecuencia por tipo de instrucción se detalla e</w:t>
      </w:r>
      <w:r>
        <w:rPr>
          <w:color w:val="333333"/>
        </w:rPr>
        <w:t>n la tabla para la CPU A.</w:t>
      </w:r>
    </w:p>
    <w:tbl>
      <w:tblPr>
        <w:tblW w:w="65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3"/>
        <w:gridCol w:w="1318"/>
        <w:gridCol w:w="571"/>
        <w:gridCol w:w="1318"/>
        <w:gridCol w:w="545"/>
      </w:tblGrid>
      <w:tr w:rsidR="004649F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2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Heading"/>
              <w:rPr>
                <w:color w:val="333333"/>
              </w:rPr>
            </w:pPr>
            <w:r>
              <w:rPr>
                <w:color w:val="333333"/>
              </w:rPr>
              <w:t>Tipo de instrucción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Heading"/>
              <w:rPr>
                <w:color w:val="333333"/>
              </w:rPr>
            </w:pPr>
            <w:r>
              <w:rPr>
                <w:color w:val="333333"/>
              </w:rPr>
              <w:t>CPI CPU A</w:t>
            </w:r>
          </w:p>
        </w:tc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Heading"/>
              <w:rPr>
                <w:color w:val="333333"/>
              </w:rPr>
            </w:pPr>
            <w:r>
              <w:rPr>
                <w:color w:val="333333"/>
              </w:rPr>
              <w:t>%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Heading"/>
              <w:rPr>
                <w:color w:val="333333"/>
              </w:rPr>
            </w:pPr>
            <w:r>
              <w:rPr>
                <w:color w:val="333333"/>
              </w:rPr>
              <w:t>CPI CPU B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Heading"/>
              <w:rPr>
                <w:color w:val="333333"/>
              </w:rPr>
            </w:pPr>
            <w:r>
              <w:rPr>
                <w:color w:val="333333"/>
              </w:rPr>
              <w:t>%</w:t>
            </w:r>
          </w:p>
        </w:tc>
      </w:tr>
      <w:tr w:rsidR="004649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Load/Store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35%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¿?%</w:t>
            </w:r>
          </w:p>
        </w:tc>
      </w:tr>
      <w:tr w:rsidR="004649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ALU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30%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¿?%</w:t>
            </w:r>
          </w:p>
        </w:tc>
      </w:tr>
      <w:tr w:rsidR="004649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CMP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20%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¿?%</w:t>
            </w:r>
          </w:p>
        </w:tc>
      </w:tr>
      <w:tr w:rsidR="004649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SLT (Salto)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15%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No existe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4649F0">
            <w:pPr>
              <w:pStyle w:val="TableContents"/>
              <w:rPr>
                <w:color w:val="333333"/>
              </w:rPr>
            </w:pPr>
          </w:p>
        </w:tc>
      </w:tr>
      <w:tr w:rsidR="004649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SLTCMP (Compara y salta)</w:t>
            </w: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No existe</w:t>
            </w:r>
          </w:p>
        </w:tc>
        <w:tc>
          <w:tcPr>
            <w:tcW w:w="5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4649F0">
            <w:pPr>
              <w:pStyle w:val="TableContents"/>
              <w:rPr>
                <w:color w:val="333333"/>
              </w:rPr>
            </w:pPr>
          </w:p>
        </w:tc>
        <w:tc>
          <w:tcPr>
            <w:tcW w:w="13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49F0" w:rsidRDefault="00AE217F">
            <w:pPr>
              <w:pStyle w:val="TableContents"/>
              <w:rPr>
                <w:color w:val="333333"/>
              </w:rPr>
            </w:pPr>
            <w:r>
              <w:rPr>
                <w:color w:val="333333"/>
              </w:rPr>
              <w:t>¿?%</w:t>
            </w:r>
          </w:p>
        </w:tc>
      </w:tr>
    </w:tbl>
    <w:p w:rsidR="004649F0" w:rsidRDefault="004649F0">
      <w:pPr>
        <w:pStyle w:val="Textbody"/>
        <w:rPr>
          <w:color w:val="333333"/>
        </w:rPr>
      </w:pPr>
    </w:p>
    <w:p w:rsidR="004649F0" w:rsidRDefault="00AE217F">
      <w:pPr>
        <w:pStyle w:val="Textbody"/>
        <w:numPr>
          <w:ilvl w:val="0"/>
          <w:numId w:val="1"/>
        </w:numPr>
        <w:rPr>
          <w:color w:val="333333"/>
        </w:rPr>
      </w:pPr>
      <w:r>
        <w:rPr>
          <w:color w:val="333333"/>
        </w:rPr>
        <w:t xml:space="preserve">Calcula la aceleración entre las dos opciones de </w:t>
      </w:r>
      <w:r>
        <w:rPr>
          <w:color w:val="333333"/>
        </w:rPr>
        <w:t>diseño.</w:t>
      </w:r>
    </w:p>
    <w:p w:rsidR="004649F0" w:rsidRDefault="00AE217F">
      <w:pPr>
        <w:pStyle w:val="Textbody"/>
      </w:pPr>
      <w:r>
        <w:t>La aceleración se calcula como el tiempo de ejecución entre una CPU y otra:</w:t>
      </w:r>
    </w:p>
    <w:p w:rsidR="004649F0" w:rsidRDefault="00AE217F">
      <w:pPr>
        <w:pStyle w:val="Textbody"/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ejA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ejB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:rsidR="004649F0" w:rsidRDefault="00AE217F">
      <w:pPr>
        <w:pStyle w:val="Textbody"/>
      </w:pPr>
      <w:r>
        <w:t xml:space="preserve">El recuento de instrucciones en la CPU B será el mismo que el de la A pero quitándole las instrucciones CMP que acompañaban a las instrucciones SLT (Ahora serán SLTCMP):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0'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15</m:t>
            </m:r>
          </m:e>
          <m:sub>
            <m:r>
              <w:rPr>
                <w:rFonts w:ascii="Cambria Math" w:hAnsi="Cambria Math"/>
              </w:rPr>
              <m:t>CMP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=0'85*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4649F0" w:rsidRDefault="00AE217F">
      <w:pPr>
        <w:pStyle w:val="Textbody"/>
      </w:pPr>
      <w:r>
        <w:t xml:space="preserve">El CLK de B es un 5% mayor que el de 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CLK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CLK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+0'05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CLK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=1'05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CLK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4649F0" w:rsidRDefault="00AE217F">
      <w:pPr>
        <w:pStyle w:val="Textbody"/>
      </w:pPr>
      <w:r>
        <w:t xml:space="preserve">El CPI medio de A lo calculamos como el CPI individual de cada instrucción por el % que es utilizada: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=2⋅0'35+1⋅0'30+1⋅0'20+2⋅0'</m:t>
        </m:r>
        <m:r>
          <w:rPr>
            <w:rFonts w:ascii="Cambria Math" w:hAnsi="Cambria Math"/>
          </w:rPr>
          <m:t>15=1'50</m:t>
        </m:r>
      </m:oMath>
    </w:p>
    <w:p w:rsidR="004649F0" w:rsidRDefault="00AE217F">
      <w:pPr>
        <w:pStyle w:val="Textbody"/>
      </w:pPr>
      <w:r>
        <w:t>Para calcular el CPI de B, debemos de conocer el porcentaje</w:t>
      </w:r>
      <w:r>
        <w:t xml:space="preserve"> de uso de cada instrucción. Como sabemos que el CPU B no ejecuta las instrucciones de comparación porque las incluye en el salto (pero solo deja de ejecutar aquellas que iban acompañadas de la instrucción SLT), y que la cantidad de saltos con comparación </w:t>
      </w:r>
      <w:r>
        <w:t>que realizará será la misma que los saltos en la CPU A, deducimos que el 15% de los saltos, el 30% de ALU, el 35% de Load/Store y el 5% de CMP sin salto restantes suponen un 85% (100% total – 15% saltos) de las instrucciones del CPU B. Así, deducimos lo si</w:t>
      </w:r>
      <w:r>
        <w:t>guiente:</w:t>
      </w:r>
    </w:p>
    <w:p w:rsidR="004649F0" w:rsidRDefault="004649F0">
      <w:pPr>
        <w:pStyle w:val="Textbody"/>
      </w:pPr>
    </w:p>
    <w:p w:rsidR="004649F0" w:rsidRDefault="00AE217F">
      <w:pPr>
        <w:pStyle w:val="Textbody"/>
        <w:pageBreakBefore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</m:t>
          </m:r>
          <m:r>
            <m:rPr>
              <m:nor/>
            </m:rPr>
            <m:t>&amp;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CPUB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85</m:t>
              </m:r>
            </m:den>
          </m:f>
          <m:r>
            <w:rPr>
              <w:rFonts w:ascii="Cambria Math" w:hAnsi="Cambria Math"/>
            </w:rPr>
            <m:t>=0'412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ALU</m:t>
              </m:r>
            </m:e>
            <m:sub>
              <m:r>
                <w:rPr>
                  <w:rFonts w:ascii="Cambria Math" w:hAnsi="Cambria Math"/>
                </w:rPr>
                <m:t>CPUB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85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0,353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CMP</m:t>
              </m:r>
            </m:e>
            <m:sub>
              <m:r>
                <w:rPr>
                  <w:rFonts w:ascii="Cambria Math" w:hAnsi="Cambria Math"/>
                </w:rPr>
                <m:t>CPUB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0,059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SLTCMP</m:t>
              </m:r>
            </m:e>
            <m:sub>
              <m:r>
                <w:rPr>
                  <w:rFonts w:ascii="Cambria Math" w:hAnsi="Cambria Math"/>
                </w:rPr>
                <m:t>CPUB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85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0,176</m:t>
          </m:r>
        </m:oMath>
      </m:oMathPara>
    </w:p>
    <w:p w:rsidR="004649F0" w:rsidRDefault="00AE217F">
      <w:pPr>
        <w:pStyle w:val="Textbody"/>
      </w:pPr>
      <w:r>
        <w:t xml:space="preserve">Ahora ya podemos calcular el CPI medio de B: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CPI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=2⋅0'412+1⋅0'353+1⋅0'059+2⋅0'176=1'588</m:t>
        </m:r>
      </m:oMath>
    </w:p>
    <w:p w:rsidR="004649F0" w:rsidRDefault="00AE217F">
      <w:pPr>
        <w:pStyle w:val="Textbody"/>
      </w:pPr>
      <w:r>
        <w:t>Con esto, podemos sustituir los valores en la expresión inicial:</w:t>
      </w:r>
    </w:p>
    <w:p w:rsidR="004649F0" w:rsidRDefault="00AE217F">
      <w:pPr>
        <w:pStyle w:val="Textbody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CPI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1'5*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0'85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1'588*1'05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CLK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1'5</m:t>
              </m:r>
            </m:num>
            <m:den>
              <m:r>
                <w:rPr>
                  <w:rFonts w:ascii="Cambria Math" w:hAnsi="Cambria Math"/>
                </w:rPr>
                <m:t>0'85*1'588*1'05</m:t>
              </m:r>
            </m:den>
          </m:f>
          <m:r>
            <w:rPr>
              <w:rFonts w:ascii="Cambria Math" w:hAnsi="Cambria Math"/>
            </w:rPr>
            <m:t>=1'058</m:t>
          </m:r>
        </m:oMath>
      </m:oMathPara>
    </w:p>
    <w:p w:rsidR="004649F0" w:rsidRDefault="00AE217F">
      <w:pPr>
        <w:pStyle w:val="Textbody"/>
      </w:pPr>
      <w:r>
        <w:t>Por tanto, la ganancia es de 1’058 o, lo que es lo mismo, un 5’8%.</w:t>
      </w:r>
    </w:p>
    <w:p w:rsidR="004649F0" w:rsidRDefault="004649F0">
      <w:pPr>
        <w:pStyle w:val="Textbody"/>
      </w:pPr>
    </w:p>
    <w:p w:rsidR="004649F0" w:rsidRDefault="00AE217F">
      <w:pPr>
        <w:pStyle w:val="Textbody"/>
        <w:numPr>
          <w:ilvl w:val="0"/>
          <w:numId w:val="1"/>
        </w:numPr>
        <w:rPr>
          <w:color w:val="1C1C1C"/>
        </w:rPr>
      </w:pPr>
      <w:r>
        <w:rPr>
          <w:color w:val="1C1C1C"/>
        </w:rPr>
        <w:t xml:space="preserve">Calcula el % de incremento del ciclo de reloj a partir del cual </w:t>
      </w:r>
      <w:r>
        <w:rPr>
          <w:color w:val="1C1C1C"/>
        </w:rPr>
        <w:t>el cambio deja de ser rentable.</w:t>
      </w:r>
    </w:p>
    <w:p w:rsidR="004649F0" w:rsidRDefault="00AE217F">
      <w:pPr>
        <w:pStyle w:val="Textbody"/>
      </w:pPr>
      <w:r>
        <w:t>El cambio deja de ser rentable cuando la ganancia es nula:</w:t>
      </w:r>
    </w:p>
    <w:p w:rsidR="004649F0" w:rsidRDefault="00AE217F">
      <w:pPr>
        <w:pStyle w:val="Textbody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1'5</m:t>
              </m:r>
            </m:num>
            <m:den>
              <m:r>
                <w:rPr>
                  <w:rFonts w:ascii="Cambria Math" w:hAnsi="Cambria Math"/>
                </w:rPr>
                <m:t>0'85*1'588*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=1→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1'5</m:t>
              </m:r>
            </m:num>
            <m:den>
              <m:r>
                <w:rPr>
                  <w:rFonts w:ascii="Cambria Math" w:hAnsi="Cambria Math"/>
                </w:rPr>
                <m:t>0'85*1'588</m:t>
              </m:r>
            </m:den>
          </m:f>
          <m:r>
            <w:rPr>
              <w:rFonts w:ascii="Cambria Math" w:hAnsi="Cambria Math"/>
            </w:rPr>
            <m:t>=1'1112=</m:t>
          </m:r>
          <m:r>
            <m:rPr>
              <m:sty m:val="p"/>
            </m:rPr>
            <w:rPr>
              <w:rFonts w:ascii="Cambria Math" w:hAnsi="Cambria Math"/>
            </w:rPr>
            <m:t>11,12</m:t>
          </m:r>
          <m:r>
            <m:rPr>
              <m:nor/>
            </m:rPr>
            <m:t>%</m:t>
          </m:r>
        </m:oMath>
      </m:oMathPara>
    </w:p>
    <w:sectPr w:rsidR="004649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17F" w:rsidRDefault="00AE217F">
      <w:r>
        <w:separator/>
      </w:r>
    </w:p>
  </w:endnote>
  <w:endnote w:type="continuationSeparator" w:id="0">
    <w:p w:rsidR="00AE217F" w:rsidRDefault="00AE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17F" w:rsidRDefault="00AE217F">
      <w:r>
        <w:rPr>
          <w:color w:val="000000"/>
        </w:rPr>
        <w:separator/>
      </w:r>
    </w:p>
  </w:footnote>
  <w:footnote w:type="continuationSeparator" w:id="0">
    <w:p w:rsidR="00AE217F" w:rsidRDefault="00AE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D5A0D"/>
    <w:multiLevelType w:val="multilevel"/>
    <w:tmpl w:val="CA6074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649F0"/>
    <w:rsid w:val="004649F0"/>
    <w:rsid w:val="0085005D"/>
    <w:rsid w:val="00A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498348-CEC9-4CC4-8ADF-DE068674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RAZGOVOROV</cp:lastModifiedBy>
  <cp:revision>2</cp:revision>
  <dcterms:created xsi:type="dcterms:W3CDTF">2016-05-24T07:34:00Z</dcterms:created>
  <dcterms:modified xsi:type="dcterms:W3CDTF">2016-05-24T07:34:00Z</dcterms:modified>
</cp:coreProperties>
</file>