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3864"/>
          <w:sz w:val="30"/>
          <w:szCs w:val="30"/>
        </w:rPr>
        <w:t xml:space="preserve">2026 TRAVEL FUNDING REQUEST</w:t>
      </w:r>
    </w:p>
    <w:p>
      <w:pPr>
        <w:spacing w:after="30"/>
        <w:jc w:val="center"/>
      </w:pPr>
      <w:r>
        <w:rPr>
          <w:rFonts w:ascii="Calibri" w:cs="Calibri" w:eastAsia="Calibri" w:hAnsi="Calibri"/>
          <w:b/>
          <w:bCs/>
          <w:sz w:val="22"/>
          <w:szCs w:val="22"/>
        </w:rPr>
        <w:t xml:space="preserve">SCHOOL OF DATA SCIENCE AND ANALYTICS</w:t>
      </w:r>
    </w:p>
    <w:p>
      <w:pPr>
        <w:spacing w:after="220"/>
        <w:jc w:val="center"/>
      </w:pPr>
      <w:r>
        <w:rPr>
          <w:rFonts w:ascii="Calibri" w:cs="Calibri" w:eastAsia="Calibri" w:hAnsi="Calibri"/>
          <w:b/>
          <w:bCs/>
          <w:color w:val="555555"/>
          <w:sz w:val="22"/>
          <w:szCs w:val="22"/>
        </w:rPr>
        <w:t xml:space="preserve">PARTICIPANT – FARUK MURITALA</w:t>
      </w:r>
    </w:p>
    <w:p>
      <w:pPr>
        <w:pBdr>
          <w:left w:val="single" w:color="C1611A" w:sz="18" w:space="6"/>
        </w:pBdr>
        <w:shd w:fill="FFF3E0" w:val="clear"/>
        <w:spacing w:after="160" w:before="60"/>
        <w:ind w:left="120"/>
      </w:pPr>
      <w:r>
        <w:rPr>
          <w:sz w:val="20"/>
          <w:szCs w:val="20"/>
        </w:rPr>
        <w:t xml:space="preserve">⚠ </w:t>
      </w:r>
      <w:r>
        <w:rPr>
          <w:rFonts w:ascii="Calibri" w:cs="Calibri" w:eastAsia="Calibri" w:hAnsi="Calibri"/>
          <w:i/>
          <w:iCs/>
          <w:color w:val="7A3E0C"/>
          <w:sz w:val="19"/>
          <w:szCs w:val="19"/>
        </w:rPr>
        <w:t xml:space="preserve">Draft prepared by Claude from your prior FTC 2026 funding-request template, plus figures pulled directly from the live SEASUG 2026 conference website today (Sep 22, 2026). Every field marked in orange below needs your input or confirmation before this is submitted — nothing there is invented.</w:t>
      </w:r>
    </w:p>
    <w:p>
      <w:pPr>
        <w:keepNext/>
        <w:pBdr>
          <w:bottom w:val="single" w:color="1F3864" w:sz="6" w:space="3"/>
        </w:pBdr>
        <w:spacing w:after="110" w:before="260"/>
      </w:pPr>
      <w:r>
        <w:rPr>
          <w:rFonts w:ascii="Calibri" w:cs="Calibri" w:eastAsia="Calibri" w:hAnsi="Calibri"/>
          <w:b/>
          <w:bCs/>
          <w:color w:val="1F3864"/>
          <w:sz w:val="25"/>
          <w:szCs w:val="25"/>
        </w:rPr>
        <w:t xml:space="preserve">Travel and Paper Presenter Information</w:t>
      </w:r>
    </w:p>
    <w:p>
      <w:pPr>
        <w:spacing w:after="140" w:line="268"/>
        <w:jc w:val="both"/>
      </w:pPr>
      <w:r>
        <w:rPr>
          <w:rFonts w:ascii="Calibri" w:cs="Calibri" w:eastAsia="Calibri" w:hAnsi="Calibri"/>
          <w:sz w:val="21"/>
          <w:szCs w:val="21"/>
        </w:rPr>
        <w:t xml:space="preserve">My research titled “</w:t>
      </w:r>
      <w:r>
        <w:rPr>
          <w:rFonts w:ascii="Calibri" w:cs="Calibri" w:eastAsia="Calibri" w:hAnsi="Calibri"/>
          <w:b/>
          <w:bCs/>
          <w:sz w:val="21"/>
          <w:szCs w:val="21"/>
        </w:rPr>
        <w:t xml:space="preserve">Applying Propensity Score Matching to Evaluate Interventions</w:t>
      </w:r>
      <w:r>
        <w:rPr>
          <w:rFonts w:ascii="Calibri" w:cs="Calibri" w:eastAsia="Calibri" w:hAnsi="Calibri"/>
          <w:sz w:val="21"/>
          <w:szCs w:val="21"/>
        </w:rPr>
        <w:t xml:space="preserve">,” has been accepted (Paper #103) for presentation at the Southeast &amp; Atlantic SAS Users Group (SEASUG) 2026 Conference, held </w:t>
      </w:r>
      <w:r>
        <w:rPr>
          <w:rFonts w:ascii="Calibri" w:cs="Calibri" w:eastAsia="Calibri" w:hAnsi="Calibri"/>
          <w:b/>
          <w:bCs/>
          <w:sz w:val="21"/>
          <w:szCs w:val="21"/>
        </w:rPr>
        <w:t xml:space="preserve">October 22–24, 2026</w:t>
      </w:r>
      <w:r>
        <w:rPr>
          <w:rFonts w:ascii="Calibri" w:cs="Calibri" w:eastAsia="Calibri" w:hAnsi="Calibri"/>
          <w:sz w:val="21"/>
          <w:szCs w:val="21"/>
        </w:rPr>
        <w:t xml:space="preserve"> at the Desmond Hotel Malvern (a DoubleTree by Hilton), One Liberty Blvd, Malvern, PA 19355.</w:t>
      </w:r>
    </w:p>
    <w:p>
      <w:pPr>
        <w:pBdr>
          <w:left w:val="single" w:color="C1611A" w:sz="18" w:space="6"/>
        </w:pBdr>
        <w:shd w:fill="FFF3E0" w:val="clear"/>
        <w:spacing w:after="160" w:before="60"/>
        <w:ind w:left="120"/>
      </w:pPr>
      <w:r>
        <w:rPr>
          <w:sz w:val="20"/>
          <w:szCs w:val="20"/>
        </w:rPr>
        <w:t xml:space="preserve">⚠ </w:t>
      </w:r>
      <w:r>
        <w:rPr>
          <w:rFonts w:ascii="Calibri" w:cs="Calibri" w:eastAsia="Calibri" w:hAnsi="Calibri"/>
          <w:i/>
          <w:iCs/>
          <w:color w:val="7A3E0C"/>
          <w:sz w:val="19"/>
          <w:szCs w:val="19"/>
        </w:rPr>
        <w:t xml:space="preserve">Session name, day, and exact presentation time: not yet confirmed — insert once the SEASUG conference program is published, or check https://sesug.org for the session listing under Paper #103.</w:t>
      </w:r>
    </w:p>
    <w:p>
      <w:pPr>
        <w:keepNext/>
        <w:pBdr>
          <w:bottom w:val="single" w:color="1F3864" w:sz="6" w:space="3"/>
        </w:pBdr>
        <w:spacing w:after="110" w:before="260"/>
      </w:pPr>
      <w:r>
        <w:rPr>
          <w:rFonts w:ascii="Calibri" w:cs="Calibri" w:eastAsia="Calibri" w:hAnsi="Calibri"/>
          <w:b/>
          <w:bCs/>
          <w:color w:val="1F3864"/>
          <w:sz w:val="25"/>
          <w:szCs w:val="25"/>
        </w:rPr>
        <w:t xml:space="preserve">Evaluation Metrics</w:t>
      </w:r>
    </w:p>
    <w:p>
      <w:pPr>
        <w:spacing w:after="60" w:before="140"/>
      </w:pPr>
      <w:r>
        <w:rPr>
          <w:rFonts w:ascii="Calibri" w:cs="Calibri" w:eastAsia="Calibri" w:hAnsi="Calibri"/>
          <w:b/>
          <w:bCs/>
          <w:sz w:val="21"/>
          <w:szCs w:val="21"/>
        </w:rPr>
        <w:t xml:space="preserve">a)  </w:t>
      </w:r>
      <w:r>
        <w:rPr>
          <w:rFonts w:ascii="Calibri" w:cs="Calibri" w:eastAsia="Calibri" w:hAnsi="Calibri"/>
          <w:sz w:val="21"/>
          <w:szCs w:val="21"/>
        </w:rPr>
        <w:t xml:space="preserve">To what degree can the proposed travel benefit the requester’s professional development?</w:t>
      </w:r>
    </w:p>
    <w:p>
      <w:pPr>
        <w:spacing w:after="140" w:line="268"/>
        <w:jc w:val="both"/>
      </w:pPr>
      <w:r>
        <w:rPr>
          <w:rFonts w:ascii="Calibri" w:cs="Calibri" w:eastAsia="Calibri" w:hAnsi="Calibri"/>
          <w:sz w:val="21"/>
          <w:szCs w:val="21"/>
        </w:rPr>
        <w:t xml:space="preserve">Response: This paper directly extends my dissertation-adjacent work in applied causal inference and propensity-score methods to a large-scale, real-world administrative dataset (the 2023 U.S. National Vital Statistics System natality file, N &gt; 3.2 million births). Presenting at SEASUG will expose me to the broader SAS-user and applied-statistics community in the Southeast &amp; Atlantic region, sharpen my ability to communicate a full observational causal analysis — from DAG-based confounder selection through propensity weighting and doubly-robust estimation — to a mixed academic/industry audience, and let me benchmark my SAS implementation of these methods against practitioners who use them daily in production settings.</w:t>
      </w:r>
    </w:p>
    <w:p>
      <w:pPr>
        <w:spacing w:after="60" w:before="140"/>
      </w:pPr>
      <w:r>
        <w:rPr>
          <w:rFonts w:ascii="Calibri" w:cs="Calibri" w:eastAsia="Calibri" w:hAnsi="Calibri"/>
          <w:b/>
          <w:bCs/>
          <w:sz w:val="21"/>
          <w:szCs w:val="21"/>
        </w:rPr>
        <w:t xml:space="preserve">b)  </w:t>
      </w:r>
      <w:r>
        <w:rPr>
          <w:rFonts w:ascii="Calibri" w:cs="Calibri" w:eastAsia="Calibri" w:hAnsi="Calibri"/>
          <w:sz w:val="21"/>
          <w:szCs w:val="21"/>
        </w:rPr>
        <w:t xml:space="preserve">Does the requester have a paper accepted, and what is the quality of the venue?</w:t>
      </w:r>
    </w:p>
    <w:p>
      <w:pPr>
        <w:spacing w:after="140" w:line="268"/>
        <w:jc w:val="both"/>
      </w:pPr>
      <w:r>
        <w:rPr>
          <w:rFonts w:ascii="Calibri" w:cs="Calibri" w:eastAsia="Calibri" w:hAnsi="Calibri"/>
          <w:sz w:val="21"/>
          <w:szCs w:val="21"/>
        </w:rPr>
        <w:t xml:space="preserve">Response: Yes — the paper (Paper #103) has been formally accepted for the SEASUG 2026 Conference. SEASUG is the Southeast &amp; Atlantic regional SAS Users Group conference, one of the established regional SAS conferences in the United States, drawing academic researchers, government analysts, and industry practitioners who present applied statistical and data-science work built on the SAS platform. It is a well-recognized venue for disseminating applied biostatistics and causal-inference work to a technically engaged SAS-using audience.</w:t>
      </w:r>
    </w:p>
    <w:p>
      <w:pPr>
        <w:spacing w:after="60" w:before="140"/>
      </w:pPr>
      <w:r>
        <w:rPr>
          <w:rFonts w:ascii="Calibri" w:cs="Calibri" w:eastAsia="Calibri" w:hAnsi="Calibri"/>
          <w:b/>
          <w:bCs/>
          <w:sz w:val="21"/>
          <w:szCs w:val="21"/>
        </w:rPr>
        <w:t xml:space="preserve">c)  </w:t>
      </w:r>
      <w:r>
        <w:rPr>
          <w:rFonts w:ascii="Calibri" w:cs="Calibri" w:eastAsia="Calibri" w:hAnsi="Calibri"/>
          <w:sz w:val="21"/>
          <w:szCs w:val="21"/>
        </w:rPr>
        <w:t xml:space="preserve">Is the publication a student-driven paper? What is the student’s contribution?</w:t>
      </w:r>
    </w:p>
    <w:p>
      <w:pPr>
        <w:spacing w:after="140" w:line="268"/>
        <w:jc w:val="both"/>
      </w:pPr>
      <w:r>
        <w:rPr>
          <w:rFonts w:ascii="Calibri" w:cs="Calibri" w:eastAsia="Calibri" w:hAnsi="Calibri"/>
          <w:sz w:val="21"/>
          <w:szCs w:val="21"/>
        </w:rPr>
        <w:t xml:space="preserve">Response: Yes, the paper is entirely student-driven. I independently identified the research question, acquired and prepared the underlying NVSS natality data, specified the causal DAG and adjustment set, implemented the full propensity-score analysis pipeline (in both R and SAS), diagnosed and resolved the computational limits of individual matching at this scale, produced all figures and tables, and authored the manuscript and conference materials. All analytic decisions and conclusions are my own.</w:t>
      </w:r>
    </w:p>
    <w:p>
      <w:r>
        <w:br w:type="page"/>
      </w:r>
    </w:p>
    <w:p>
      <w:pPr>
        <w:keepNext/>
        <w:pBdr>
          <w:bottom w:val="single" w:color="1F3864" w:sz="6" w:space="3"/>
        </w:pBdr>
        <w:spacing w:after="110" w:before="260"/>
      </w:pPr>
      <w:r>
        <w:rPr>
          <w:rFonts w:ascii="Calibri" w:cs="Calibri" w:eastAsia="Calibri" w:hAnsi="Calibri"/>
          <w:b/>
          <w:bCs/>
          <w:color w:val="1F3864"/>
          <w:sz w:val="25"/>
          <w:szCs w:val="25"/>
        </w:rPr>
        <w:t xml:space="preserve">Acceptance Notice</w:t>
      </w:r>
    </w:p>
    <w:p>
      <w:pPr>
        <w:pBdr>
          <w:left w:val="single" w:color="C1611A" w:sz="18" w:space="6"/>
        </w:pBdr>
        <w:shd w:fill="FFF3E0" w:val="clear"/>
        <w:spacing w:after="160" w:before="60"/>
        <w:ind w:left="120"/>
      </w:pPr>
      <w:r>
        <w:rPr>
          <w:sz w:val="20"/>
          <w:szCs w:val="20"/>
        </w:rPr>
        <w:t xml:space="preserve">⚠ </w:t>
      </w:r>
      <w:r>
        <w:rPr>
          <w:rFonts w:ascii="Calibri" w:cs="Calibri" w:eastAsia="Calibri" w:hAnsi="Calibri"/>
          <w:i/>
          <w:iCs/>
          <w:color w:val="7A3E0C"/>
          <w:sz w:val="19"/>
          <w:szCs w:val="19"/>
        </w:rPr>
        <w:t xml:space="preserve">Insert a screenshot of the SEASUG Paper #103 acceptance email here, the same way the FTC 2026 request included the FTC acceptance-notice screenshot.</w:t>
      </w:r>
    </w:p>
    <w:p>
      <w:pPr>
        <w:keepNext/>
        <w:pBdr>
          <w:bottom w:val="single" w:color="1F3864" w:sz="6" w:space="3"/>
        </w:pBdr>
        <w:spacing w:after="110" w:before="260"/>
      </w:pPr>
      <w:r>
        <w:rPr>
          <w:rFonts w:ascii="Calibri" w:cs="Calibri" w:eastAsia="Calibri" w:hAnsi="Calibri"/>
          <w:b/>
          <w:bCs/>
          <w:color w:val="1F3864"/>
          <w:sz w:val="25"/>
          <w:szCs w:val="25"/>
        </w:rPr>
        <w:t xml:space="preserve">Tentative Budget</w:t>
      </w:r>
    </w:p>
    <w:tbl>
      <w:tblPr>
        <w:tblW w:type="dxa" w:w="854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140"/>
      </w:tblGrid>
      <w:tr>
        <w:trPr>
          <w:cantSplit/>
          <w:tblHeader/>
        </w:trPr>
        <w:tc>
          <w:tcPr>
            <w:tcW w:type="dxa" w:w="3200"/>
            <w:tcBorders>
              <w:top w:val="single" w:color="B7B7B7" w:sz="4"/>
              <w:left w:val="single" w:color="B7B7B7" w:sz="4"/>
              <w:bottom w:val="single" w:color="B7B7B7" w:sz="4"/>
              <w:right w:val="single" w:color="B7B7B7" w:sz="4"/>
            </w:tcBorders>
            <w:shd w:fill="1F3864"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ITEMS</w:t>
            </w:r>
          </w:p>
        </w:tc>
        <w:tc>
          <w:tcPr>
            <w:tcW w:type="dxa" w:w="3200"/>
            <w:tcBorders>
              <w:top w:val="single" w:color="B7B7B7" w:sz="4"/>
              <w:left w:val="single" w:color="B7B7B7" w:sz="4"/>
              <w:bottom w:val="single" w:color="B7B7B7" w:sz="4"/>
              <w:right w:val="single" w:color="B7B7B7" w:sz="4"/>
            </w:tcBorders>
            <w:shd w:fill="1F3864"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UNIT COST ($)</w:t>
            </w:r>
          </w:p>
        </w:tc>
        <w:tc>
          <w:tcPr>
            <w:tcW w:type="dxa" w:w="2140"/>
            <w:tcBorders>
              <w:top w:val="single" w:color="B7B7B7" w:sz="4"/>
              <w:left w:val="single" w:color="B7B7B7" w:sz="4"/>
              <w:bottom w:val="single" w:color="B7B7B7" w:sz="4"/>
              <w:right w:val="single" w:color="B7B7B7" w:sz="4"/>
            </w:tcBorders>
            <w:shd w:fill="1F3864"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AMOUNT ($)</w:t>
            </w:r>
          </w:p>
        </w:tc>
      </w:tr>
      <w:tr>
        <w:trPr>
          <w:cantSplit/>
        </w:trPr>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Student registration (SEASUG 2026)</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Regular period (9/10–10/24): $150.00
[Early period (5/18–9/9) was $100.00 — closed]</w:t>
            </w:r>
          </w:p>
        </w:tc>
        <w:tc>
          <w:tcPr>
            <w:tcW w:type="dxa" w:w="214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150.00*</w:t>
            </w:r>
          </w:p>
        </w:tc>
      </w:tr>
      <w:tr>
        <w:trPr>
          <w:cantSplit/>
        </w:trPr>
        <w:tc>
          <w:tcPr>
            <w:tcW w:type="dxa" w:w="320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Hotel – Desmond Hotel Malvern (DoubleTree by Hilton), conference venue, 3 nights (Oct 22–24)</w:t>
            </w:r>
          </w:p>
        </w:tc>
        <w:tc>
          <w:tcPr>
            <w:tcW w:type="dxa" w:w="320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Rate not published online — call 610-296-9800, ref. code “SAS,” to confirm</w:t>
            </w:r>
          </w:p>
        </w:tc>
        <w:tc>
          <w:tcPr>
            <w:tcW w:type="dxa" w:w="214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TBD</w:t>
            </w:r>
          </w:p>
        </w:tc>
      </w:tr>
      <w:tr>
        <w:trPr>
          <w:cantSplit/>
        </w:trPr>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Round-trip transportation (flight to PHL + ground transport, or drive)</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TBD — get a current quote</w:t>
            </w:r>
          </w:p>
        </w:tc>
        <w:tc>
          <w:tcPr>
            <w:tcW w:type="dxa" w:w="214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TBD</w:t>
            </w:r>
          </w:p>
        </w:tc>
      </w:tr>
      <w:tr>
        <w:trPr>
          <w:cantSplit/>
        </w:trPr>
        <w:tc>
          <w:tcPr>
            <w:tcW w:type="dxa" w:w="320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Dining (per diem, consistent with FTC 2026 request precedent)</w:t>
            </w:r>
          </w:p>
        </w:tc>
        <w:tc>
          <w:tcPr>
            <w:tcW w:type="dxa" w:w="320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$70.00/day × 3 days</w:t>
            </w:r>
          </w:p>
        </w:tc>
        <w:tc>
          <w:tcPr>
            <w:tcW w:type="dxa" w:w="214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210.00 (estimated)</w:t>
            </w:r>
          </w:p>
        </w:tc>
      </w:tr>
      <w:tr>
        <w:trPr>
          <w:cantSplit/>
        </w:trPr>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Miscellaneous (materials, printing, incidentals)</w:t>
            </w:r>
          </w:p>
        </w:tc>
        <w:tc>
          <w:tcPr>
            <w:tcW w:type="dxa" w:w="320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TBD</w:t>
            </w:r>
          </w:p>
        </w:tc>
        <w:tc>
          <w:tcPr>
            <w:tcW w:type="dxa" w:w="214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TBD</w:t>
            </w:r>
          </w:p>
        </w:tc>
      </w:tr>
      <w:tr>
        <w:trPr>
          <w:cantSplit/>
        </w:trPr>
        <w:tc>
          <w:tcPr>
            <w:tcW w:type="dxa" w:w="320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left"/>
            </w:pPr>
            <w:r>
              <w:rPr>
                <w:rFonts w:ascii="Calibri" w:cs="Calibri" w:eastAsia="Calibri" w:hAnsi="Calibri"/>
                <w:b/>
                <w:bCs/>
                <w:sz w:val="19"/>
                <w:szCs w:val="19"/>
              </w:rPr>
              <w:t xml:space="preserve">TOTAL (confirmed items only)</w:t>
            </w:r>
          </w:p>
        </w:tc>
        <w:tc>
          <w:tcPr>
            <w:tcW w:type="dxa" w:w="320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left"/>
            </w:pPr>
          </w:p>
        </w:tc>
        <w:tc>
          <w:tcPr>
            <w:tcW w:type="dxa" w:w="214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center"/>
            </w:pPr>
            <w:r>
              <w:rPr>
                <w:rFonts w:ascii="Calibri" w:cs="Calibri" w:eastAsia="Calibri" w:hAnsi="Calibri"/>
                <w:b/>
                <w:bCs/>
                <w:sz w:val="19"/>
                <w:szCs w:val="19"/>
              </w:rPr>
              <w:t xml:space="preserve">$360.00 + TBD</w:t>
            </w:r>
          </w:p>
        </w:tc>
      </w:tr>
    </w:tbl>
    <w:p>
      <w:pPr>
        <w:spacing w:after="80"/>
      </w:pPr>
    </w:p>
    <w:p>
      <w:pPr>
        <w:spacing w:after="100" w:line="258"/>
      </w:pPr>
      <w:r>
        <w:rPr>
          <w:rFonts w:ascii="Calibri" w:cs="Calibri" w:eastAsia="Calibri" w:hAnsi="Calibri"/>
          <w:i/>
          <w:iCs/>
          <w:color w:val="666666"/>
          <w:sz w:val="18"/>
          <w:szCs w:val="18"/>
        </w:rPr>
        <w:t xml:space="preserve">If the SEASUG Student Travel Grant below is awarded, registration becomes $0.00 and this line should be removed</w:t>
      </w:r>
    </w:p>
    <w:p>
      <w:pPr>
        <w:pBdr>
          <w:left w:val="single" w:color="237A3E" w:sz="18" w:space="6"/>
        </w:pBdr>
        <w:shd w:fill="E8F3EC" w:val="clear"/>
        <w:spacing w:after="160" w:before="160"/>
        <w:ind w:left="120"/>
      </w:pPr>
      <w:r>
        <w:rPr>
          <w:rFonts w:ascii="Calibri" w:cs="Calibri" w:eastAsia="Calibri" w:hAnsi="Calibri"/>
          <w:b/>
          <w:bCs/>
          <w:color w:val="1F5C33"/>
          <w:sz w:val="20"/>
          <w:szCs w:val="20"/>
        </w:rPr>
        <w:t xml:space="preserve">Worth checking before finalizing this request: </w:t>
      </w:r>
      <w:r>
        <w:rPr>
          <w:rFonts w:ascii="Calibri" w:cs="Calibri" w:eastAsia="Calibri" w:hAnsi="Calibri"/>
          <w:color w:val="1F5C33"/>
          <w:sz w:val="20"/>
          <w:szCs w:val="20"/>
        </w:rPr>
        <w:t xml:space="preserve">SEASUG itself runs a </w:t>
      </w:r>
      <w:r>
        <w:rPr>
          <w:rFonts w:ascii="Calibri" w:cs="Calibri" w:eastAsia="Calibri" w:hAnsi="Calibri"/>
          <w:b/>
          <w:bCs/>
          <w:color w:val="1F5C33"/>
          <w:sz w:val="20"/>
          <w:szCs w:val="20"/>
        </w:rPr>
        <w:t xml:space="preserve">Student Travel Grant</w:t>
      </w:r>
      <w:r>
        <w:rPr>
          <w:rFonts w:ascii="Calibri" w:cs="Calibri" w:eastAsia="Calibri" w:hAnsi="Calibri"/>
          <w:color w:val="1F5C33"/>
          <w:sz w:val="20"/>
          <w:szCs w:val="20"/>
        </w:rPr>
        <w:t xml:space="preserve"> for full-time students presenting who use SAS in their academic work. It covers free conference registration, a free hotel room for 3 nights, a $300 stipend, and one complimentary tutorial, in exchange for one volunteer shift at the conference. Applications go through the paper/abstract submission system and opened March 18, 2026; the page did not list a closing date, so it is worth emailing grants@sesug.org now to ask if applications are still open for Paper #103 — if awarded, it would cover most or all of this request.</w:t>
      </w:r>
    </w:p>
    <w:p>
      <w:pPr>
        <w:keepNext/>
        <w:pBdr>
          <w:bottom w:val="single" w:color="1F3864" w:sz="6" w:space="3"/>
        </w:pBdr>
        <w:spacing w:after="110" w:before="260"/>
      </w:pPr>
      <w:r>
        <w:rPr>
          <w:rFonts w:ascii="Calibri" w:cs="Calibri" w:eastAsia="Calibri" w:hAnsi="Calibri"/>
          <w:b/>
          <w:bCs/>
          <w:color w:val="1F3864"/>
          <w:sz w:val="25"/>
          <w:szCs w:val="25"/>
        </w:rPr>
        <w:t xml:space="preserve">Support Letter</w:t>
      </w:r>
    </w:p>
    <w:p>
      <w:pPr>
        <w:pBdr>
          <w:left w:val="single" w:color="C1611A" w:sz="18" w:space="6"/>
        </w:pBdr>
        <w:shd w:fill="FFF3E0" w:val="clear"/>
        <w:spacing w:after="160" w:before="60"/>
        <w:ind w:left="120"/>
      </w:pPr>
      <w:r>
        <w:rPr>
          <w:sz w:val="20"/>
          <w:szCs w:val="20"/>
        </w:rPr>
        <w:t xml:space="preserve">⚠ </w:t>
      </w:r>
      <w:r>
        <w:rPr>
          <w:rFonts w:ascii="Calibri" w:cs="Calibri" w:eastAsia="Calibri" w:hAnsi="Calibri"/>
          <w:i/>
          <w:iCs/>
          <w:color w:val="7A3E0C"/>
          <w:sz w:val="19"/>
          <w:szCs w:val="19"/>
        </w:rPr>
        <w:t xml:space="preserve">A support letter is needed from your advisor, specific to this SEASUG paper and travel (the FTC 2026 request used a letter from Dr. Austin R. Brown). Ask your advisor for one, or let me know and I can draft a starting version for their review — I have not written one here because I don't have their authorization or their actual assessment of this specific paper to draw on.</w:t>
      </w:r>
    </w:p>
    <w:p>
      <w:pPr>
        <w:keepNext/>
        <w:pBdr>
          <w:bottom w:val="single" w:color="1F3864" w:sz="6" w:space="3"/>
        </w:pBdr>
        <w:spacing w:after="110" w:before="260"/>
      </w:pPr>
      <w:r>
        <w:rPr>
          <w:rFonts w:ascii="Calibri" w:cs="Calibri" w:eastAsia="Calibri" w:hAnsi="Calibri"/>
          <w:b/>
          <w:bCs/>
          <w:color w:val="1F3864"/>
          <w:sz w:val="25"/>
          <w:szCs w:val="25"/>
        </w:rPr>
        <w:t xml:space="preserve">Contact Information</w:t>
      </w:r>
    </w:p>
    <w:tbl>
      <w:tblPr>
        <w:tblW w:type="dxa" w:w="8540"/>
        <w:jc w:val="center"/>
        <w:tblBorders>
          <w:top w:val="single" w:color="auto" w:sz="4"/>
          <w:left w:val="single" w:color="auto" w:sz="4"/>
          <w:bottom w:val="single" w:color="auto" w:sz="4"/>
          <w:right w:val="single" w:color="auto" w:sz="4"/>
          <w:insideH w:val="single" w:color="auto" w:sz="4"/>
          <w:insideV w:val="single" w:color="auto" w:sz="4"/>
        </w:tblBorders>
      </w:tblPr>
      <w:tblGrid>
        <w:gridCol w:w="4270"/>
        <w:gridCol w:w="4270"/>
      </w:tblGrid>
      <w:tr>
        <w:trPr>
          <w:cantSplit/>
          <w:tblHeader/>
        </w:trPr>
        <w:tc>
          <w:tcPr>
            <w:tcW w:type="dxa" w:w="4270"/>
            <w:tcBorders>
              <w:top w:val="single" w:color="B7B7B7" w:sz="4"/>
              <w:left w:val="single" w:color="B7B7B7" w:sz="4"/>
              <w:bottom w:val="single" w:color="B7B7B7" w:sz="4"/>
              <w:right w:val="single" w:color="B7B7B7" w:sz="4"/>
            </w:tcBorders>
            <w:shd w:fill="1F3864"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9"/>
                <w:szCs w:val="19"/>
              </w:rPr>
              <w:t xml:space="preserve">Advisor</w:t>
            </w:r>
          </w:p>
        </w:tc>
        <w:tc>
          <w:tcPr>
            <w:tcW w:type="dxa" w:w="4270"/>
            <w:tcBorders>
              <w:top w:val="single" w:color="B7B7B7" w:sz="4"/>
              <w:left w:val="single" w:color="B7B7B7" w:sz="4"/>
              <w:bottom w:val="single" w:color="B7B7B7" w:sz="4"/>
              <w:right w:val="single" w:color="B7B7B7" w:sz="4"/>
            </w:tcBorders>
            <w:shd w:fill="1F3864"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9"/>
                <w:szCs w:val="19"/>
              </w:rPr>
              <w:t xml:space="preserve">Student</w:t>
            </w:r>
          </w:p>
        </w:tc>
      </w:tr>
      <w:tr>
        <w:trPr>
          <w:cantSplit/>
        </w:trPr>
        <w:tc>
          <w:tcPr>
            <w:tcW w:type="dxa" w:w="427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Name: [Advisor name — confirm if same as Dr. Austin R. Brown]</w:t>
            </w:r>
          </w:p>
        </w:tc>
        <w:tc>
          <w:tcPr>
            <w:tcW w:type="dxa" w:w="427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Name: Faruk Muritala</w:t>
            </w:r>
          </w:p>
        </w:tc>
      </w:tr>
      <w:tr>
        <w:trPr>
          <w:cantSplit/>
        </w:trPr>
        <w:tc>
          <w:tcPr>
            <w:tcW w:type="dxa" w:w="427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Email: [confirm]</w:t>
            </w:r>
          </w:p>
        </w:tc>
        <w:tc>
          <w:tcPr>
            <w:tcW w:type="dxa" w:w="4270"/>
            <w:tcBorders>
              <w:top w:val="single" w:color="B7B7B7" w:sz="4"/>
              <w:left w:val="single" w:color="B7B7B7" w:sz="4"/>
              <w:bottom w:val="single" w:color="B7B7B7" w:sz="4"/>
              <w:right w:val="single" w:color="B7B7B7" w:sz="4"/>
            </w:tcBorders>
            <w:shd w:fill="F7F9FC" w:val="clear"/>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Email: fmurital@students.kennesaw.edu</w:t>
            </w:r>
          </w:p>
        </w:tc>
      </w:tr>
      <w:tr>
        <w:trPr>
          <w:cantSplit/>
        </w:trPr>
        <w:tc>
          <w:tcPr>
            <w:tcW w:type="dxa" w:w="427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left"/>
            </w:pPr>
            <w:r>
              <w:rPr>
                <w:rFonts w:ascii="Calibri" w:cs="Calibri" w:eastAsia="Calibri" w:hAnsi="Calibri"/>
                <w:sz w:val="19"/>
                <w:szCs w:val="19"/>
              </w:rPr>
              <w:t xml:space="preserve">Office phone: [confirm]</w:t>
            </w:r>
          </w:p>
        </w:tc>
        <w:tc>
          <w:tcPr>
            <w:tcW w:type="dxa" w:w="4270"/>
            <w:tcBorders>
              <w:top w:val="single" w:color="B7B7B7" w:sz="4"/>
              <w:left w:val="single" w:color="B7B7B7" w:sz="4"/>
              <w:bottom w:val="single" w:color="B7B7B7" w:sz="4"/>
              <w:right w:val="single" w:color="B7B7B7" w:sz="4"/>
            </w:tcBorders>
            <w:tcMar>
              <w:top w:type="dxa" w:w="60"/>
              <w:left w:type="dxa" w:w="100"/>
              <w:bottom w:type="dxa" w:w="60"/>
              <w:right w:type="dxa" w:w="100"/>
            </w:tcMar>
            <w:vAlign w:val="center"/>
          </w:tcPr>
          <w:p>
            <w:pPr>
              <w:spacing w:after="0" w:line="250"/>
              <w:jc w:val="center"/>
            </w:pPr>
            <w:r>
              <w:rPr>
                <w:rFonts w:ascii="Calibri" w:cs="Calibri" w:eastAsia="Calibri" w:hAnsi="Calibri"/>
                <w:sz w:val="19"/>
                <w:szCs w:val="19"/>
              </w:rPr>
              <w:t xml:space="preserve">Mobile Phone: [confirm — 470-302-3973 on the FTC 2026 request]</w:t>
            </w:r>
          </w:p>
        </w:tc>
      </w:tr>
    </w:tbl>
    <w:p>
      <w:pPr>
        <w:keepNext/>
        <w:pBdr>
          <w:bottom w:val="single" w:color="1F3864" w:sz="6" w:space="3"/>
        </w:pBdr>
        <w:spacing w:after="110" w:before="260"/>
      </w:pPr>
      <w:r>
        <w:rPr>
          <w:rFonts w:ascii="Calibri" w:cs="Calibri" w:eastAsia="Calibri" w:hAnsi="Calibri"/>
          <w:b/>
          <w:bCs/>
          <w:color w:val="1F3864"/>
          <w:sz w:val="25"/>
          <w:szCs w:val="25"/>
        </w:rPr>
        <w:t xml:space="preserve">Funding</w:t>
      </w:r>
    </w:p>
    <w:p>
      <w:pPr>
        <w:spacing w:after="140" w:line="268"/>
        <w:jc w:val="both"/>
      </w:pPr>
      <w:r>
        <w:rPr>
          <w:rFonts w:ascii="Calibri" w:cs="Calibri" w:eastAsia="Calibri" w:hAnsi="Calibri"/>
          <w:sz w:val="21"/>
          <w:szCs w:val="21"/>
        </w:rPr>
        <w:t xml:space="preserve">No information is available at the moment. [Update once the SEASUG Student Travel Grant question above is resolved, and once any KSU School of Data Science and Analytics travel-award status is known.]</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SEASUG 2026 Travel Funding Request (Draft)</dc:title>
  <dc:creator>Faruk Muritala</dc:creator>
  <cp:lastModifiedBy>Un-named</cp:lastModifiedBy>
  <cp:revision>1</cp:revision>
  <dcterms:created xsi:type="dcterms:W3CDTF">2026-09-23T01:08:27.923Z</dcterms:created>
  <dcterms:modified xsi:type="dcterms:W3CDTF">2026-09-23T01:08:27.924Z</dcterms:modified>
</cp:coreProperties>
</file>

<file path=docProps/custom.xml><?xml version="1.0" encoding="utf-8"?>
<Properties xmlns="http://schemas.openxmlformats.org/officeDocument/2006/custom-properties" xmlns:vt="http://schemas.openxmlformats.org/officeDocument/2006/docPropsVTypes"/>
</file>