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STAT 7900 – Causal Analysis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Assignment 1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Name: Faruk Murital   |   Kennesaw State University   |   Due: Sep 21, 2026, 11:59 AM</w:t>
      </w:r>
    </w:p>
    <w:p>
      <w:pPr>
        <w:keepNext/>
        <w:pBdr>
          <w:bottom w:val="single" w:color="1F3864" w:sz="8" w:space="2"/>
        </w:pBdr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Problem 1: Tutoring and Exam Scores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(20 points)</w:t>
      </w:r>
    </w:p>
    <w:p>
      <w:pPr>
        <w:keepNext w:val="false"/>
        <w:spacing w:after="100" w:before="100" w:line="264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(a) 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[4 pts]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No.</w:t>
      </w:r>
      <w:r>
        <w:rPr>
          <w:rFonts w:ascii="Calibri" w:cs="Calibri" w:eastAsia="Calibri" w:hAnsi="Calibri"/>
          <w:sz w:val="22"/>
          <w:szCs w:val="22"/>
        </w:rPr>
        <w:t xml:space="preserve"> The crude gap is an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association</w:t>
      </w:r>
      <w:r>
        <w:rPr>
          <w:rFonts w:ascii="Calibri" w:cs="Calibri" w:eastAsia="Calibri" w:hAnsi="Calibri"/>
          <w:sz w:val="22"/>
          <w:szCs w:val="22"/>
        </w:rPr>
        <w:t xml:space="preserve">, E[Y | T = 1] − E[Y | T = 0], not the causal effect E[Y(1)] − E[Y(0)]. Because students choose whether to attend, the two groups may differ before tutoring:</w:t>
      </w:r>
    </w:p>
    <w:p>
      <w:pPr>
        <w:spacing w:after="100" w:line="264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Observed difference = ATT + selection bias, where selection bias = E[Y(0) | T = 1] − E[Y(0) | T = 0].</w:t>
      </w:r>
    </w:p>
    <w:p>
      <w:pPr>
        <w:spacing w:after="100" w:line="264"/>
      </w:pPr>
      <w:r>
        <w:rPr>
          <w:rFonts w:ascii="Calibri" w:cs="Calibri" w:eastAsia="Calibri" w:hAnsi="Calibri"/>
          <w:sz w:val="22"/>
          <w:szCs w:val="22"/>
        </w:rPr>
        <w:t xml:space="preserve">The 8 points equals the causal effect only if attendees and non-attendees are exchangeable (e.g., randomized tutoring). Otherwise, part or all of it reflects pre-existing differences.</w:t>
      </w:r>
    </w:p>
    <w:p>
      <w:pPr>
        <w:keepNext w:val="false"/>
        <w:spacing w:after="100" w:before="100" w:line="264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(b) 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[4 pts]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Y</w:t>
      </w:r>
      <w:r>
        <w:rPr>
          <w:rFonts w:ascii="Calibri" w:cs="Calibri" w:eastAsia="Calibri" w:hAnsi="Calibri"/>
          <w:sz w:val="22"/>
          <w:szCs w:val="22"/>
          <w:vertAlign w:val="subscript"/>
        </w:rPr>
        <w:t xml:space="preserve">i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(1)</w:t>
      </w:r>
      <w:r>
        <w:rPr>
          <w:rFonts w:ascii="Calibri" w:cs="Calibri" w:eastAsia="Calibri" w:hAnsi="Calibri"/>
          <w:sz w:val="22"/>
          <w:szCs w:val="22"/>
        </w:rPr>
        <w:t xml:space="preserve"> is the final exam score student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i</w:t>
      </w:r>
      <w:r>
        <w:rPr>
          <w:rFonts w:ascii="Calibri" w:cs="Calibri" w:eastAsia="Calibri" w:hAnsi="Calibri"/>
          <w:sz w:val="22"/>
          <w:szCs w:val="22"/>
        </w:rPr>
        <w:t xml:space="preserve"> would obtain if they attended tutoring.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Y</w:t>
      </w:r>
      <w:r>
        <w:rPr>
          <w:rFonts w:ascii="Calibri" w:cs="Calibri" w:eastAsia="Calibri" w:hAnsi="Calibri"/>
          <w:sz w:val="22"/>
          <w:szCs w:val="22"/>
          <w:vertAlign w:val="subscript"/>
        </w:rPr>
        <w:t xml:space="preserve">i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(0)</w:t>
      </w:r>
      <w:r>
        <w:rPr>
          <w:rFonts w:ascii="Calibri" w:cs="Calibri" w:eastAsia="Calibri" w:hAnsi="Calibri"/>
          <w:sz w:val="22"/>
          <w:szCs w:val="22"/>
        </w:rPr>
        <w:t xml:space="preserve"> is the score student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i</w:t>
      </w:r>
      <w:r>
        <w:rPr>
          <w:rFonts w:ascii="Calibri" w:cs="Calibri" w:eastAsia="Calibri" w:hAnsi="Calibri"/>
          <w:sz w:val="22"/>
          <w:szCs w:val="22"/>
        </w:rPr>
        <w:t xml:space="preserve"> would obtain if they did not attend. Only one is observed: Y</w:t>
      </w:r>
      <w:r>
        <w:rPr>
          <w:rFonts w:ascii="Calibri" w:cs="Calibri" w:eastAsia="Calibri" w:hAnsi="Calibri"/>
          <w:sz w:val="22"/>
          <w:szCs w:val="22"/>
          <w:vertAlign w:val="subscript"/>
        </w:rPr>
        <w:t xml:space="preserve">i</w:t>
      </w:r>
      <w:r>
        <w:rPr>
          <w:rFonts w:ascii="Calibri" w:cs="Calibri" w:eastAsia="Calibri" w:hAnsi="Calibri"/>
          <w:sz w:val="22"/>
          <w:szCs w:val="22"/>
        </w:rPr>
        <w:t xml:space="preserve"> = T</w:t>
      </w:r>
      <w:r>
        <w:rPr>
          <w:rFonts w:ascii="Calibri" w:cs="Calibri" w:eastAsia="Calibri" w:hAnsi="Calibri"/>
          <w:sz w:val="22"/>
          <w:szCs w:val="22"/>
          <w:vertAlign w:val="subscript"/>
        </w:rPr>
        <w:t xml:space="preserve">i</w:t>
      </w:r>
      <w:r>
        <w:rPr>
          <w:rFonts w:ascii="Calibri" w:cs="Calibri" w:eastAsia="Calibri" w:hAnsi="Calibri"/>
          <w:sz w:val="22"/>
          <w:szCs w:val="22"/>
        </w:rPr>
        <w:t xml:space="preserve">·Y</w:t>
      </w:r>
      <w:r>
        <w:rPr>
          <w:rFonts w:ascii="Calibri" w:cs="Calibri" w:eastAsia="Calibri" w:hAnsi="Calibri"/>
          <w:sz w:val="22"/>
          <w:szCs w:val="22"/>
          <w:vertAlign w:val="subscript"/>
        </w:rPr>
        <w:t xml:space="preserve">i</w:t>
      </w:r>
      <w:r>
        <w:rPr>
          <w:rFonts w:ascii="Calibri" w:cs="Calibri" w:eastAsia="Calibri" w:hAnsi="Calibri"/>
          <w:sz w:val="22"/>
          <w:szCs w:val="22"/>
        </w:rPr>
        <w:t xml:space="preserve">(1) + (1 − T</w:t>
      </w:r>
      <w:r>
        <w:rPr>
          <w:rFonts w:ascii="Calibri" w:cs="Calibri" w:eastAsia="Calibri" w:hAnsi="Calibri"/>
          <w:sz w:val="22"/>
          <w:szCs w:val="22"/>
          <w:vertAlign w:val="subscript"/>
        </w:rPr>
        <w:t xml:space="preserve">i</w:t>
      </w:r>
      <w:r>
        <w:rPr>
          <w:rFonts w:ascii="Calibri" w:cs="Calibri" w:eastAsia="Calibri" w:hAnsi="Calibri"/>
          <w:sz w:val="22"/>
          <w:szCs w:val="22"/>
        </w:rPr>
        <w:t xml:space="preserve">)·Y</w:t>
      </w:r>
      <w:r>
        <w:rPr>
          <w:rFonts w:ascii="Calibri" w:cs="Calibri" w:eastAsia="Calibri" w:hAnsi="Calibri"/>
          <w:sz w:val="22"/>
          <w:szCs w:val="22"/>
          <w:vertAlign w:val="subscript"/>
        </w:rPr>
        <w:t xml:space="preserve">i</w:t>
      </w:r>
      <w:r>
        <w:rPr>
          <w:rFonts w:ascii="Calibri" w:cs="Calibri" w:eastAsia="Calibri" w:hAnsi="Calibri"/>
          <w:sz w:val="22"/>
          <w:szCs w:val="22"/>
        </w:rPr>
        <w:t xml:space="preserve">(0).</w:t>
      </w:r>
    </w:p>
    <w:p>
      <w:pPr>
        <w:keepNext w:val="false"/>
        <w:spacing w:after="100" w:before="100" w:line="264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(c) 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[4 pts]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ATE = E[Y(1) − Y(0)] = E[Y(1)] − E[Y(0)]</w:t>
      </w:r>
      <w:r>
        <w:rPr>
          <w:rFonts w:ascii="Calibri" w:cs="Calibri" w:eastAsia="Calibri" w:hAnsi="Calibri"/>
          <w:sz w:val="22"/>
          <w:szCs w:val="22"/>
        </w:rPr>
        <w:t xml:space="preserve">, the average exam-score difference if all students attended versus if none did.</w:t>
      </w:r>
    </w:p>
    <w:p>
      <w:pPr>
        <w:keepNext w:val="false"/>
        <w:spacing w:after="100" w:before="100" w:line="264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(d) 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[4 pts]  </w:t>
      </w:r>
      <w:r>
        <w:rPr>
          <w:rFonts w:ascii="Calibri" w:cs="Calibri" w:eastAsia="Calibri" w:hAnsi="Calibri"/>
          <w:sz w:val="22"/>
          <w:szCs w:val="22"/>
        </w:rPr>
        <w:t xml:space="preserve">Motivation (M) is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common cause</w:t>
      </w:r>
      <w:r>
        <w:rPr>
          <w:rFonts w:ascii="Calibri" w:cs="Calibri" w:eastAsia="Calibri" w:hAnsi="Calibri"/>
          <w:sz w:val="22"/>
          <w:szCs w:val="22"/>
        </w:rPr>
        <w:t xml:space="preserve"> of attendance and scores: T ← M → Y. Motivated students are more likely to attend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and</w:t>
      </w:r>
      <w:r>
        <w:rPr>
          <w:rFonts w:ascii="Calibri" w:cs="Calibri" w:eastAsia="Calibri" w:hAnsi="Calibri"/>
          <w:sz w:val="22"/>
          <w:szCs w:val="22"/>
        </w:rPr>
        <w:t xml:space="preserve"> would score higher even without tutoring, so E[Y(0) | T = 1] &gt; E[Y(0) | T = 0] and the groups are not exchangeable. The 84 vs. 76 comparison mixes the tutoring effect with the motivation difference (positive selection bias) and likely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overstates</w:t>
      </w:r>
      <w:r>
        <w:rPr>
          <w:rFonts w:ascii="Calibri" w:cs="Calibri" w:eastAsia="Calibri" w:hAnsi="Calibri"/>
          <w:sz w:val="22"/>
          <w:szCs w:val="22"/>
        </w:rPr>
        <w:t xml:space="preserve"> the effect. Remedies: randomize tutoring, or adjust for motivation (or proxies such as prior GPA) under conditional exchangeability. Unmeasured motivation would leave residual confounding.</w:t>
      </w:r>
    </w:p>
    <w:p>
      <w:pPr>
        <w:keepNext w:val="false"/>
        <w:spacing w:after="100" w:before="100" w:line="264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(e) 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[4 pts]  </w:t>
      </w:r>
      <w:r>
        <w:rPr>
          <w:rFonts w:ascii="Calibri" w:cs="Calibri" w:eastAsia="Calibri" w:hAnsi="Calibri"/>
          <w:sz w:val="22"/>
          <w:szCs w:val="22"/>
        </w:rPr>
        <w:t xml:space="preserve">Assumptions in this study:</w:t>
      </w:r>
    </w:p>
    <w:tbl>
      <w:tblPr>
        <w:tblW w:type="dxa" w:w="93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4400"/>
        <w:gridCol w:w="3210"/>
      </w:tblGrid>
      <w:tr>
        <w:trPr>
          <w:cantSplit/>
          <w:tblHeader/>
        </w:trPr>
        <w:tc>
          <w:tcPr>
            <w:tcW w:type="dxa" w:w="17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Assumption</w:t>
            </w:r>
          </w:p>
        </w:tc>
        <w:tc>
          <w:tcPr>
            <w:tcW w:type="dxa" w:w="4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Meaning here</w:t>
            </w:r>
          </w:p>
        </w:tc>
        <w:tc>
          <w:tcPr>
            <w:tcW w:type="dxa" w:w="321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 of violation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Exchangeability</w:t>
            </w:r>
          </w:p>
        </w:tc>
        <w:tc>
          <w:tcPr>
            <w:tcW w:type="dxa" w:w="4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Given measured covariates X (e.g., prior GPA), attendees and non-attendees have the same potential exam scores: (Y(1), Y(0)) ⊥ T | X.</w:t>
            </w:r>
          </w:p>
        </w:tc>
        <w:tc>
          <w:tcPr>
            <w:tcW w:type="dxa" w:w="321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Unmeasured motivation drives both attendance and scores.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Positivity</w:t>
            </w:r>
          </w:p>
        </w:tc>
        <w:tc>
          <w:tcPr>
            <w:tcW w:type="dxa" w:w="4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Every type of student (each X = x) has some chance of both attending and not attending: 0 &lt; P(T = 1 | X = x) &lt; 1.</w:t>
            </w:r>
          </w:p>
        </w:tc>
        <w:tc>
          <w:tcPr>
            <w:tcW w:type="dxa" w:w="321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Tutoring is mandatory for students on academic probation, so no untreated comparison exists.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Consistency</w:t>
            </w:r>
          </w:p>
        </w:tc>
        <w:tc>
          <w:tcPr>
            <w:tcW w:type="dxa" w:w="4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If T</w:t>
            </w:r>
            <w:r>
              <w:rPr>
                <w:rFonts w:ascii="Calibri" w:cs="Calibri" w:eastAsia="Calibri" w:hAnsi="Calibri"/>
                <w:sz w:val="20"/>
                <w:szCs w:val="20"/>
                <w:vertAlign w:val="subscript"/>
              </w:rPr>
              <w:t xml:space="preserve">i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= t then Y</w:t>
            </w:r>
            <w:r>
              <w:rPr>
                <w:rFonts w:ascii="Calibri" w:cs="Calibri" w:eastAsia="Calibri" w:hAnsi="Calibri"/>
                <w:sz w:val="20"/>
                <w:szCs w:val="20"/>
                <w:vertAlign w:val="subscript"/>
              </w:rPr>
              <w:t xml:space="preserve">i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 = Y</w:t>
            </w:r>
            <w:r>
              <w:rPr>
                <w:rFonts w:ascii="Calibri" w:cs="Calibri" w:eastAsia="Calibri" w:hAnsi="Calibri"/>
                <w:sz w:val="20"/>
                <w:szCs w:val="20"/>
                <w:vertAlign w:val="subscript"/>
              </w:rPr>
              <w:t xml:space="preserve">i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(t): “attending tutoring” is one well-defined intervention.</w:t>
            </w:r>
          </w:p>
        </w:tc>
        <w:tc>
          <w:tcPr>
            <w:tcW w:type="dxa" w:w="321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“Attend” mixes one visit with twelve, or strong and weak tutors.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SUTVA / no interference</w:t>
            </w:r>
          </w:p>
        </w:tc>
        <w:tc>
          <w:tcPr>
            <w:tcW w:type="dxa" w:w="4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 student’s score depends only on their own tutoring status, not on other students’ (and there are no hidden versions of treatment).</w:t>
            </w:r>
          </w:p>
        </w:tc>
        <w:tc>
          <w:tcPr>
            <w:tcW w:type="dxa" w:w="321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Tutored students share notes with friends who did not attend.</w:t>
            </w:r>
          </w:p>
        </w:tc>
      </w:tr>
    </w:tbl>
    <w:p>
      <w:pPr>
        <w:spacing w:after="60"/>
      </w:pPr>
    </w:p>
    <w:p>
      <w:pPr>
        <w:keepNext/>
        <w:pBdr>
          <w:bottom w:val="single" w:color="1F3864" w:sz="8" w:space="2"/>
        </w:pBdr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Problem 2: Blood-Pressure Medication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(20 points)</w:t>
      </w:r>
    </w:p>
    <w:p>
      <w:pPr>
        <w:keepNext/>
        <w:spacing w:after="100" w:before="100" w:line="264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(a) 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[5 pts]  </w:t>
      </w:r>
      <w:r>
        <w:rPr>
          <w:rFonts w:ascii="Calibri" w:cs="Calibri" w:eastAsia="Calibri" w:hAnsi="Calibri"/>
          <w:sz w:val="22"/>
          <w:szCs w:val="22"/>
        </w:rPr>
        <w:t xml:space="preserve">Complete DAG (Figure 1). Edges: A → T, A → Y, D → T, D → Y, T → M, M → Y. There is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 direct T → Y arrow</w:t>
      </w:r>
      <w:r>
        <w:rPr>
          <w:rFonts w:ascii="Calibri" w:cs="Calibri" w:eastAsia="Calibri" w:hAnsi="Calibri"/>
          <w:sz w:val="22"/>
          <w:szCs w:val="22"/>
        </w:rPr>
        <w:t xml:space="preserve">; all of T’s effect on Y passes through M.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2514600" cy="2721097"/>
            <wp:effectExtent t="0" r="0" b="0" l="0"/>
            <wp:docPr id="1" name="dag_crop.png" descr="dag_crop.png" title="dag_cro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2721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Figure 1.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DAG for Problem 2 (A = age, D = baseline diabetes, T = medication, M = BP at 3 months, Y = cardiovascular outcome).</w:t>
      </w:r>
    </w:p>
    <w:p>
      <w:pPr>
        <w:keepNext w:val="false"/>
        <w:spacing w:after="100" w:before="100" w:line="264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(b) 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[5 pts]  </w:t>
      </w:r>
      <w:r>
        <w:rPr>
          <w:rFonts w:ascii="Calibri" w:cs="Calibri" w:eastAsia="Calibri" w:hAnsi="Calibri"/>
          <w:sz w:val="22"/>
          <w:szCs w:val="22"/>
        </w:rPr>
        <w:t xml:space="preserve">A backdoor path starts with an arrow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into</w:t>
      </w:r>
      <w:r>
        <w:rPr>
          <w:rFonts w:ascii="Calibri" w:cs="Calibri" w:eastAsia="Calibri" w:hAnsi="Calibri"/>
          <w:sz w:val="22"/>
          <w:szCs w:val="22"/>
        </w:rPr>
        <w:t xml:space="preserve"> T. There are exactly two:</w:t>
      </w:r>
    </w:p>
    <w:p>
      <w:pPr>
        <w:pStyle w:val="ListParagraph"/>
        <w:numPr>
          <w:ilvl w:val="0"/>
          <w:numId w:val="2"/>
        </w:numPr>
        <w:spacing w:after="60" w:line="259"/>
      </w:pPr>
      <w:r>
        <w:rPr>
          <w:rFonts w:ascii="Calibri" w:cs="Calibri" w:eastAsia="Calibri" w:hAnsi="Calibri"/>
          <w:sz w:val="22"/>
          <w:szCs w:val="22"/>
        </w:rPr>
        <w:t xml:space="preserve">T ← A → Y</w:t>
      </w:r>
    </w:p>
    <w:p>
      <w:pPr>
        <w:pStyle w:val="ListParagraph"/>
        <w:numPr>
          <w:ilvl w:val="0"/>
          <w:numId w:val="2"/>
        </w:numPr>
        <w:spacing w:after="60" w:line="259"/>
      </w:pPr>
      <w:r>
        <w:rPr>
          <w:rFonts w:ascii="Calibri" w:cs="Calibri" w:eastAsia="Calibri" w:hAnsi="Calibri"/>
          <w:sz w:val="22"/>
          <w:szCs w:val="22"/>
        </w:rPr>
        <w:t xml:space="preserve">T ← D → Y</w:t>
      </w:r>
    </w:p>
    <w:p>
      <w:pPr>
        <w:spacing w:after="80" w:line="264"/>
      </w:pPr>
      <w:r>
        <w:rPr>
          <w:rFonts w:ascii="Calibri" w:cs="Calibri" w:eastAsia="Calibri" w:hAnsi="Calibri"/>
          <w:sz w:val="22"/>
          <w:szCs w:val="22"/>
        </w:rPr>
        <w:t xml:space="preserve">The only other T–Y path, T → M → Y, is causal (it leaves T).</w:t>
      </w:r>
    </w:p>
    <w:p>
      <w:pPr>
        <w:keepNext w:val="false"/>
        <w:spacing w:after="100" w:before="100" w:line="264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(c) 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[5 pts]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Adjustment set: {A, D}.</w:t>
      </w:r>
      <w:r>
        <w:rPr>
          <w:rFonts w:ascii="Calibri" w:cs="Calibri" w:eastAsia="Calibri" w:hAnsi="Calibri"/>
          <w:sz w:val="22"/>
          <w:szCs w:val="22"/>
        </w:rPr>
        <w:t xml:space="preserve"> Each backdoor path is a fork, so conditioning on its middle node blocks it: A blocks path 1 and D blocks path 2. Neither is a descendant of T and neither is a collider, so no new path opens. The causal path T → M → Y stays open, so the remaining T–Y association is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total effect</w:t>
      </w:r>
      <w:r>
        <w:rPr>
          <w:rFonts w:ascii="Calibri" w:cs="Calibri" w:eastAsia="Calibri" w:hAnsi="Calibri"/>
          <w:sz w:val="22"/>
          <w:szCs w:val="22"/>
        </w:rPr>
        <w:t xml:space="preserve">:</w:t>
      </w:r>
    </w:p>
    <w:p>
      <w:pPr>
        <w:spacing w:after="100" w:line="264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E[Y(t)] = Σ</w:t>
      </w:r>
      <w:r>
        <w:rPr>
          <w:rFonts w:ascii="Calibri" w:cs="Calibri" w:eastAsia="Calibri" w:hAnsi="Calibri"/>
          <w:sz w:val="22"/>
          <w:szCs w:val="22"/>
          <w:vertAlign w:val="subscript"/>
        </w:rPr>
        <w:t xml:space="preserve">a,d</w:t>
      </w:r>
      <w:r>
        <w:rPr>
          <w:rFonts w:ascii="Calibri" w:cs="Calibri" w:eastAsia="Calibri" w:hAnsi="Calibri"/>
          <w:sz w:val="22"/>
          <w:szCs w:val="22"/>
        </w:rPr>
        <w:t xml:space="preserve"> E[Y | T = t, A = a, D = d] · P(A = a, D = d).</w:t>
      </w:r>
    </w:p>
    <w:p>
      <w:pPr>
        <w:spacing w:after="100" w:line="264"/>
      </w:pPr>
      <w:r>
        <w:rPr>
          <w:rFonts w:ascii="Calibri" w:cs="Calibri" w:eastAsia="Calibri" w:hAnsi="Calibri"/>
          <w:sz w:val="22"/>
          <w:szCs w:val="22"/>
        </w:rPr>
        <w:t xml:space="preserve">The set is minimal: both A and D are needed, since each blocks a different path.</w:t>
      </w:r>
    </w:p>
    <w:p>
      <w:pPr>
        <w:keepNext w:val="false"/>
        <w:spacing w:after="100" w:before="100" w:line="264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(d) 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[5 pts]  </w:t>
      </w:r>
      <w:r>
        <w:rPr>
          <w:rFonts w:ascii="Calibri" w:cs="Calibri" w:eastAsia="Calibri" w:hAnsi="Calibri"/>
          <w:sz w:val="22"/>
          <w:szCs w:val="22"/>
        </w:rPr>
        <w:t xml:space="preserve">M is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mediator</w:t>
      </w:r>
      <w:r>
        <w:rPr>
          <w:rFonts w:ascii="Calibri" w:cs="Calibri" w:eastAsia="Calibri" w:hAnsi="Calibri"/>
          <w:sz w:val="22"/>
          <w:szCs w:val="22"/>
        </w:rPr>
        <w:t xml:space="preserve">, a post-treatment variable on the causal path T → M → Y. Conditioning on M blocks part of the effect we want, so Y ~ T + A + D + M no longer estimates the total effect (overadjustment; the estimand changes). The researcher is moving toward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(controlled) direct effect</w:t>
      </w:r>
      <w:r>
        <w:rPr>
          <w:rFonts w:ascii="Calibri" w:cs="Calibri" w:eastAsia="Calibri" w:hAnsi="Calibri"/>
          <w:sz w:val="22"/>
          <w:szCs w:val="22"/>
        </w:rPr>
        <w:t xml:space="preserve"> of T on Y not through M. In this DAG there is no T → Y arrow, so that direct effect is 0: the coefficient of T would be near zero even if the drug works by lowering blood pressure.</w:t>
      </w:r>
    </w:p>
    <w:p>
      <w:pPr>
        <w:keepNext/>
        <w:pBdr>
          <w:bottom w:val="single" w:color="1F3864" w:sz="8" w:space="2"/>
        </w:pBdr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Problem 3: Colliders and Adjustment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(20 points)</w:t>
      </w:r>
    </w:p>
    <w:p>
      <w:pPr>
        <w:keepNext w:val="false"/>
        <w:spacing w:after="100" w:before="100" w:line="264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(a) 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[4 pts]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 is a collider.</w:t>
      </w:r>
      <w:r>
        <w:rPr>
          <w:rFonts w:ascii="Calibri" w:cs="Calibri" w:eastAsia="Calibri" w:hAnsi="Calibri"/>
          <w:sz w:val="22"/>
          <w:szCs w:val="22"/>
        </w:rPr>
        <w:t xml:space="preserve"> On T ← A → C ← B → Y, the arrows from A and B both point into C (A → C ← B). A and B are forks (common causes).</w:t>
      </w:r>
    </w:p>
    <w:p>
      <w:pPr>
        <w:keepNext w:val="false"/>
        <w:spacing w:after="100" w:before="100" w:line="264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(b) 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[4 pts]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Closed (blocked).</w:t>
      </w:r>
      <w:r>
        <w:rPr>
          <w:rFonts w:ascii="Calibri" w:cs="Calibri" w:eastAsia="Calibri" w:hAnsi="Calibri"/>
          <w:sz w:val="22"/>
          <w:szCs w:val="22"/>
        </w:rPr>
        <w:t xml:space="preserve"> A collider blocks a path unless the collider or one of its descendants is conditioned on. A and B are independent, so no association flows from T to Y through C. With no other paths, T and Y are unassociated.</w:t>
      </w:r>
    </w:p>
    <w:p>
      <w:pPr>
        <w:keepNext w:val="false"/>
        <w:spacing w:after="100" w:before="100" w:line="264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(c) 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[4 pts]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Conditioning on C opens the path.</w:t>
      </w:r>
      <w:r>
        <w:rPr>
          <w:rFonts w:ascii="Calibri" w:cs="Calibri" w:eastAsia="Calibri" w:hAnsi="Calibri"/>
          <w:sz w:val="22"/>
          <w:szCs w:val="22"/>
        </w:rPr>
        <w:t xml:space="preserve"> Given C, A and B become associated, so T ← A → C ← B → Y transmits association and T and Y appear related even though neither causes the other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collider bias</w:t>
      </w:r>
      <w:r>
        <w:rPr>
          <w:rFonts w:ascii="Calibri" w:cs="Calibri" w:eastAsia="Calibri" w:hAnsi="Calibri"/>
          <w:sz w:val="22"/>
          <w:szCs w:val="22"/>
        </w:rPr>
        <w:t xml:space="preserve">). Conditioning on a descendant of C has the same effect.</w:t>
      </w:r>
    </w:p>
    <w:p>
      <w:pPr>
        <w:keepNext w:val="false"/>
        <w:spacing w:after="100" w:before="100" w:line="264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(d) 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[4 pts]  </w:t>
      </w:r>
      <w:r>
        <w:rPr>
          <w:rFonts w:ascii="Calibri" w:cs="Calibri" w:eastAsia="Calibri" w:hAnsi="Calibri"/>
          <w:sz w:val="22"/>
          <w:szCs w:val="22"/>
        </w:rPr>
        <w:t xml:space="preserve">Timing does not determine causal role; position in the graph does. C is measured before treatment but is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collider</w:t>
      </w:r>
      <w:r>
        <w:rPr>
          <w:rFonts w:ascii="Calibri" w:cs="Calibri" w:eastAsia="Calibri" w:hAnsi="Calibri"/>
          <w:sz w:val="22"/>
          <w:szCs w:val="22"/>
        </w:rPr>
        <w:t xml:space="preserve">, so this is an M-bias structure. Without adjustment no backdoor path is open and the crude comparison is unbiased. Adjusting for C opens T ← A → C ← B → Y and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creates</w:t>
      </w:r>
      <w:r>
        <w:rPr>
          <w:rFonts w:ascii="Calibri" w:cs="Calibri" w:eastAsia="Calibri" w:hAnsi="Calibri"/>
          <w:sz w:val="22"/>
          <w:szCs w:val="22"/>
        </w:rPr>
        <w:t xml:space="preserve"> bias. (Example: T = private high school, A = family wealth, B = parental education, C = elite enrichment program, Y = admission.) Pre-treatment does not mean “adjust for it.”</w:t>
      </w:r>
    </w:p>
    <w:p>
      <w:pPr>
        <w:keepNext w:val="false"/>
        <w:spacing w:after="100" w:before="100" w:line="264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(e) 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[4 pts]  </w:t>
      </w:r>
      <w:r>
        <w:rPr>
          <w:rFonts w:ascii="Calibri" w:cs="Calibri" w:eastAsia="Calibri" w:hAnsi="Calibri"/>
          <w:sz w:val="22"/>
          <w:szCs w:val="22"/>
        </w:rPr>
        <w:t xml:space="preserve">Regression conditions on whatever is included and cannot tell a confounder from a collider or mediator. A “kitchen-sink” model may block real confounding paths, but it also conditions on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colliders</w:t>
      </w:r>
      <w:r>
        <w:rPr>
          <w:rFonts w:ascii="Calibri" w:cs="Calibri" w:eastAsia="Calibri" w:hAnsi="Calibri"/>
          <w:sz w:val="22"/>
          <w:szCs w:val="22"/>
        </w:rPr>
        <w:t xml:space="preserve"> (or their descendants), which opens paths that were closed and creates a spurious link between the collider’s causes, and on mediators, which removes part of the effect. In Problem 3, the unadjusted estimate is unbiased; adding the collider C opens T ← A → C ← B → Y and introduces bias. Covariates should be chosen from the causal graph (block all backdoor paths, avoid colliders and mediators), not by count.</w:t>
      </w:r>
    </w:p>
    <w:p>
      <w:pPr>
        <w:keepNext/>
        <w:pBdr>
          <w:bottom w:val="single" w:color="1F3864" w:sz="8" w:space="2"/>
        </w:pBdr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Problem 4: Simulation of Confounding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(20 points)</w:t>
      </w:r>
    </w:p>
    <w:p>
      <w:pPr>
        <w:keepNext/>
        <w:pBdr>
          <w:left w:val="single" w:color="9AA5B1" w:sz="12" w:space="6"/>
        </w:pBdr>
        <w:shd w:fill="F3F3F3" w:val="clear"/>
        <w:spacing w:after="0" w:line="24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set.seed(7901); n &lt;- 5000</w:t>
      </w:r>
    </w:p>
    <w:p>
      <w:pPr>
        <w:keepNext/>
        <w:pBdr>
          <w:left w:val="single" w:color="9AA5B1" w:sz="12" w:space="6"/>
        </w:pBdr>
        <w:shd w:fill="F3F3F3" w:val="clear"/>
        <w:spacing w:after="0" w:line="24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C &lt;- rnorm(n); T &lt;- rbinom(n, 1, plogis(C))</w:t>
      </w:r>
    </w:p>
    <w:p>
      <w:pPr>
        <w:keepNext/>
        <w:pBdr>
          <w:left w:val="single" w:color="9AA5B1" w:sz="12" w:space="6"/>
        </w:pBdr>
        <w:shd w:fill="F3F3F3" w:val="clear"/>
        <w:spacing w:after="0" w:line="24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Y &lt;- 2*T + 1.5*C + rnorm(n); dat &lt;- data.frame(Y, T, C)</w:t>
      </w:r>
    </w:p>
    <w:p>
      <w:pPr>
        <w:keepNext/>
        <w:pBdr>
          <w:left w:val="single" w:color="9AA5B1" w:sz="12" w:space="6"/>
        </w:pBdr>
        <w:shd w:fill="F3F3F3" w:val="clear"/>
        <w:spacing w:after="0" w:line="24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coef(lm(Y ~ T, data = dat))["T"]       # (a) crude</w:t>
      </w:r>
    </w:p>
    <w:p>
      <w:pPr>
        <w:keepNext w:val="false"/>
        <w:pBdr>
          <w:left w:val="single" w:color="9AA5B1" w:sz="12" w:space="6"/>
        </w:pBdr>
        <w:shd w:fill="F3F3F3" w:val="clear"/>
        <w:spacing w:after="0" w:line="24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coef(lm(Y ~ T + C, data = dat))["T"]   # (b) adjusted</w:t>
      </w:r>
    </w:p>
    <w:p>
      <w:pPr>
        <w:spacing w:after="60"/>
      </w:pPr>
    </w:p>
    <w:p>
      <w:pPr>
        <w:keepNext w:val="false"/>
        <w:spacing w:after="100" w:before="100" w:line="264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(a) 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[4 pts]  </w:t>
      </w:r>
      <w:r>
        <w:rPr>
          <w:rFonts w:ascii="Calibri" w:cs="Calibri" w:eastAsia="Calibri" w:hAnsi="Calibri"/>
          <w:sz w:val="22"/>
          <w:szCs w:val="22"/>
        </w:rPr>
        <w:t xml:space="preserve">Crude coefficient of T: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3.242</w:t>
      </w:r>
      <w:r>
        <w:rPr>
          <w:rFonts w:ascii="Calibri" w:cs="Calibri" w:eastAsia="Calibri" w:hAnsi="Calibri"/>
          <w:sz w:val="22"/>
          <w:szCs w:val="22"/>
        </w:rPr>
        <w:t xml:space="preserve"> (SE 0.048).</w:t>
      </w:r>
    </w:p>
    <w:p>
      <w:pPr>
        <w:keepNext w:val="false"/>
        <w:spacing w:after="100" w:before="100" w:line="264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(b) 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[4 pts]  </w:t>
      </w:r>
      <w:r>
        <w:rPr>
          <w:rFonts w:ascii="Calibri" w:cs="Calibri" w:eastAsia="Calibri" w:hAnsi="Calibri"/>
          <w:sz w:val="22"/>
          <w:szCs w:val="22"/>
        </w:rPr>
        <w:t xml:space="preserve">Adjusted coefficient of T: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1.985</w:t>
      </w:r>
      <w:r>
        <w:rPr>
          <w:rFonts w:ascii="Calibri" w:cs="Calibri" w:eastAsia="Calibri" w:hAnsi="Calibri"/>
          <w:sz w:val="22"/>
          <w:szCs w:val="22"/>
        </w:rPr>
        <w:t xml:space="preserve"> (SE 0.031).</w:t>
      </w:r>
    </w:p>
    <w:p>
      <w:pPr>
        <w:keepNext w:val="false"/>
        <w:spacing w:after="100" w:before="100" w:line="264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(c) 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[4 pts]  </w:t>
      </w:r>
      <w:r>
        <w:rPr>
          <w:rFonts w:ascii="Calibri" w:cs="Calibri" w:eastAsia="Calibri" w:hAnsi="Calibri"/>
          <w:sz w:val="22"/>
          <w:szCs w:val="22"/>
        </w:rPr>
        <w:t xml:space="preserve">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adjusted</w:t>
      </w:r>
      <w:r>
        <w:rPr>
          <w:rFonts w:ascii="Calibri" w:cs="Calibri" w:eastAsia="Calibri" w:hAnsi="Calibri"/>
          <w:sz w:val="22"/>
          <w:szCs w:val="22"/>
        </w:rPr>
        <w:t xml:space="preserve"> estimate is closer to the truth (2): error −0.015, versus +1.242 for the crude estimate.</w:t>
      </w:r>
    </w:p>
    <w:p>
      <w:pPr>
        <w:keepNext w:val="false"/>
        <w:spacing w:after="100" w:before="100" w:line="264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(d) 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[4 pts]  </w:t>
      </w:r>
      <w:r>
        <w:rPr>
          <w:rFonts w:ascii="Calibri" w:cs="Calibri" w:eastAsia="Calibri" w:hAnsi="Calibri"/>
          <w:sz w:val="22"/>
          <w:szCs w:val="22"/>
        </w:rPr>
        <w:t xml:space="preserve">In the DAG C → T, C → Y, T → Y, the backdoor path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 ← C → Y</w:t>
      </w:r>
      <w:r>
        <w:rPr>
          <w:rFonts w:ascii="Calibri" w:cs="Calibri" w:eastAsia="Calibri" w:hAnsi="Calibri"/>
          <w:sz w:val="22"/>
          <w:szCs w:val="22"/>
        </w:rPr>
        <w:t xml:space="preserve"> is open in the crude model. Higher C raises the chance of treatment and raises Y (1.5 per unit), so treated students have higher C on average (mean 0.45 vs. −0.39) and would have higher Y even without treatment. Crude estimate = causal effect + confounding bias ≈ 2 + 1.24 = 3.24. Adjusting for C blocks the backdoor path and leaves only T → Y, so the estimate is ≈ 2 (up to sampling error).</w:t>
      </w:r>
    </w:p>
    <w:p>
      <w:pPr>
        <w:keepNext w:val="false"/>
        <w:spacing w:after="100" w:before="100" w:line="264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(e) 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[4 pts]  </w:t>
      </w:r>
      <w:r>
        <w:rPr>
          <w:rFonts w:ascii="Calibri" w:cs="Calibri" w:eastAsia="Calibri" w:hAnsi="Calibri"/>
          <w:sz w:val="22"/>
          <w:szCs w:val="22"/>
        </w:rPr>
        <w:t xml:space="preserve">Rerunning with the new outcome equation (same seed, so C and T are unchanged):</w:t>
      </w:r>
    </w:p>
    <w:p>
      <w:pPr>
        <w:keepNext w:val="false"/>
        <w:pBdr>
          <w:left w:val="single" w:color="9AA5B1" w:sz="12" w:space="6"/>
        </w:pBdr>
        <w:shd w:fill="F3F3F3" w:val="clear"/>
        <w:spacing w:after="0" w:line="24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Y &lt;- -1*T + 1.5*C + rnorm(n)</w:t>
      </w:r>
    </w:p>
    <w:p>
      <w:pPr>
        <w:spacing w:after="60"/>
      </w:pPr>
    </w:p>
    <w:tbl>
      <w:tblPr>
        <w:tblW w:type="dxa" w:w="93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900"/>
        <w:gridCol w:w="2280"/>
        <w:gridCol w:w="2280"/>
      </w:tblGrid>
      <w:tr>
        <w:trPr>
          <w:cantSplit/>
          <w:tblHeader/>
        </w:trPr>
        <w:tc>
          <w:tcPr>
            <w:tcW w:type="dxa" w:w="2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Outcome equation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True effect</w:t>
            </w:r>
          </w:p>
        </w:tc>
        <w:tc>
          <w:tcPr>
            <w:tcW w:type="dxa" w:w="228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Crude (Y ~ T)</w:t>
            </w:r>
          </w:p>
        </w:tc>
        <w:tc>
          <w:tcPr>
            <w:tcW w:type="dxa" w:w="228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Adjusted (Y ~ T + C)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 =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T + 1.5C + ε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228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3.242</w:t>
            </w:r>
          </w:p>
        </w:tc>
        <w:tc>
          <w:tcPr>
            <w:tcW w:type="dxa" w:w="228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1.985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Y = </w:t>
            </w: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−1</w:t>
            </w:r>
            <w:r>
              <w:rPr>
                <w:rFonts w:ascii="Calibri" w:cs="Calibri" w:eastAsia="Calibri" w:hAnsi="Calibri"/>
                <w:sz w:val="20"/>
                <w:szCs w:val="20"/>
              </w:rPr>
              <w:t xml:space="preserve">T + 1.5C + ε</w:t>
            </w:r>
          </w:p>
        </w:tc>
        <w:tc>
          <w:tcPr>
            <w:tcW w:type="dxa" w:w="19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−1</w:t>
            </w:r>
          </w:p>
        </w:tc>
        <w:tc>
          <w:tcPr>
            <w:tcW w:type="dxa" w:w="228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0.242</w:t>
            </w:r>
          </w:p>
        </w:tc>
        <w:tc>
          <w:tcPr>
            <w:tcW w:type="dxa" w:w="228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−1.015</w:t>
            </w:r>
          </w:p>
        </w:tc>
      </w:tr>
    </w:tbl>
    <w:p>
      <w:pPr>
        <w:spacing w:after="60"/>
      </w:pPr>
    </w:p>
    <w:p>
      <w:pPr>
        <w:spacing w:after="10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No: confounding does not necessarily bias an estimate away from zero.</w:t>
      </w:r>
      <w:r>
        <w:rPr>
          <w:rFonts w:ascii="Calibri" w:cs="Calibri" w:eastAsia="Calibri" w:hAnsi="Calibri"/>
          <w:sz w:val="22"/>
          <w:szCs w:val="22"/>
        </w:rPr>
        <w:t xml:space="preserve"> The bias is the same (+1.24) in both runs because it depends only on how C relates to T and Y (both positive), not on the true effect. With a true effect of −1, that upward bias pulls the crude estimate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toward zero and past it</w:t>
      </w:r>
      <w:r>
        <w:rPr>
          <w:rFonts w:ascii="Calibri" w:cs="Calibri" w:eastAsia="Calibri" w:hAnsi="Calibri"/>
          <w:sz w:val="22"/>
          <w:szCs w:val="22"/>
        </w:rPr>
        <w:t xml:space="preserve">, to +0.24, so the sign is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reversed</w:t>
      </w:r>
      <w:r>
        <w:rPr>
          <w:rFonts w:ascii="Calibri" w:cs="Calibri" w:eastAsia="Calibri" w:hAnsi="Calibri"/>
          <w:sz w:val="22"/>
          <w:szCs w:val="22"/>
        </w:rPr>
        <w:t xml:space="preserve">. Confounding can inflate, shrink, mask, or reverse an effect, depending on the signs of the C–T and C–Y relationships. Adjusting for C recovers the truth in both cases.</w:t>
      </w:r>
    </w:p>
    <w:p>
      <w:pPr>
        <w:keepNext/>
        <w:pBdr>
          <w:bottom w:val="single" w:color="1F3864" w:sz="8" w:space="2"/>
        </w:pBdr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6"/>
          <w:szCs w:val="26"/>
        </w:rPr>
        <w:t xml:space="preserve">Problem 5: UC Berkeley Admissions (1973)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 (20 points)</w:t>
      </w:r>
    </w:p>
    <w:p>
      <w:pPr>
        <w:keepNext/>
        <w:pBdr>
          <w:left w:val="single" w:color="9AA5B1" w:sz="12" w:space="6"/>
        </w:pBdr>
        <w:shd w:fill="F3F3F3" w:val="clear"/>
        <w:spacing w:after="0" w:line="24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library(dplyr); library(ggplot2)</w:t>
      </w:r>
    </w:p>
    <w:p>
      <w:pPr>
        <w:keepNext/>
        <w:pBdr>
          <w:left w:val="single" w:color="9AA5B1" w:sz="12" w:space="6"/>
        </w:pBdr>
        <w:shd w:fill="F3F3F3" w:val="clear"/>
        <w:spacing w:after="0" w:line="24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data(UCBAdmissions); ucb &lt;- as.data.frame(UCBAdmissions)</w:t>
      </w:r>
    </w:p>
    <w:p>
      <w:pPr>
        <w:keepNext/>
        <w:pBdr>
          <w:left w:val="single" w:color="9AA5B1" w:sz="12" w:space="6"/>
        </w:pBdr>
        <w:shd w:fill="F3F3F3" w:val="clear"/>
        <w:spacing w:after="0" w:line="24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# (a) overall rates by gender</w:t>
      </w:r>
    </w:p>
    <w:p>
      <w:pPr>
        <w:keepNext/>
        <w:pBdr>
          <w:left w:val="single" w:color="9AA5B1" w:sz="12" w:space="6"/>
        </w:pBdr>
        <w:shd w:fill="F3F3F3" w:val="clear"/>
        <w:spacing w:after="0" w:line="24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ucb %&gt;% group_by(Gender) %&gt;% summarise(applicants = sum(Freq),</w:t>
      </w:r>
    </w:p>
    <w:p>
      <w:pPr>
        <w:keepNext/>
        <w:pBdr>
          <w:left w:val="single" w:color="9AA5B1" w:sz="12" w:space="6"/>
        </w:pBdr>
        <w:shd w:fill="F3F3F3" w:val="clear"/>
        <w:spacing w:after="0" w:line="24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admitted = sum(Freq[Admit == 'Admitted']), admission_rate = admitted / applicants)</w:t>
      </w:r>
    </w:p>
    <w:p>
      <w:pPr>
        <w:keepNext/>
        <w:pBdr>
          <w:left w:val="single" w:color="9AA5B1" w:sz="12" w:space="6"/>
        </w:pBdr>
        <w:shd w:fill="F3F3F3" w:val="clear"/>
        <w:spacing w:after="0" w:line="24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# (b) rates by department and gender</w:t>
      </w:r>
    </w:p>
    <w:p>
      <w:pPr>
        <w:keepNext/>
        <w:pBdr>
          <w:left w:val="single" w:color="9AA5B1" w:sz="12" w:space="6"/>
        </w:pBdr>
        <w:shd w:fill="F3F3F3" w:val="clear"/>
        <w:spacing w:after="0" w:line="24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dept_rates &lt;- ucb %&gt;% group_by(Dept, Gender) %&gt;% summarise(applicants = sum(Freq),</w:t>
      </w:r>
    </w:p>
    <w:p>
      <w:pPr>
        <w:keepNext/>
        <w:pBdr>
          <w:left w:val="single" w:color="9AA5B1" w:sz="12" w:space="6"/>
        </w:pBdr>
        <w:shd w:fill="F3F3F3" w:val="clear"/>
        <w:spacing w:after="0" w:line="24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admitted = sum(Freq[Admit == 'Admitted']), admission_rate = admitted / applicants,</w:t>
      </w:r>
    </w:p>
    <w:p>
      <w:pPr>
        <w:keepNext/>
        <w:pBdr>
          <w:left w:val="single" w:color="9AA5B1" w:sz="12" w:space="6"/>
        </w:pBdr>
        <w:shd w:fill="F3F3F3" w:val="clear"/>
        <w:spacing w:after="0" w:line="24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.groups = 'drop')</w:t>
      </w:r>
    </w:p>
    <w:p>
      <w:pPr>
        <w:keepNext/>
        <w:pBdr>
          <w:left w:val="single" w:color="9AA5B1" w:sz="12" w:space="6"/>
        </w:pBdr>
        <w:shd w:fill="F3F3F3" w:val="clear"/>
        <w:spacing w:after="0" w:line="24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# (c) figure</w:t>
      </w:r>
    </w:p>
    <w:p>
      <w:pPr>
        <w:keepNext/>
        <w:pBdr>
          <w:left w:val="single" w:color="9AA5B1" w:sz="12" w:space="6"/>
        </w:pBdr>
        <w:shd w:fill="F3F3F3" w:val="clear"/>
        <w:spacing w:after="0" w:line="24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ggplot(dept_rates, aes(x = Dept, y = admission_rate, fill = Gender)) +</w:t>
      </w:r>
    </w:p>
    <w:p>
      <w:pPr>
        <w:keepNext/>
        <w:pBdr>
          <w:left w:val="single" w:color="9AA5B1" w:sz="12" w:space="6"/>
        </w:pBdr>
        <w:shd w:fill="F3F3F3" w:val="clear"/>
        <w:spacing w:after="0" w:line="24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geom_col(position = 'dodge') + labs(x = 'Department', y = 'Admission Rate',</w:t>
      </w:r>
    </w:p>
    <w:p>
      <w:pPr>
        <w:keepNext w:val="false"/>
        <w:pBdr>
          <w:left w:val="single" w:color="9AA5B1" w:sz="12" w:space="6"/>
        </w:pBdr>
        <w:shd w:fill="F3F3F3" w:val="clear"/>
        <w:spacing w:after="0" w:line="240"/>
        <w:ind w:left="160"/>
      </w:pPr>
      <w:r>
        <w:rPr>
          <w:rFonts w:ascii="Consolas" w:cs="Consolas" w:eastAsia="Consolas" w:hAnsi="Consolas"/>
          <w:sz w:val="18"/>
          <w:szCs w:val="18"/>
        </w:rPr>
        <w:t xml:space="preserve">  title = 'UC Berkeley Admission Rates by Department and Gender')</w:t>
      </w:r>
    </w:p>
    <w:p>
      <w:pPr>
        <w:spacing w:after="60"/>
      </w:pPr>
    </w:p>
    <w:p>
      <w:pPr>
        <w:keepNext w:val="false"/>
        <w:spacing w:after="100" w:before="100" w:line="264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(a) 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[4 pts]  </w:t>
      </w:r>
      <w:r>
        <w:rPr>
          <w:rFonts w:ascii="Calibri" w:cs="Calibri" w:eastAsia="Calibri" w:hAnsi="Calibri"/>
          <w:sz w:val="22"/>
          <w:szCs w:val="22"/>
        </w:rPr>
        <w:t xml:space="preserve">Overall, men were admitted at a much higher rate:</w:t>
      </w:r>
    </w:p>
    <w:tbl>
      <w:tblPr>
        <w:tblW w:type="dxa" w:w="8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2400"/>
      </w:tblGrid>
      <w:tr>
        <w:trPr>
          <w:cantSplit/>
          <w:tblHeader/>
        </w:trPr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Gender</w:t>
            </w:r>
          </w:p>
        </w:tc>
        <w:tc>
          <w:tcPr>
            <w:tcW w:type="dxa" w:w="2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Applicants</w:t>
            </w:r>
          </w:p>
        </w:tc>
        <w:tc>
          <w:tcPr>
            <w:tcW w:type="dxa" w:w="2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Admitted</w:t>
            </w:r>
          </w:p>
        </w:tc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Admission rate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Male</w:t>
            </w:r>
          </w:p>
        </w:tc>
        <w:tc>
          <w:tcPr>
            <w:tcW w:type="dxa" w:w="2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2,691</w:t>
            </w:r>
          </w:p>
        </w:tc>
        <w:tc>
          <w:tcPr>
            <w:tcW w:type="dxa" w:w="2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1,198</w:t>
            </w:r>
          </w:p>
        </w:tc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44.5%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Female</w:t>
            </w:r>
          </w:p>
        </w:tc>
        <w:tc>
          <w:tcPr>
            <w:tcW w:type="dxa" w:w="2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1,835</w:t>
            </w:r>
          </w:p>
        </w:tc>
        <w:tc>
          <w:tcPr>
            <w:tcW w:type="dxa" w:w="22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557</w:t>
            </w:r>
          </w:p>
        </w:tc>
        <w:tc>
          <w:tcPr>
            <w:tcW w:type="dxa" w:w="24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30.4%</w:t>
            </w:r>
          </w:p>
        </w:tc>
      </w:tr>
    </w:tbl>
    <w:p>
      <w:pPr>
        <w:spacing w:after="60"/>
      </w:pPr>
    </w:p>
    <w:p>
      <w:pPr>
        <w:keepNext w:val="false"/>
        <w:spacing w:after="100" w:before="100" w:line="264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(b) 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[4 pts]  </w:t>
      </w:r>
      <w:r>
        <w:rPr>
          <w:rFonts w:ascii="Calibri" w:cs="Calibri" w:eastAsia="Calibri" w:hAnsi="Calibri"/>
          <w:sz w:val="22"/>
          <w:szCs w:val="22"/>
        </w:rPr>
        <w:t xml:space="preserve">Rates by department and gender:</w:t>
      </w:r>
    </w:p>
    <w:tbl>
      <w:tblPr>
        <w:tblW w:type="dxa" w:w="936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650"/>
        <w:gridCol w:w="1650"/>
        <w:gridCol w:w="1650"/>
        <w:gridCol w:w="1650"/>
        <w:gridCol w:w="1660"/>
      </w:tblGrid>
      <w:tr>
        <w:trPr>
          <w:cantSplit/>
          <w:tblHeader/>
        </w:trPr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Dept</w:t>
            </w:r>
          </w:p>
        </w:tc>
        <w:tc>
          <w:tcPr>
            <w:tcW w:type="dxa" w:w="16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Male applicants</w:t>
            </w:r>
          </w:p>
        </w:tc>
        <w:tc>
          <w:tcPr>
            <w:tcW w:type="dxa" w:w="16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Male rate</w:t>
            </w:r>
          </w:p>
        </w:tc>
        <w:tc>
          <w:tcPr>
            <w:tcW w:type="dxa" w:w="16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Female applicants</w:t>
            </w:r>
          </w:p>
        </w:tc>
        <w:tc>
          <w:tcPr>
            <w:tcW w:type="dxa" w:w="16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Female rate</w:t>
            </w:r>
          </w:p>
        </w:tc>
        <w:tc>
          <w:tcPr>
            <w:tcW w:type="dxa" w:w="166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1F3864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Higher rate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A</w:t>
            </w:r>
          </w:p>
        </w:tc>
        <w:tc>
          <w:tcPr>
            <w:tcW w:type="dxa" w:w="16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825</w:t>
            </w:r>
          </w:p>
        </w:tc>
        <w:tc>
          <w:tcPr>
            <w:tcW w:type="dxa" w:w="16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62.1%</w:t>
            </w:r>
          </w:p>
        </w:tc>
        <w:tc>
          <w:tcPr>
            <w:tcW w:type="dxa" w:w="16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108</w:t>
            </w:r>
          </w:p>
        </w:tc>
        <w:tc>
          <w:tcPr>
            <w:tcW w:type="dxa" w:w="16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82.4%</w:t>
            </w:r>
          </w:p>
        </w:tc>
        <w:tc>
          <w:tcPr>
            <w:tcW w:type="dxa" w:w="166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Female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B</w:t>
            </w:r>
          </w:p>
        </w:tc>
        <w:tc>
          <w:tcPr>
            <w:tcW w:type="dxa" w:w="16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560</w:t>
            </w:r>
          </w:p>
        </w:tc>
        <w:tc>
          <w:tcPr>
            <w:tcW w:type="dxa" w:w="16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63.0%</w:t>
            </w:r>
          </w:p>
        </w:tc>
        <w:tc>
          <w:tcPr>
            <w:tcW w:type="dxa" w:w="16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25</w:t>
            </w:r>
          </w:p>
        </w:tc>
        <w:tc>
          <w:tcPr>
            <w:tcW w:type="dxa" w:w="16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68.0%</w:t>
            </w:r>
          </w:p>
        </w:tc>
        <w:tc>
          <w:tcPr>
            <w:tcW w:type="dxa" w:w="166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Female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</w:t>
            </w:r>
          </w:p>
        </w:tc>
        <w:tc>
          <w:tcPr>
            <w:tcW w:type="dxa" w:w="16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325</w:t>
            </w:r>
          </w:p>
        </w:tc>
        <w:tc>
          <w:tcPr>
            <w:tcW w:type="dxa" w:w="16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36.9%</w:t>
            </w:r>
          </w:p>
        </w:tc>
        <w:tc>
          <w:tcPr>
            <w:tcW w:type="dxa" w:w="16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593</w:t>
            </w:r>
          </w:p>
        </w:tc>
        <w:tc>
          <w:tcPr>
            <w:tcW w:type="dxa" w:w="16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34.1%</w:t>
            </w:r>
          </w:p>
        </w:tc>
        <w:tc>
          <w:tcPr>
            <w:tcW w:type="dxa" w:w="166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Male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</w:t>
            </w:r>
          </w:p>
        </w:tc>
        <w:tc>
          <w:tcPr>
            <w:tcW w:type="dxa" w:w="16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417</w:t>
            </w:r>
          </w:p>
        </w:tc>
        <w:tc>
          <w:tcPr>
            <w:tcW w:type="dxa" w:w="16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33.1%</w:t>
            </w:r>
          </w:p>
        </w:tc>
        <w:tc>
          <w:tcPr>
            <w:tcW w:type="dxa" w:w="16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375</w:t>
            </w:r>
          </w:p>
        </w:tc>
        <w:tc>
          <w:tcPr>
            <w:tcW w:type="dxa" w:w="16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34.9%</w:t>
            </w:r>
          </w:p>
        </w:tc>
        <w:tc>
          <w:tcPr>
            <w:tcW w:type="dxa" w:w="166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Female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E</w:t>
            </w:r>
          </w:p>
        </w:tc>
        <w:tc>
          <w:tcPr>
            <w:tcW w:type="dxa" w:w="16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191</w:t>
            </w:r>
          </w:p>
        </w:tc>
        <w:tc>
          <w:tcPr>
            <w:tcW w:type="dxa" w:w="16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27.7%</w:t>
            </w:r>
          </w:p>
        </w:tc>
        <w:tc>
          <w:tcPr>
            <w:tcW w:type="dxa" w:w="16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393</w:t>
            </w:r>
          </w:p>
        </w:tc>
        <w:tc>
          <w:tcPr>
            <w:tcW w:type="dxa" w:w="16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23.9%</w:t>
            </w:r>
          </w:p>
        </w:tc>
        <w:tc>
          <w:tcPr>
            <w:tcW w:type="dxa" w:w="166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Male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left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</w:t>
            </w:r>
          </w:p>
        </w:tc>
        <w:tc>
          <w:tcPr>
            <w:tcW w:type="dxa" w:w="16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373</w:t>
            </w:r>
          </w:p>
        </w:tc>
        <w:tc>
          <w:tcPr>
            <w:tcW w:type="dxa" w:w="16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5.9%</w:t>
            </w:r>
          </w:p>
        </w:tc>
        <w:tc>
          <w:tcPr>
            <w:tcW w:type="dxa" w:w="16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341</w:t>
            </w:r>
          </w:p>
        </w:tc>
        <w:tc>
          <w:tcPr>
            <w:tcW w:type="dxa" w:w="165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7.0%</w:t>
            </w:r>
          </w:p>
        </w:tc>
        <w:tc>
          <w:tcPr>
            <w:tcW w:type="dxa" w:w="1660"/>
            <w:tcBorders>
              <w:top w:val="single" w:color="B7B7B7" w:sz="4"/>
              <w:left w:val="single" w:color="B7B7B7" w:sz="4"/>
              <w:bottom w:val="single" w:color="B7B7B7" w:sz="4"/>
              <w:right w:val="single" w:color="B7B7B7" w:sz="4"/>
            </w:tcBorders>
            <w:shd w:fill="F7F9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Female</w:t>
            </w:r>
          </w:p>
        </w:tc>
      </w:tr>
    </w:tbl>
    <w:p>
      <w:pPr>
        <w:spacing w:after="60"/>
      </w:pPr>
    </w:p>
    <w:p>
      <w:pPr>
        <w:spacing w:after="10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Pattern:</w:t>
      </w:r>
      <w:r>
        <w:rPr>
          <w:rFonts w:ascii="Calibri" w:cs="Calibri" w:eastAsia="Calibri" w:hAnsi="Calibri"/>
          <w:sz w:val="22"/>
          <w:szCs w:val="22"/>
        </w:rPr>
        <w:t xml:space="preserve"> within departments the rates are similar, and women are admitted at a higher rate in four of six departments (A, B, D, F; largest gap in A: 82.4% vs. 62.1%). Men lead only in C and E, by about 3–4 points. There is no consistent disadvantage for women, so the overall gap reverses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Simpson’s paradox</w:t>
      </w:r>
      <w:r>
        <w:rPr>
          <w:rFonts w:ascii="Calibri" w:cs="Calibri" w:eastAsia="Calibri" w:hAnsi="Calibri"/>
          <w:sz w:val="22"/>
          <w:szCs w:val="22"/>
        </w:rPr>
        <w:t xml:space="preserve">). Departments differ sharply in selectivity, from about 64% (A) to 6% (F).</w:t>
      </w:r>
    </w:p>
    <w:p>
      <w:pPr>
        <w:keepNext/>
        <w:spacing w:after="100" w:before="100" w:line="264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(c) 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[4 pts]  </w:t>
      </w:r>
      <w:r>
        <w:rPr>
          <w:rFonts w:ascii="Calibri" w:cs="Calibri" w:eastAsia="Calibri" w:hAnsi="Calibri"/>
          <w:sz w:val="22"/>
          <w:szCs w:val="22"/>
        </w:rPr>
        <w:t xml:space="preserve">Admission rates by department and gender (Figure 2).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120640" cy="3072384"/>
            <wp:effectExtent t="0" r="0" b="0" l="0"/>
            <wp:docPr id="1" name="ucb_plot.png" descr="ucb_plot.png" title="ucb_plo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3072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Figure 2.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UC Berkeley admission rates by department and gender.</w:t>
      </w:r>
    </w:p>
    <w:p>
      <w:pPr>
        <w:keepNext w:val="false"/>
        <w:spacing w:after="100" w:before="100" w:line="264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(d) 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[4 pts]  </w:t>
      </w:r>
      <w:r>
        <w:rPr>
          <w:rFonts w:ascii="Calibri" w:cs="Calibri" w:eastAsia="Calibri" w:hAnsi="Calibri"/>
          <w:sz w:val="22"/>
          <w:szCs w:val="22"/>
        </w:rPr>
        <w:t xml:space="preserve">The overall rate is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weighted average</w:t>
      </w:r>
      <w:r>
        <w:rPr>
          <w:rFonts w:ascii="Calibri" w:cs="Calibri" w:eastAsia="Calibri" w:hAnsi="Calibri"/>
          <w:sz w:val="22"/>
          <w:szCs w:val="22"/>
        </w:rPr>
        <w:t xml:space="preserve"> of department rates, weighted by where each group applied. Two things differ across groups:</w:t>
      </w:r>
    </w:p>
    <w:p>
      <w:pPr>
        <w:pStyle w:val="ListParagraph"/>
        <w:numPr>
          <w:ilvl w:val="0"/>
          <w:numId w:val="3"/>
        </w:numPr>
        <w:spacing w:after="60" w:line="259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Departments differ in selectivity.</w:t>
      </w:r>
      <w:r>
        <w:rPr>
          <w:rFonts w:ascii="Calibri" w:cs="Calibri" w:eastAsia="Calibri" w:hAnsi="Calibri"/>
          <w:sz w:val="22"/>
          <w:szCs w:val="22"/>
        </w:rPr>
        <w:t xml:space="preserve"> Overall admission is about 63–64% in A and B, 25–35% in C–E, and 6% in F.</w:t>
      </w:r>
    </w:p>
    <w:p>
      <w:pPr>
        <w:pStyle w:val="ListParagraph"/>
        <w:numPr>
          <w:ilvl w:val="0"/>
          <w:numId w:val="3"/>
        </w:numPr>
        <w:spacing w:after="60" w:line="259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Men and women applied to different departments.</w:t>
      </w:r>
      <w:r>
        <w:rPr>
          <w:rFonts w:ascii="Calibri" w:cs="Calibri" w:eastAsia="Calibri" w:hAnsi="Calibri"/>
          <w:sz w:val="22"/>
          <w:szCs w:val="22"/>
        </w:rPr>
        <w:t xml:space="preserve"> 51% of male applicants applied to the easy departments A and B, versus 7% of female applicants. 72% of female applicants applied to the selective C, E, and F, versus 33% of male applicants.</w:t>
      </w:r>
    </w:p>
    <w:p>
      <w:pPr>
        <w:spacing w:after="100" w:line="264"/>
      </w:pPr>
      <w:r>
        <w:rPr>
          <w:rFonts w:ascii="Calibri" w:cs="Calibri" w:eastAsia="Calibri" w:hAnsi="Calibri"/>
          <w:sz w:val="22"/>
          <w:szCs w:val="22"/>
        </w:rPr>
        <w:t xml:space="preserve">So men’s overall rate is weighted toward high-admit departments and women’s toward low-admit ones, producing 44.5% vs. 30.4% even though within-department rates are similar or favor women. With both genders given the same department mix, the standardized rates are 38.7% (men) and 43.0% (women), and the gap disappears.</w:t>
      </w:r>
    </w:p>
    <w:p>
      <w:pPr>
        <w:keepNext w:val="false"/>
        <w:spacing w:after="100" w:before="100" w:line="264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(e) </w:t>
      </w:r>
      <w:r>
        <w:rPr>
          <w:rFonts w:ascii="Calibri" w:cs="Calibri" w:eastAsia="Calibri" w:hAnsi="Calibri"/>
          <w:color w:val="888888"/>
          <w:sz w:val="18"/>
          <w:szCs w:val="18"/>
        </w:rPr>
        <w:t xml:space="preserve">[4 pts]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Not justified.</w:t>
      </w:r>
      <w:r>
        <w:rPr>
          <w:rFonts w:ascii="Calibri" w:cs="Calibri" w:eastAsia="Calibri" w:hAnsi="Calibri"/>
          <w:sz w:val="22"/>
          <w:szCs w:val="22"/>
        </w:rPr>
        <w:t xml:space="preserve"> A change in the estimate after adjustment shows only that the variable is associated with both gender and admission. A confounder, a mediator, and a collider can each change an estimate, and the data alone cannot say which one Department is (adjustment does not reveal causal role).</w:t>
      </w:r>
    </w:p>
    <w:p>
      <w:pPr>
        <w:spacing w:after="100" w:line="264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Department is unlikely to be a confounder.</w:t>
      </w:r>
      <w:r>
        <w:rPr>
          <w:rFonts w:ascii="Calibri" w:cs="Calibri" w:eastAsia="Calibri" w:hAnsi="Calibri"/>
          <w:sz w:val="22"/>
          <w:szCs w:val="22"/>
        </w:rPr>
        <w:t xml:space="preserve"> A confounder is a common cause of exposure and outcome (Gender ← Dept → Admit). An applicant’s gender is not caused by the department they choose. A more plausible DAG is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Gender → Dept → Admit</w:t>
      </w:r>
      <w:r>
        <w:rPr>
          <w:rFonts w:ascii="Calibri" w:cs="Calibri" w:eastAsia="Calibri" w:hAnsi="Calibri"/>
          <w:sz w:val="22"/>
          <w:szCs w:val="22"/>
        </w:rPr>
        <w:t xml:space="preserve">, with a possible direct arrow Gender → Admit (bias in admissions). Then Dept is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mediator</w:t>
      </w:r>
      <w:r>
        <w:rPr>
          <w:rFonts w:ascii="Calibri" w:cs="Calibri" w:eastAsia="Calibri" w:hAnsi="Calibri"/>
          <w:sz w:val="22"/>
          <w:szCs w:val="22"/>
        </w:rPr>
        <w:t xml:space="preserve">: adjusting for it estimates the direct effect, not the total effect. If unmeasured factors U (e.g., preparation, interests) also affect Dept and Admit, Dept is additionally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collider</w:t>
      </w:r>
      <w:r>
        <w:rPr>
          <w:rFonts w:ascii="Calibri" w:cs="Calibri" w:eastAsia="Calibri" w:hAnsi="Calibri"/>
          <w:sz w:val="22"/>
          <w:szCs w:val="22"/>
        </w:rPr>
        <w:t xml:space="preserve"> (Gender → Dept ← U → Admit), and conditioning on it opens a bias path.</w:t>
      </w:r>
    </w:p>
    <w:p>
      <w:pPr>
        <w:spacing w:after="100" w:line="264"/>
      </w:pPr>
      <w:r>
        <w:rPr>
          <w:rFonts w:ascii="Calibri" w:cs="Calibri" w:eastAsia="Calibri" w:hAnsi="Calibri"/>
          <w:sz w:val="22"/>
          <w:szCs w:val="22"/>
        </w:rPr>
        <w:t xml:space="preserve">To justify treating Dept as a confounder we would need to assume: (i) Dept precedes gender and causes it (Dept → Gender), which is implausible; (ii) Dept → Admit; and (iii) no other open backdoor paths (no unmeasured confounding), plus positivity and consistency. These come from subject-matter knowledge and study design, not from the data.</w:t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STAT 7900 – Assignment 1   |   Page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45fa72edc29e6651b49aced54cbcfdfc28efcbfa.png"/><Relationship Id="rId9" Type="http://schemas.openxmlformats.org/officeDocument/2006/relationships/image" Target="media/ec7d2b5d385845263d9a18947a2c8bb3f25bff8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 7900 Assignment 1</dc:title>
  <dc:creator>Faruk Murital</dc:creator>
  <cp:lastModifiedBy>Un-named</cp:lastModifiedBy>
  <cp:revision>1</cp:revision>
  <dcterms:created xsi:type="dcterms:W3CDTF">2026-09-20T12:00:38.629Z</dcterms:created>
  <dcterms:modified xsi:type="dcterms:W3CDTF">2026-09-20T12:00:38.629Z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