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777777"/>
          <w:sz w:val="22"/>
          <w:szCs w:val="22"/>
        </w:rPr>
        <w:t xml:space="preserve">Study Notes</w:t>
      </w:r>
    </w:p>
    <w:p>
      <w:pPr>
        <w:spacing w:after="60"/>
        <w:jc w:val="center"/>
      </w:pPr>
      <w:r>
        <w:rPr>
          <w:rFonts w:ascii="Calibri" w:cs="Calibri" w:eastAsia="Calibri" w:hAnsi="Calibri"/>
          <w:b/>
          <w:bCs/>
          <w:color w:val="1F3864"/>
          <w:sz w:val="32"/>
          <w:szCs w:val="32"/>
        </w:rPr>
        <w:t xml:space="preserve">Propensity Scores, IPTW, and AIPTW: A Worked Example by Hand</w:t>
      </w:r>
    </w:p>
    <w:p>
      <w:pPr>
        <w:spacing w:after="30"/>
        <w:jc w:val="center"/>
      </w:pPr>
      <w:r>
        <w:rPr>
          <w:rFonts w:ascii="Calibri" w:cs="Calibri" w:eastAsia="Calibri" w:hAnsi="Calibri"/>
          <w:sz w:val="22"/>
          <w:szCs w:val="22"/>
        </w:rPr>
        <w:t xml:space="preserve">Faruk Muritala</w:t>
      </w:r>
    </w:p>
    <w:p>
      <w:pPr>
        <w:spacing w:after="260"/>
        <w:jc w:val="center"/>
      </w:pPr>
      <w:r>
        <w:rPr>
          <w:rFonts w:ascii="Calibri" w:cs="Calibri" w:eastAsia="Calibri" w:hAnsi="Calibri"/>
          <w:color w:val="444444"/>
          <w:sz w:val="20"/>
          <w:szCs w:val="20"/>
        </w:rPr>
        <w:t xml:space="preserve">STAT 7900 - Causal Analysis, Kennesaw State University</w:t>
      </w:r>
    </w:p>
    <w:p>
      <w:pPr>
        <w:pBdr>
          <w:top w:val="single" w:color="C1611A" w:sz="4" w:space="8"/>
          <w:bottom w:val="single" w:color="C1611A" w:sz="4" w:space="8"/>
          <w:left w:val="single" w:color="C1611A" w:sz="4" w:space="8"/>
          <w:right w:val="single" w:color="C1611A" w:sz="4" w:space="8"/>
        </w:pBdr>
        <w:shd w:fill="FBEFE3" w:val="clear"/>
        <w:spacing w:after="160" w:before="100"/>
      </w:pPr>
      <w:r>
        <w:rPr>
          <w:rFonts w:ascii="Calibri" w:cs="Calibri" w:eastAsia="Calibri" w:hAnsi="Calibri"/>
          <w:b/>
          <w:bCs/>
          <w:sz w:val="21"/>
          <w:szCs w:val="21"/>
        </w:rPr>
        <w:t xml:space="preserve">What this document is.</w:t>
      </w:r>
      <w:r>
        <w:rPr>
          <w:rFonts w:ascii="Calibri" w:cs="Calibri" w:eastAsia="Calibri" w:hAnsi="Calibri"/>
          <w:sz w:val="21"/>
          <w:szCs w:val="21"/>
        </w:rPr>
        <w:t xml:space="preserve"> A tiny, twelve-record toy dataset, small enough to check every number with a calculator, used to show exactly how a propensity score, an IPTW estimate, and an AIPTW (doubly robust) estimate are each computed. It exists to build intuition before these methods are run on the real 3.48-million-record extract. None of the numbers below are from the real analysis; the real proposal uses ten covariates, logistic regression, and millions of records. The mechanics are identical, only the scale differs.</w:t>
      </w:r>
    </w:p>
    <w:p>
      <w:pPr>
        <w:keepNext/>
        <w:pBdr>
          <w:bottom w:val="single" w:color="1F3864" w:sz="6" w:space="3"/>
        </w:pBdr>
        <w:spacing w:after="130" w:before="320"/>
      </w:pPr>
      <w:r>
        <w:rPr>
          <w:rFonts w:ascii="Calibri" w:cs="Calibri" w:eastAsia="Calibri" w:hAnsi="Calibri"/>
          <w:b/>
          <w:bCs/>
          <w:color w:val="1F3864"/>
          <w:sz w:val="26"/>
          <w:szCs w:val="26"/>
        </w:rPr>
        <w:t xml:space="preserve">1. The Toy Dataset</w:t>
      </w:r>
    </w:p>
    <w:p>
      <w:pPr>
        <w:spacing w:after="140" w:line="268"/>
        <w:jc w:val="both"/>
      </w:pPr>
      <w:r>
        <w:rPr>
          <w:rFonts w:ascii="Calibri" w:cs="Calibri" w:eastAsia="Calibri" w:hAnsi="Calibri"/>
          <w:sz w:val="22"/>
          <w:szCs w:val="22"/>
        </w:rPr>
        <w:t xml:space="preserve">Twelve hypothetical mothers, one binary covariate (education), the treatment (smoking), and the outcome (preterm birth). This mirrors the real question on a scale that can be checked by hand.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900"/>
        <w:gridCol w:w="2600"/>
      </w:tblGrid>
      <w:tr>
        <w:trPr>
          <w:tblHeader/>
        </w:trPr>
        <w:tc>
          <w:tcPr>
            <w:tcW w:type="dxa" w:w="9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ID</w:t>
            </w:r>
          </w:p>
        </w:tc>
        <w:tc>
          <w:tcPr>
            <w:tcW w:type="dxa" w:w="26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Education (X)</w:t>
            </w:r>
          </w:p>
        </w:tc>
        <w:tc>
          <w:tcPr>
            <w:tcW w:type="dxa" w:w="29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Smoking status (T)</w:t>
            </w:r>
          </w:p>
        </w:tc>
        <w:tc>
          <w:tcPr>
            <w:tcW w:type="dxa" w:w="26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Outcome (Y)</w:t>
            </w:r>
          </w:p>
        </w:tc>
      </w:tr>
      <w:tr>
        <w:tc>
          <w:tcPr>
            <w:tcW w:type="dxa" w:w="9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1</w:t>
            </w:r>
          </w:p>
        </w:tc>
        <w:tc>
          <w:tcPr>
            <w:tcW w:type="dxa" w:w="26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Low</w:t>
            </w:r>
          </w:p>
        </w:tc>
        <w:tc>
          <w:tcPr>
            <w:tcW w:type="dxa" w:w="29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Smoker</w:t>
            </w:r>
          </w:p>
        </w:tc>
        <w:tc>
          <w:tcPr>
            <w:tcW w:type="dxa" w:w="26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Preterm</w:t>
            </w:r>
          </w:p>
        </w:tc>
      </w:tr>
      <w:tr>
        <w:tc>
          <w:tcPr>
            <w:tcW w:type="dxa" w:w="9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2</w:t>
            </w:r>
          </w:p>
        </w:tc>
        <w:tc>
          <w:tcPr>
            <w:tcW w:type="dxa" w:w="26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Low</w:t>
            </w:r>
          </w:p>
        </w:tc>
        <w:tc>
          <w:tcPr>
            <w:tcW w:type="dxa" w:w="29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Smoker</w:t>
            </w:r>
          </w:p>
        </w:tc>
        <w:tc>
          <w:tcPr>
            <w:tcW w:type="dxa" w:w="26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Preterm</w:t>
            </w:r>
          </w:p>
        </w:tc>
      </w:tr>
      <w:tr>
        <w:tc>
          <w:tcPr>
            <w:tcW w:type="dxa" w:w="9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3</w:t>
            </w:r>
          </w:p>
        </w:tc>
        <w:tc>
          <w:tcPr>
            <w:tcW w:type="dxa" w:w="26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Low</w:t>
            </w:r>
          </w:p>
        </w:tc>
        <w:tc>
          <w:tcPr>
            <w:tcW w:type="dxa" w:w="29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Smoker</w:t>
            </w:r>
          </w:p>
        </w:tc>
        <w:tc>
          <w:tcPr>
            <w:tcW w:type="dxa" w:w="26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Preterm</w:t>
            </w:r>
          </w:p>
        </w:tc>
      </w:tr>
      <w:tr>
        <w:tc>
          <w:tcPr>
            <w:tcW w:type="dxa" w:w="9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4</w:t>
            </w:r>
          </w:p>
        </w:tc>
        <w:tc>
          <w:tcPr>
            <w:tcW w:type="dxa" w:w="26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Low</w:t>
            </w:r>
          </w:p>
        </w:tc>
        <w:tc>
          <w:tcPr>
            <w:tcW w:type="dxa" w:w="29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Smoker</w:t>
            </w:r>
          </w:p>
        </w:tc>
        <w:tc>
          <w:tcPr>
            <w:tcW w:type="dxa" w:w="26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Not preterm</w:t>
            </w:r>
          </w:p>
        </w:tc>
      </w:tr>
      <w:tr>
        <w:tc>
          <w:tcPr>
            <w:tcW w:type="dxa" w:w="9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5</w:t>
            </w:r>
          </w:p>
        </w:tc>
        <w:tc>
          <w:tcPr>
            <w:tcW w:type="dxa" w:w="26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Low</w:t>
            </w:r>
          </w:p>
        </w:tc>
        <w:tc>
          <w:tcPr>
            <w:tcW w:type="dxa" w:w="29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Non-smoker</w:t>
            </w:r>
          </w:p>
        </w:tc>
        <w:tc>
          <w:tcPr>
            <w:tcW w:type="dxa" w:w="26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Preterm</w:t>
            </w:r>
          </w:p>
        </w:tc>
      </w:tr>
      <w:tr>
        <w:tc>
          <w:tcPr>
            <w:tcW w:type="dxa" w:w="9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6</w:t>
            </w:r>
          </w:p>
        </w:tc>
        <w:tc>
          <w:tcPr>
            <w:tcW w:type="dxa" w:w="26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Low</w:t>
            </w:r>
          </w:p>
        </w:tc>
        <w:tc>
          <w:tcPr>
            <w:tcW w:type="dxa" w:w="29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Non-smoker</w:t>
            </w:r>
          </w:p>
        </w:tc>
        <w:tc>
          <w:tcPr>
            <w:tcW w:type="dxa" w:w="26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Not preterm</w:t>
            </w:r>
          </w:p>
        </w:tc>
      </w:tr>
      <w:tr>
        <w:tc>
          <w:tcPr>
            <w:tcW w:type="dxa" w:w="9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7</w:t>
            </w:r>
          </w:p>
        </w:tc>
        <w:tc>
          <w:tcPr>
            <w:tcW w:type="dxa" w:w="26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High</w:t>
            </w:r>
          </w:p>
        </w:tc>
        <w:tc>
          <w:tcPr>
            <w:tcW w:type="dxa" w:w="29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Smoker</w:t>
            </w:r>
          </w:p>
        </w:tc>
        <w:tc>
          <w:tcPr>
            <w:tcW w:type="dxa" w:w="26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Preterm</w:t>
            </w:r>
          </w:p>
        </w:tc>
      </w:tr>
      <w:tr>
        <w:tc>
          <w:tcPr>
            <w:tcW w:type="dxa" w:w="9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8</w:t>
            </w:r>
          </w:p>
        </w:tc>
        <w:tc>
          <w:tcPr>
            <w:tcW w:type="dxa" w:w="26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High</w:t>
            </w:r>
          </w:p>
        </w:tc>
        <w:tc>
          <w:tcPr>
            <w:tcW w:type="dxa" w:w="29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Smoker</w:t>
            </w:r>
          </w:p>
        </w:tc>
        <w:tc>
          <w:tcPr>
            <w:tcW w:type="dxa" w:w="26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Not preterm</w:t>
            </w:r>
          </w:p>
        </w:tc>
      </w:tr>
      <w:tr>
        <w:tc>
          <w:tcPr>
            <w:tcW w:type="dxa" w:w="9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9</w:t>
            </w:r>
          </w:p>
        </w:tc>
        <w:tc>
          <w:tcPr>
            <w:tcW w:type="dxa" w:w="26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High</w:t>
            </w:r>
          </w:p>
        </w:tc>
        <w:tc>
          <w:tcPr>
            <w:tcW w:type="dxa" w:w="29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Non-smoker</w:t>
            </w:r>
          </w:p>
        </w:tc>
        <w:tc>
          <w:tcPr>
            <w:tcW w:type="dxa" w:w="26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Preterm</w:t>
            </w:r>
          </w:p>
        </w:tc>
      </w:tr>
      <w:tr>
        <w:tc>
          <w:tcPr>
            <w:tcW w:type="dxa" w:w="9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10</w:t>
            </w:r>
          </w:p>
        </w:tc>
        <w:tc>
          <w:tcPr>
            <w:tcW w:type="dxa" w:w="26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High</w:t>
            </w:r>
          </w:p>
        </w:tc>
        <w:tc>
          <w:tcPr>
            <w:tcW w:type="dxa" w:w="29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Non-smoker</w:t>
            </w:r>
          </w:p>
        </w:tc>
        <w:tc>
          <w:tcPr>
            <w:tcW w:type="dxa" w:w="26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Not preterm</w:t>
            </w:r>
          </w:p>
        </w:tc>
      </w:tr>
      <w:tr>
        <w:tc>
          <w:tcPr>
            <w:tcW w:type="dxa" w:w="9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11</w:t>
            </w:r>
          </w:p>
        </w:tc>
        <w:tc>
          <w:tcPr>
            <w:tcW w:type="dxa" w:w="26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High</w:t>
            </w:r>
          </w:p>
        </w:tc>
        <w:tc>
          <w:tcPr>
            <w:tcW w:type="dxa" w:w="29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Non-smoker</w:t>
            </w:r>
          </w:p>
        </w:tc>
        <w:tc>
          <w:tcPr>
            <w:tcW w:type="dxa" w:w="26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Not preterm</w:t>
            </w:r>
          </w:p>
        </w:tc>
      </w:tr>
      <w:tr>
        <w:tc>
          <w:tcPr>
            <w:tcW w:type="dxa" w:w="9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12</w:t>
            </w:r>
          </w:p>
        </w:tc>
        <w:tc>
          <w:tcPr>
            <w:tcW w:type="dxa" w:w="26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High</w:t>
            </w:r>
          </w:p>
        </w:tc>
        <w:tc>
          <w:tcPr>
            <w:tcW w:type="dxa" w:w="29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Non-smoker</w:t>
            </w:r>
          </w:p>
        </w:tc>
        <w:tc>
          <w:tcPr>
            <w:tcW w:type="dxa" w:w="26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Not preterm</w:t>
            </w:r>
          </w:p>
        </w:tc>
      </w:tr>
    </w:tbl>
    <w:p>
      <w:pPr>
        <w:spacing w:after="160"/>
      </w:pPr>
    </w:p>
    <w:p>
      <w:pPr>
        <w:spacing w:after="140" w:line="268"/>
        <w:jc w:val="both"/>
      </w:pPr>
      <w:r>
        <w:rPr>
          <w:rFonts w:ascii="Calibri" w:cs="Calibri" w:eastAsia="Calibri" w:hAnsi="Calibri"/>
          <w:sz w:val="22"/>
          <w:szCs w:val="22"/>
        </w:rPr>
        <w:t xml:space="preserve">By construction, six mothers have low education and six have high education. Within low education, 4 of 6 smoke; within high education, only 2 of 6 smoke, so education is associated with smoking, exactly the kind of relationship the real 2023 extract shows (r = -0.128 between education and smoking). Education is also associated with the outcome on its own: mothers with low education have a higher baseline preterm rate regardless of smoking status. That second relationship is what makes education a confounder here, and it is what a naive comparison of smokers to non-smokers will get wrong.</w:t>
      </w:r>
    </w:p>
    <w:p>
      <w:pPr>
        <w:keepNext/>
        <w:pBdr>
          <w:bottom w:val="single" w:color="1F3864" w:sz="6" w:space="3"/>
        </w:pBdr>
        <w:spacing w:after="130" w:before="320"/>
      </w:pPr>
      <w:r>
        <w:rPr>
          <w:rFonts w:ascii="Calibri" w:cs="Calibri" w:eastAsia="Calibri" w:hAnsi="Calibri"/>
          <w:b/>
          <w:bCs/>
          <w:color w:val="1F3864"/>
          <w:sz w:val="26"/>
          <w:szCs w:val="26"/>
        </w:rPr>
        <w:t xml:space="preserve">2. Step 0: The Crude (Unadjusted) Comparison</w:t>
      </w:r>
    </w:p>
    <w:p>
      <w:pPr>
        <w:spacing w:after="140" w:line="268"/>
        <w:jc w:val="both"/>
      </w:pPr>
      <w:r>
        <w:rPr>
          <w:rFonts w:ascii="Calibri" w:cs="Calibri" w:eastAsia="Calibri" w:hAnsi="Calibri"/>
          <w:sz w:val="22"/>
          <w:szCs w:val="22"/>
        </w:rPr>
        <w:t xml:space="preserve">Ignoring education entirely and simply comparing all six smokers to all six non-smokers:</w:t>
      </w:r>
    </w:p>
    <w:p>
      <w:pPr>
        <w:spacing w:after="160" w:before="100"/>
        <w:jc w:val="center"/>
      </w:pPr>
      <w:r>
        <w:rPr>
          <w:rFonts w:ascii="Calibri" w:cs="Calibri" w:eastAsia="Calibri" w:hAnsi="Calibri"/>
          <w:i/>
          <w:iCs/>
          <w:color w:val="1F3864"/>
          <w:sz w:val="23"/>
          <w:szCs w:val="23"/>
        </w:rPr>
        <w:t xml:space="preserve">P(Y=1 | T=1) = 4/6 = 0.667          P(Y=1 | T=0) = 2/6 = 0.333</w:t>
      </w:r>
    </w:p>
    <w:p>
      <w:pPr>
        <w:spacing w:after="140" w:line="268"/>
        <w:jc w:val="both"/>
      </w:pPr>
      <w:r>
        <w:rPr>
          <w:rFonts w:ascii="Calibri" w:cs="Calibri" w:eastAsia="Calibri" w:hAnsi="Calibri"/>
          <w:b/>
          <w:bCs/>
          <w:sz w:val="22"/>
          <w:szCs w:val="22"/>
        </w:rPr>
        <w:t xml:space="preserve">Crude risk difference</w:t>
      </w:r>
      <w:r>
        <w:rPr>
          <w:rFonts w:ascii="Calibri" w:cs="Calibri" w:eastAsia="Calibri" w:hAnsi="Calibri"/>
          <w:sz w:val="22"/>
          <w:szCs w:val="22"/>
        </w:rPr>
        <w:t xml:space="preserve"> = 0.667 - 0.333 = </w:t>
      </w:r>
      <w:r>
        <w:rPr>
          <w:rFonts w:ascii="Calibri" w:cs="Calibri" w:eastAsia="Calibri" w:hAnsi="Calibri"/>
          <w:b/>
          <w:bCs/>
          <w:sz w:val="22"/>
          <w:szCs w:val="22"/>
        </w:rPr>
        <w:t xml:space="preserve">0.333</w:t>
      </w:r>
      <w:r>
        <w:rPr>
          <w:rFonts w:ascii="Calibri" w:cs="Calibri" w:eastAsia="Calibri" w:hAnsi="Calibri"/>
          <w:sz w:val="22"/>
          <w:szCs w:val="22"/>
        </w:rPr>
        <w:t xml:space="preserve"> (33.3 percentage points). </w:t>
      </w:r>
      <w:r>
        <w:rPr>
          <w:rFonts w:ascii="Calibri" w:cs="Calibri" w:eastAsia="Calibri" w:hAnsi="Calibri"/>
          <w:b/>
          <w:bCs/>
          <w:sz w:val="22"/>
          <w:szCs w:val="22"/>
        </w:rPr>
        <w:t xml:space="preserve">Crude odds ratio</w:t>
      </w:r>
      <w:r>
        <w:rPr>
          <w:rFonts w:ascii="Calibri" w:cs="Calibri" w:eastAsia="Calibri" w:hAnsi="Calibri"/>
          <w:sz w:val="22"/>
          <w:szCs w:val="22"/>
        </w:rPr>
        <w:t xml:space="preserve"> = (4/2) / (2/4) = 2.0 / 0.5 = </w:t>
      </w:r>
      <w:r>
        <w:rPr>
          <w:rFonts w:ascii="Calibri" w:cs="Calibri" w:eastAsia="Calibri" w:hAnsi="Calibri"/>
          <w:b/>
          <w:bCs/>
          <w:sz w:val="22"/>
          <w:szCs w:val="22"/>
        </w:rPr>
        <w:t xml:space="preserve">4.0</w:t>
      </w:r>
      <w:r>
        <w:rPr>
          <w:rFonts w:ascii="Calibri" w:cs="Calibri" w:eastAsia="Calibri" w:hAnsi="Calibri"/>
          <w:sz w:val="22"/>
          <w:szCs w:val="22"/>
        </w:rPr>
        <w:t xml:space="preserve">.</w:t>
      </w:r>
    </w:p>
    <w:p>
      <w:pPr>
        <w:spacing w:after="140" w:line="268"/>
        <w:jc w:val="both"/>
      </w:pPr>
      <w:r>
        <w:rPr>
          <w:rFonts w:ascii="Calibri" w:cs="Calibri" w:eastAsia="Calibri" w:hAnsi="Calibri"/>
          <w:sz w:val="22"/>
          <w:szCs w:val="22"/>
        </w:rPr>
        <w:t xml:space="preserve">This crude comparison is misleading. Because low-education mothers are both more likely to smoke and more likely to have a preterm birth regardless of smoking, some of that 0.333 gap is really education's effect, wrongly credited to smoking. The rest of this document walks through three different ways of removing that bias, and shows that they agree once the confounding is properly accounted for.</w:t>
      </w:r>
    </w:p>
    <w:p>
      <w:pPr>
        <w:keepNext/>
        <w:pBdr>
          <w:bottom w:val="single" w:color="1F3864" w:sz="6" w:space="3"/>
        </w:pBdr>
        <w:spacing w:after="130" w:before="320"/>
      </w:pPr>
      <w:r>
        <w:rPr>
          <w:rFonts w:ascii="Calibri" w:cs="Calibri" w:eastAsia="Calibri" w:hAnsi="Calibri"/>
          <w:b/>
          <w:bCs/>
          <w:color w:val="1F3864"/>
          <w:sz w:val="26"/>
          <w:szCs w:val="26"/>
        </w:rPr>
        <w:t xml:space="preserve">3. Step 1: The Propensity Score, e(X)</w:t>
      </w:r>
    </w:p>
    <w:p>
      <w:pPr>
        <w:spacing w:after="140" w:line="268"/>
        <w:jc w:val="both"/>
      </w:pPr>
      <w:r>
        <w:rPr>
          <w:rFonts w:ascii="Calibri" w:cs="Calibri" w:eastAsia="Calibri" w:hAnsi="Calibri"/>
          <w:sz w:val="22"/>
          <w:szCs w:val="22"/>
        </w:rPr>
        <w:t xml:space="preserve">The propensity score is simply </w:t>
      </w:r>
      <w:r>
        <w:rPr>
          <w:rFonts w:ascii="Calibri" w:cs="Calibri" w:eastAsia="Calibri" w:hAnsi="Calibri"/>
          <w:b/>
          <w:bCs/>
          <w:sz w:val="22"/>
          <w:szCs w:val="22"/>
        </w:rPr>
        <w:t xml:space="preserve">P(T = 1 | X)</w:t>
      </w:r>
      <w:r>
        <w:rPr>
          <w:rFonts w:ascii="Calibri" w:cs="Calibri" w:eastAsia="Calibri" w:hAnsi="Calibri"/>
          <w:sz w:val="22"/>
          <w:szCs w:val="22"/>
        </w:rPr>
        <w:t xml:space="preserve">: given a mother's covariates, how likely is she to smoke? With one binary covariate, this is computed directly as the proportion who smoke within each education level, no regression needed:</w:t>
      </w:r>
    </w:p>
    <w:p>
      <w:pPr>
        <w:spacing w:after="160" w:before="100"/>
        <w:jc w:val="center"/>
      </w:pPr>
      <w:r>
        <w:rPr>
          <w:rFonts w:ascii="Calibri" w:cs="Calibri" w:eastAsia="Calibri" w:hAnsi="Calibri"/>
          <w:i/>
          <w:iCs/>
          <w:color w:val="1F3864"/>
          <w:sz w:val="23"/>
          <w:szCs w:val="23"/>
        </w:rPr>
        <w:t xml:space="preserve">e(Low) = P(T=1 | Low) = 4/6 = 0.667          e(High) = P(T=1 | High) = 2/6 = 0.333</w:t>
      </w:r>
    </w:p>
    <w:p>
      <w:pPr>
        <w:spacing w:after="140" w:line="268"/>
        <w:jc w:val="both"/>
      </w:pPr>
      <w:r>
        <w:rPr>
          <w:rFonts w:ascii="Calibri" w:cs="Calibri" w:eastAsia="Calibri" w:hAnsi="Calibri"/>
          <w:b/>
          <w:bCs/>
          <w:sz w:val="22"/>
          <w:szCs w:val="22"/>
        </w:rPr>
        <w:t xml:space="preserve">Bridge to the real model.</w:t>
      </w:r>
      <w:r>
        <w:rPr>
          <w:rFonts w:ascii="Calibri" w:cs="Calibri" w:eastAsia="Calibri" w:hAnsi="Calibri"/>
          <w:sz w:val="22"/>
          <w:szCs w:val="22"/>
        </w:rPr>
        <w:t xml:space="preserve"> The proposal's actual propensity-score model is a logistic regression, logit(e(X)) = B0 + B1X1 + ... + B10X10, fit on ten covariates. With a single binary covariate, fitting that same kind of model here, logit(e(X)) = B0 + B1*(High education), gives B0 = ln(0.667/0.333) = 0.693 and B1 = ln(0.5) = -0.693 - 0.693 = -1.386. Plugging those coefficients back in reproduces exactly the same two propensity scores computed above by counting. That is not a coincidence: with one covariate and every combination of it observed, the two approaches are mathematically the same calculation. With ten continuous and categorical covariates, logistic regression is what makes the equivalent calculation possible, since counting proportions in each of thousands of covariate combinations stops being practical.</w:t>
      </w:r>
    </w:p>
    <w:p>
      <w:pPr>
        <w:keepNext/>
        <w:pBdr>
          <w:bottom w:val="single" w:color="1F3864" w:sz="6" w:space="3"/>
        </w:pBdr>
        <w:spacing w:after="130" w:before="320"/>
      </w:pPr>
      <w:r>
        <w:rPr>
          <w:rFonts w:ascii="Calibri" w:cs="Calibri" w:eastAsia="Calibri" w:hAnsi="Calibri"/>
          <w:b/>
          <w:bCs/>
          <w:color w:val="1F3864"/>
          <w:sz w:val="26"/>
          <w:szCs w:val="26"/>
        </w:rPr>
        <w:t xml:space="preserve">4. Step 2: Inverse Probability of Treatment Weighting (IPTW)</w:t>
      </w:r>
    </w:p>
    <w:p>
      <w:pPr>
        <w:spacing w:after="140" w:line="268"/>
        <w:jc w:val="both"/>
      </w:pPr>
      <w:r>
        <w:rPr>
          <w:rFonts w:ascii="Calibri" w:cs="Calibri" w:eastAsia="Calibri" w:hAnsi="Calibri"/>
          <w:sz w:val="22"/>
          <w:szCs w:val="22"/>
        </w:rPr>
        <w:t xml:space="preserve">Each mother is reweighted by the inverse of the probability of the treatment she actually received. A smoker gets weight 1/e(X); a non-smoker gets weight 1/(1 - e(X)). Mothers whose treatment was "unlikely" given their covariates are up-weighted, since they stand in for the many similar mothers who did not receive that treatment. The effect is a reweighted pseudo-population in which smoking is no longer related to education.</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700"/>
      </w:tblGrid>
      <w:tr>
        <w:trPr>
          <w:tblHeader/>
        </w:trPr>
        <w:tc>
          <w:tcPr>
            <w:tcW w:type="dxa" w:w="32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Education stratum</w:t>
            </w:r>
          </w:p>
        </w:tc>
        <w:tc>
          <w:tcPr>
            <w:tcW w:type="dxa" w:w="22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Status</w:t>
            </w:r>
          </w:p>
        </w:tc>
        <w:tc>
          <w:tcPr>
            <w:tcW w:type="dxa" w:w="27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IPTW weight</w:t>
            </w:r>
          </w:p>
        </w:tc>
      </w:tr>
      <w:tr>
        <w:tc>
          <w:tcPr>
            <w:tcW w:type="dxa" w:w="32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Low (e = 0.667)</w:t>
            </w:r>
          </w:p>
        </w:tc>
        <w:tc>
          <w:tcPr>
            <w:tcW w:type="dxa" w:w="22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Smoker</w:t>
            </w:r>
          </w:p>
        </w:tc>
        <w:tc>
          <w:tcPr>
            <w:tcW w:type="dxa" w:w="27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1 / 0.667 = 1.5</w:t>
            </w:r>
          </w:p>
        </w:tc>
      </w:tr>
      <w:tr>
        <w:tc>
          <w:tcPr>
            <w:tcW w:type="dxa" w:w="32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Low (1 - e = 0.333)</w:t>
            </w:r>
          </w:p>
        </w:tc>
        <w:tc>
          <w:tcPr>
            <w:tcW w:type="dxa" w:w="22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Non-smoker</w:t>
            </w:r>
          </w:p>
        </w:tc>
        <w:tc>
          <w:tcPr>
            <w:tcW w:type="dxa" w:w="27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1 / 0.333 = 3.0</w:t>
            </w:r>
          </w:p>
        </w:tc>
      </w:tr>
      <w:tr>
        <w:tc>
          <w:tcPr>
            <w:tcW w:type="dxa" w:w="32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High (e = 0.333)</w:t>
            </w:r>
          </w:p>
        </w:tc>
        <w:tc>
          <w:tcPr>
            <w:tcW w:type="dxa" w:w="22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Smoker</w:t>
            </w:r>
          </w:p>
        </w:tc>
        <w:tc>
          <w:tcPr>
            <w:tcW w:type="dxa" w:w="27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1 / 0.333 = 3.0</w:t>
            </w:r>
          </w:p>
        </w:tc>
      </w:tr>
      <w:tr>
        <w:tc>
          <w:tcPr>
            <w:tcW w:type="dxa" w:w="32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High (1 - e = 0.667)</w:t>
            </w:r>
          </w:p>
        </w:tc>
        <w:tc>
          <w:tcPr>
            <w:tcW w:type="dxa" w:w="22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Non-smoker</w:t>
            </w:r>
          </w:p>
        </w:tc>
        <w:tc>
          <w:tcPr>
            <w:tcW w:type="dxa" w:w="27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1 / 0.667 = 1.5</w:t>
            </w:r>
          </w:p>
        </w:tc>
      </w:tr>
    </w:tbl>
    <w:p>
      <w:pPr>
        <w:spacing w:after="160"/>
      </w:pPr>
    </w:p>
    <w:p>
      <w:pPr>
        <w:spacing w:after="140" w:line="268"/>
        <w:jc w:val="both"/>
      </w:pPr>
      <w:r>
        <w:rPr>
          <w:rFonts w:ascii="Calibri" w:cs="Calibri" w:eastAsia="Calibri" w:hAnsi="Calibri"/>
          <w:sz w:val="22"/>
          <w:szCs w:val="22"/>
        </w:rPr>
        <w:t xml:space="preserve">The weighted average outcome among (reweighted) smokers:</w:t>
      </w:r>
    </w:p>
    <w:p>
      <w:pPr>
        <w:spacing w:after="160" w:before="100"/>
        <w:jc w:val="center"/>
      </w:pPr>
      <w:r>
        <w:rPr>
          <w:rFonts w:ascii="Calibri" w:cs="Calibri" w:eastAsia="Calibri" w:hAnsi="Calibri"/>
          <w:i/>
          <w:iCs/>
          <w:color w:val="1F3864"/>
          <w:sz w:val="23"/>
          <w:szCs w:val="23"/>
        </w:rPr>
        <w:t xml:space="preserve">E[Y(1)] = (1.5+1.5+1.5+0 + 3.0+0) / (1.5*4 + 3.0*2) = 7.5 / 12.0 = 0.625</w:t>
      </w:r>
    </w:p>
    <w:p>
      <w:pPr>
        <w:spacing w:after="140" w:line="268"/>
        <w:jc w:val="both"/>
      </w:pPr>
      <w:r>
        <w:rPr>
          <w:rFonts w:ascii="Calibri" w:cs="Calibri" w:eastAsia="Calibri" w:hAnsi="Calibri"/>
          <w:sz w:val="22"/>
          <w:szCs w:val="22"/>
        </w:rPr>
        <w:t xml:space="preserve">The weighted average outcome among (reweighted) non-smokers:</w:t>
      </w:r>
    </w:p>
    <w:p>
      <w:pPr>
        <w:spacing w:after="160" w:before="100"/>
        <w:jc w:val="center"/>
      </w:pPr>
      <w:r>
        <w:rPr>
          <w:rFonts w:ascii="Calibri" w:cs="Calibri" w:eastAsia="Calibri" w:hAnsi="Calibri"/>
          <w:i/>
          <w:iCs/>
          <w:color w:val="1F3864"/>
          <w:sz w:val="23"/>
          <w:szCs w:val="23"/>
        </w:rPr>
        <w:t xml:space="preserve">E[Y(0)] = (3.0+0 + 1.5+0+0+0) / (3.0*2 + 1.5*4) = 4.5 / 12.0 = 0.375</w:t>
      </w:r>
    </w:p>
    <w:p>
      <w:pPr>
        <w:spacing w:after="140" w:line="268"/>
        <w:jc w:val="both"/>
      </w:pPr>
      <w:r>
        <w:rPr>
          <w:rFonts w:ascii="Calibri" w:cs="Calibri" w:eastAsia="Calibri" w:hAnsi="Calibri"/>
          <w:b/>
          <w:bCs/>
          <w:sz w:val="22"/>
          <w:szCs w:val="22"/>
        </w:rPr>
        <w:t xml:space="preserve">IPTW risk difference</w:t>
      </w:r>
      <w:r>
        <w:rPr>
          <w:rFonts w:ascii="Calibri" w:cs="Calibri" w:eastAsia="Calibri" w:hAnsi="Calibri"/>
          <w:sz w:val="22"/>
          <w:szCs w:val="22"/>
        </w:rPr>
        <w:t xml:space="preserve"> = 0.625 - 0.375 = </w:t>
      </w:r>
      <w:r>
        <w:rPr>
          <w:rFonts w:ascii="Calibri" w:cs="Calibri" w:eastAsia="Calibri" w:hAnsi="Calibri"/>
          <w:b/>
          <w:bCs/>
          <w:sz w:val="22"/>
          <w:szCs w:val="22"/>
        </w:rPr>
        <w:t xml:space="preserve">0.250</w:t>
      </w:r>
      <w:r>
        <w:rPr>
          <w:rFonts w:ascii="Calibri" w:cs="Calibri" w:eastAsia="Calibri" w:hAnsi="Calibri"/>
          <w:sz w:val="22"/>
          <w:szCs w:val="22"/>
        </w:rPr>
        <w:t xml:space="preserve">. Compare this to the crude 0.333: reweighting by the propensity score removed exactly the confounding bias, and recovered the effect actually built into this toy dataset (0.25 in both education strata, by construction, shown next).</w:t>
      </w:r>
    </w:p>
    <w:p>
      <w:pPr>
        <w:keepNext/>
        <w:pBdr>
          <w:bottom w:val="single" w:color="1F3864" w:sz="6" w:space="3"/>
        </w:pBdr>
        <w:spacing w:after="130" w:before="320"/>
      </w:pPr>
      <w:r>
        <w:rPr>
          <w:rFonts w:ascii="Calibri" w:cs="Calibri" w:eastAsia="Calibri" w:hAnsi="Calibri"/>
          <w:b/>
          <w:bCs/>
          <w:color w:val="1F3864"/>
          <w:sz w:val="26"/>
          <w:szCs w:val="26"/>
        </w:rPr>
        <w:t xml:space="preserve">5. Step 3: Outcome Regression (the Other Half of "Doubly Robust")</w:t>
      </w:r>
    </w:p>
    <w:p>
      <w:pPr>
        <w:spacing w:after="140" w:line="268"/>
        <w:jc w:val="both"/>
      </w:pPr>
      <w:r>
        <w:rPr>
          <w:rFonts w:ascii="Calibri" w:cs="Calibri" w:eastAsia="Calibri" w:hAnsi="Calibri"/>
          <w:sz w:val="22"/>
          <w:szCs w:val="22"/>
        </w:rPr>
        <w:t xml:space="preserve">A second, independent way to adjust for education is to model the outcome directly within each covariate stratum, rather than reweighting by treatment probability. Define m1(X) = E[Y | T=1, X] and m0(X) = E[Y | T=0, X], estimated here as the observed stratum means: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000"/>
        <w:gridCol w:w="1700"/>
      </w:tblGrid>
      <w:tr>
        <w:trPr>
          <w:tblHeader/>
        </w:trPr>
        <w:tc>
          <w:tcPr>
            <w:tcW w:type="dxa" w:w="16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Education</w:t>
            </w:r>
          </w:p>
        </w:tc>
        <w:tc>
          <w:tcPr>
            <w:tcW w:type="dxa" w:w="28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m1(X): mean Y among smokers</w:t>
            </w:r>
          </w:p>
        </w:tc>
        <w:tc>
          <w:tcPr>
            <w:tcW w:type="dxa" w:w="30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m0(X): mean Y among non-smokers</w:t>
            </w:r>
          </w:p>
        </w:tc>
        <w:tc>
          <w:tcPr>
            <w:tcW w:type="dxa" w:w="17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Stratum risk difference</w:t>
            </w:r>
          </w:p>
        </w:tc>
      </w:tr>
      <w:tr>
        <w:tc>
          <w:tcPr>
            <w:tcW w:type="dxa" w:w="16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Low</w:t>
            </w:r>
          </w:p>
        </w:tc>
        <w:tc>
          <w:tcPr>
            <w:tcW w:type="dxa" w:w="28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m1(Low) = 3/4 = 0.750</w:t>
            </w:r>
          </w:p>
        </w:tc>
        <w:tc>
          <w:tcPr>
            <w:tcW w:type="dxa" w:w="30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m0(Low) = 1/2 = 0.500</w:t>
            </w:r>
          </w:p>
        </w:tc>
        <w:tc>
          <w:tcPr>
            <w:tcW w:type="dxa" w:w="1700"/>
            <w:shd w:fill="FFFFFF"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0.250</w:t>
            </w:r>
          </w:p>
        </w:tc>
      </w:tr>
      <w:tr>
        <w:tc>
          <w:tcPr>
            <w:tcW w:type="dxa" w:w="16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High</w:t>
            </w:r>
          </w:p>
        </w:tc>
        <w:tc>
          <w:tcPr>
            <w:tcW w:type="dxa" w:w="28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m1(High) = 1/2 = 0.500</w:t>
            </w:r>
          </w:p>
        </w:tc>
        <w:tc>
          <w:tcPr>
            <w:tcW w:type="dxa" w:w="30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m0(High) = 1/4 = 0.250</w:t>
            </w:r>
          </w:p>
        </w:tc>
        <w:tc>
          <w:tcPr>
            <w:tcW w:type="dxa" w:w="1700"/>
            <w:shd w:fill="EEF2F7" w:val="clear"/>
            <w:tcMar>
              <w:top w:type="dxa" w:w="50"/>
              <w:left w:type="dxa" w:w="80"/>
              <w:bottom w:type="dxa" w:w="50"/>
              <w:right w:type="dxa" w:w="80"/>
            </w:tcMar>
            <w:vAlign w:val="center"/>
          </w:tcPr>
          <w:p>
            <w:pPr>
              <w:spacing w:line="240"/>
              <w:jc w:val="center"/>
            </w:pPr>
            <w:r>
              <w:rPr>
                <w:rFonts w:ascii="Calibri" w:cs="Calibri" w:eastAsia="Calibri" w:hAnsi="Calibri"/>
                <w:sz w:val="18"/>
                <w:szCs w:val="18"/>
              </w:rPr>
              <w:t xml:space="preserve">0.250</w:t>
            </w:r>
          </w:p>
        </w:tc>
      </w:tr>
    </w:tbl>
    <w:p>
      <w:pPr>
        <w:spacing w:after="160"/>
      </w:pPr>
    </w:p>
    <w:p>
      <w:pPr>
        <w:spacing w:after="140" w:line="268"/>
        <w:jc w:val="both"/>
      </w:pPr>
      <w:r>
        <w:rPr>
          <w:rFonts w:ascii="Calibri" w:cs="Calibri" w:eastAsia="Calibri" w:hAnsi="Calibri"/>
          <w:sz w:val="22"/>
          <w:szCs w:val="22"/>
        </w:rPr>
        <w:t xml:space="preserve">Averaging each stratum's predicted outcome over the actual mix of education in the sample (6 of 12 low, 6 of 12 high) gives the regression-adjusted estimate:</w:t>
      </w:r>
    </w:p>
    <w:p>
      <w:pPr>
        <w:spacing w:after="160" w:before="100"/>
        <w:jc w:val="center"/>
      </w:pPr>
      <w:r>
        <w:rPr>
          <w:rFonts w:ascii="Calibri" w:cs="Calibri" w:eastAsia="Calibri" w:hAnsi="Calibri"/>
          <w:i/>
          <w:iCs/>
          <w:color w:val="1F3864"/>
          <w:sz w:val="23"/>
          <w:szCs w:val="23"/>
        </w:rPr>
        <w:t xml:space="preserve">E[Y(1)] = 0.5(0.750) + 0.5(0.500) = 0.625          E[Y(0)] = 0.5(0.500) + 0.5(0.250) = 0.375</w:t>
      </w:r>
    </w:p>
    <w:p>
      <w:pPr>
        <w:spacing w:after="140" w:line="268"/>
        <w:jc w:val="both"/>
      </w:pPr>
      <w:r>
        <w:rPr>
          <w:rFonts w:ascii="Calibri" w:cs="Calibri" w:eastAsia="Calibri" w:hAnsi="Calibri"/>
          <w:b/>
          <w:bCs/>
          <w:sz w:val="22"/>
          <w:szCs w:val="22"/>
        </w:rPr>
        <w:t xml:space="preserve">Regression-adjusted risk difference</w:t>
      </w:r>
      <w:r>
        <w:rPr>
          <w:rFonts w:ascii="Calibri" w:cs="Calibri" w:eastAsia="Calibri" w:hAnsi="Calibri"/>
          <w:sz w:val="22"/>
          <w:szCs w:val="22"/>
        </w:rPr>
        <w:t xml:space="preserve"> = 0.625 - 0.375 = </w:t>
      </w:r>
      <w:r>
        <w:rPr>
          <w:rFonts w:ascii="Calibri" w:cs="Calibri" w:eastAsia="Calibri" w:hAnsi="Calibri"/>
          <w:b/>
          <w:bCs/>
          <w:sz w:val="22"/>
          <w:szCs w:val="22"/>
        </w:rPr>
        <w:t xml:space="preserve">0.250</w:t>
      </w:r>
      <w:r>
        <w:rPr>
          <w:rFonts w:ascii="Calibri" w:cs="Calibri" w:eastAsia="Calibri" w:hAnsi="Calibri"/>
          <w:sz w:val="22"/>
          <w:szCs w:val="22"/>
        </w:rPr>
        <w:t xml:space="preserve">, the same answer IPTW gave, by a completely different route: instead of reweighting by treatment probability, this models the outcome directly and standardizes over the covariate distribution.</w:t>
      </w:r>
    </w:p>
    <w:p>
      <w:pPr>
        <w:keepNext/>
        <w:pBdr>
          <w:bottom w:val="single" w:color="1F3864" w:sz="6" w:space="3"/>
        </w:pBdr>
        <w:spacing w:after="130" w:before="320"/>
      </w:pPr>
      <w:r>
        <w:rPr>
          <w:rFonts w:ascii="Calibri" w:cs="Calibri" w:eastAsia="Calibri" w:hAnsi="Calibri"/>
          <w:b/>
          <w:bCs/>
          <w:color w:val="1F3864"/>
          <w:sz w:val="26"/>
          <w:szCs w:val="26"/>
        </w:rPr>
        <w:t xml:space="preserve">6. Step 4: AIPTW, Combining Both Models</w:t>
      </w:r>
    </w:p>
    <w:p>
      <w:pPr>
        <w:spacing w:after="140" w:line="268"/>
        <w:jc w:val="both"/>
      </w:pPr>
      <w:r>
        <w:rPr>
          <w:rFonts w:ascii="Calibri" w:cs="Calibri" w:eastAsia="Calibri" w:hAnsi="Calibri"/>
          <w:sz w:val="22"/>
          <w:szCs w:val="22"/>
        </w:rPr>
        <w:t xml:space="preserve">AIPTW (augmented inverse probability of treatment weighting) combines the propensity-score model, e(X), and the outcome model, m1(X) and m0(X), into a single estimator. For each mother, her contribution to the treated-arm estimate is:</w:t>
      </w:r>
    </w:p>
    <w:p>
      <w:pPr>
        <w:spacing w:after="160" w:before="100"/>
        <w:jc w:val="center"/>
      </w:pPr>
      <w:r>
        <w:rPr>
          <w:rFonts w:ascii="Calibri" w:cs="Calibri" w:eastAsia="Calibri" w:hAnsi="Calibri"/>
          <w:i/>
          <w:iCs/>
          <w:color w:val="1F3864"/>
          <w:sz w:val="23"/>
          <w:szCs w:val="23"/>
        </w:rPr>
        <w:t xml:space="preserve">psi1 contribution  =  T * (Y - m1(X)) / e(X)  +  m1(X)</w:t>
      </w:r>
    </w:p>
    <w:p>
      <w:pPr>
        <w:spacing w:after="140" w:line="268"/>
        <w:jc w:val="both"/>
      </w:pPr>
      <w:r>
        <w:rPr>
          <w:rFonts w:ascii="Calibri" w:cs="Calibri" w:eastAsia="Calibri" w:hAnsi="Calibri"/>
          <w:sz w:val="22"/>
          <w:szCs w:val="22"/>
        </w:rPr>
        <w:t xml:space="preserve">Read this as: start from the outcome model's prediction, m1(X); if she was actually treated, add a correction for how far her observed outcome was from that prediction, scaled up by how surprising her treatment was (1/e(X)). If she was not treated, the correction term is zero and only the outcome model's prediction is used.</w:t>
      </w:r>
    </w:p>
    <w:p>
      <w:pPr>
        <w:keepNext/>
        <w:spacing w:after="90" w:before="200"/>
      </w:pPr>
      <w:r>
        <w:rPr>
          <w:rFonts w:ascii="Calibri" w:cs="Calibri" w:eastAsia="Calibri" w:hAnsi="Calibri"/>
          <w:b/>
          <w:bCs/>
          <w:color w:val="1F3864"/>
          <w:sz w:val="22"/>
          <w:szCs w:val="22"/>
        </w:rPr>
        <w:t xml:space="preserve">psi1 (treated-arm) contribution, every mother</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700"/>
        <w:gridCol w:w="700"/>
        <w:gridCol w:w="3300"/>
        <w:gridCol w:w="1800"/>
      </w:tblGrid>
      <w:tr>
        <w:trPr>
          <w:tblHeader/>
        </w:trPr>
        <w:tc>
          <w:tcPr>
            <w:tcW w:type="dxa" w:w="7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ID</w:t>
            </w:r>
          </w:p>
        </w:tc>
        <w:tc>
          <w:tcPr>
            <w:tcW w:type="dxa" w:w="12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X</w:t>
            </w:r>
          </w:p>
        </w:tc>
        <w:tc>
          <w:tcPr>
            <w:tcW w:type="dxa" w:w="7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T</w:t>
            </w:r>
          </w:p>
        </w:tc>
        <w:tc>
          <w:tcPr>
            <w:tcW w:type="dxa" w:w="7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Y</w:t>
            </w:r>
          </w:p>
        </w:tc>
        <w:tc>
          <w:tcPr>
            <w:tcW w:type="dxa" w:w="33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Formula</w:t>
            </w:r>
          </w:p>
        </w:tc>
        <w:tc>
          <w:tcPr>
            <w:tcW w:type="dxa" w:w="18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Value</w:t>
            </w:r>
          </w:p>
        </w:tc>
      </w:tr>
      <w:tr>
        <w:tc>
          <w:tcPr>
            <w:tcW w:type="dxa" w:w="7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w:t>
            </w:r>
          </w:p>
        </w:tc>
        <w:tc>
          <w:tcPr>
            <w:tcW w:type="dxa" w:w="12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Low</w:t>
            </w:r>
          </w:p>
        </w:tc>
        <w:tc>
          <w:tcPr>
            <w:tcW w:type="dxa" w:w="7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w:t>
            </w:r>
          </w:p>
        </w:tc>
        <w:tc>
          <w:tcPr>
            <w:tcW w:type="dxa" w:w="7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w:t>
            </w:r>
          </w:p>
        </w:tc>
        <w:tc>
          <w:tcPr>
            <w:tcW w:type="dxa" w:w="33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1*(1-0.75)/0.667 + 0.75</w:t>
            </w:r>
          </w:p>
        </w:tc>
        <w:tc>
          <w:tcPr>
            <w:tcW w:type="dxa" w:w="18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1.125</w:t>
            </w:r>
          </w:p>
        </w:tc>
      </w:tr>
      <w:tr>
        <w:tc>
          <w:tcPr>
            <w:tcW w:type="dxa" w:w="7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2</w:t>
            </w:r>
          </w:p>
        </w:tc>
        <w:tc>
          <w:tcPr>
            <w:tcW w:type="dxa" w:w="12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Low</w:t>
            </w:r>
          </w:p>
        </w:tc>
        <w:tc>
          <w:tcPr>
            <w:tcW w:type="dxa" w:w="7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w:t>
            </w:r>
          </w:p>
        </w:tc>
        <w:tc>
          <w:tcPr>
            <w:tcW w:type="dxa" w:w="7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w:t>
            </w:r>
          </w:p>
        </w:tc>
        <w:tc>
          <w:tcPr>
            <w:tcW w:type="dxa" w:w="33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1*(1-0.75)/0.667 + 0.75</w:t>
            </w:r>
          </w:p>
        </w:tc>
        <w:tc>
          <w:tcPr>
            <w:tcW w:type="dxa" w:w="18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1.125</w:t>
            </w:r>
          </w:p>
        </w:tc>
      </w:tr>
      <w:tr>
        <w:tc>
          <w:tcPr>
            <w:tcW w:type="dxa" w:w="7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3</w:t>
            </w:r>
          </w:p>
        </w:tc>
        <w:tc>
          <w:tcPr>
            <w:tcW w:type="dxa" w:w="12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Low</w:t>
            </w:r>
          </w:p>
        </w:tc>
        <w:tc>
          <w:tcPr>
            <w:tcW w:type="dxa" w:w="7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w:t>
            </w:r>
          </w:p>
        </w:tc>
        <w:tc>
          <w:tcPr>
            <w:tcW w:type="dxa" w:w="7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w:t>
            </w:r>
          </w:p>
        </w:tc>
        <w:tc>
          <w:tcPr>
            <w:tcW w:type="dxa" w:w="33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1*(1-0.75)/0.667 + 0.75</w:t>
            </w:r>
          </w:p>
        </w:tc>
        <w:tc>
          <w:tcPr>
            <w:tcW w:type="dxa" w:w="18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1.125</w:t>
            </w:r>
          </w:p>
        </w:tc>
      </w:tr>
      <w:tr>
        <w:tc>
          <w:tcPr>
            <w:tcW w:type="dxa" w:w="7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4</w:t>
            </w:r>
          </w:p>
        </w:tc>
        <w:tc>
          <w:tcPr>
            <w:tcW w:type="dxa" w:w="12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Low</w:t>
            </w:r>
          </w:p>
        </w:tc>
        <w:tc>
          <w:tcPr>
            <w:tcW w:type="dxa" w:w="7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w:t>
            </w:r>
          </w:p>
        </w:tc>
        <w:tc>
          <w:tcPr>
            <w:tcW w:type="dxa" w:w="7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w:t>
            </w:r>
          </w:p>
        </w:tc>
        <w:tc>
          <w:tcPr>
            <w:tcW w:type="dxa" w:w="33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1*(0-0.75)/0.667 + 0.75</w:t>
            </w:r>
          </w:p>
        </w:tc>
        <w:tc>
          <w:tcPr>
            <w:tcW w:type="dxa" w:w="18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-0.375</w:t>
            </w:r>
          </w:p>
        </w:tc>
      </w:tr>
      <w:tr>
        <w:tc>
          <w:tcPr>
            <w:tcW w:type="dxa" w:w="7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5</w:t>
            </w:r>
          </w:p>
        </w:tc>
        <w:tc>
          <w:tcPr>
            <w:tcW w:type="dxa" w:w="12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Low</w:t>
            </w:r>
          </w:p>
        </w:tc>
        <w:tc>
          <w:tcPr>
            <w:tcW w:type="dxa" w:w="7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w:t>
            </w:r>
          </w:p>
        </w:tc>
        <w:tc>
          <w:tcPr>
            <w:tcW w:type="dxa" w:w="7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w:t>
            </w:r>
          </w:p>
        </w:tc>
        <w:tc>
          <w:tcPr>
            <w:tcW w:type="dxa" w:w="33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 + 0.75</w:t>
            </w:r>
          </w:p>
        </w:tc>
        <w:tc>
          <w:tcPr>
            <w:tcW w:type="dxa" w:w="18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0.750</w:t>
            </w:r>
          </w:p>
        </w:tc>
      </w:tr>
      <w:tr>
        <w:tc>
          <w:tcPr>
            <w:tcW w:type="dxa" w:w="7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6</w:t>
            </w:r>
          </w:p>
        </w:tc>
        <w:tc>
          <w:tcPr>
            <w:tcW w:type="dxa" w:w="12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Low</w:t>
            </w:r>
          </w:p>
        </w:tc>
        <w:tc>
          <w:tcPr>
            <w:tcW w:type="dxa" w:w="7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w:t>
            </w:r>
          </w:p>
        </w:tc>
        <w:tc>
          <w:tcPr>
            <w:tcW w:type="dxa" w:w="7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w:t>
            </w:r>
          </w:p>
        </w:tc>
        <w:tc>
          <w:tcPr>
            <w:tcW w:type="dxa" w:w="33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 + 0.75</w:t>
            </w:r>
          </w:p>
        </w:tc>
        <w:tc>
          <w:tcPr>
            <w:tcW w:type="dxa" w:w="18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0.750</w:t>
            </w:r>
          </w:p>
        </w:tc>
      </w:tr>
      <w:tr>
        <w:tc>
          <w:tcPr>
            <w:tcW w:type="dxa" w:w="7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7</w:t>
            </w:r>
          </w:p>
        </w:tc>
        <w:tc>
          <w:tcPr>
            <w:tcW w:type="dxa" w:w="12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High</w:t>
            </w:r>
          </w:p>
        </w:tc>
        <w:tc>
          <w:tcPr>
            <w:tcW w:type="dxa" w:w="7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w:t>
            </w:r>
          </w:p>
        </w:tc>
        <w:tc>
          <w:tcPr>
            <w:tcW w:type="dxa" w:w="7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w:t>
            </w:r>
          </w:p>
        </w:tc>
        <w:tc>
          <w:tcPr>
            <w:tcW w:type="dxa" w:w="33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1*(1-0.50)/0.333 + 0.50</w:t>
            </w:r>
          </w:p>
        </w:tc>
        <w:tc>
          <w:tcPr>
            <w:tcW w:type="dxa" w:w="18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2.000</w:t>
            </w:r>
          </w:p>
        </w:tc>
      </w:tr>
      <w:tr>
        <w:tc>
          <w:tcPr>
            <w:tcW w:type="dxa" w:w="7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8</w:t>
            </w:r>
          </w:p>
        </w:tc>
        <w:tc>
          <w:tcPr>
            <w:tcW w:type="dxa" w:w="12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High</w:t>
            </w:r>
          </w:p>
        </w:tc>
        <w:tc>
          <w:tcPr>
            <w:tcW w:type="dxa" w:w="7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w:t>
            </w:r>
          </w:p>
        </w:tc>
        <w:tc>
          <w:tcPr>
            <w:tcW w:type="dxa" w:w="7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w:t>
            </w:r>
          </w:p>
        </w:tc>
        <w:tc>
          <w:tcPr>
            <w:tcW w:type="dxa" w:w="33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1*(0-0.50)/0.333 + 0.50</w:t>
            </w:r>
          </w:p>
        </w:tc>
        <w:tc>
          <w:tcPr>
            <w:tcW w:type="dxa" w:w="18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-1.000</w:t>
            </w:r>
          </w:p>
        </w:tc>
      </w:tr>
      <w:tr>
        <w:tc>
          <w:tcPr>
            <w:tcW w:type="dxa" w:w="7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9</w:t>
            </w:r>
          </w:p>
        </w:tc>
        <w:tc>
          <w:tcPr>
            <w:tcW w:type="dxa" w:w="12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High</w:t>
            </w:r>
          </w:p>
        </w:tc>
        <w:tc>
          <w:tcPr>
            <w:tcW w:type="dxa" w:w="7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w:t>
            </w:r>
          </w:p>
        </w:tc>
        <w:tc>
          <w:tcPr>
            <w:tcW w:type="dxa" w:w="7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w:t>
            </w:r>
          </w:p>
        </w:tc>
        <w:tc>
          <w:tcPr>
            <w:tcW w:type="dxa" w:w="33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 + 0.50</w:t>
            </w:r>
          </w:p>
        </w:tc>
        <w:tc>
          <w:tcPr>
            <w:tcW w:type="dxa" w:w="18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0.500</w:t>
            </w:r>
          </w:p>
        </w:tc>
      </w:tr>
      <w:tr>
        <w:tc>
          <w:tcPr>
            <w:tcW w:type="dxa" w:w="7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10</w:t>
            </w:r>
          </w:p>
        </w:tc>
        <w:tc>
          <w:tcPr>
            <w:tcW w:type="dxa" w:w="12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High</w:t>
            </w:r>
          </w:p>
        </w:tc>
        <w:tc>
          <w:tcPr>
            <w:tcW w:type="dxa" w:w="7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w:t>
            </w:r>
          </w:p>
        </w:tc>
        <w:tc>
          <w:tcPr>
            <w:tcW w:type="dxa" w:w="7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w:t>
            </w:r>
          </w:p>
        </w:tc>
        <w:tc>
          <w:tcPr>
            <w:tcW w:type="dxa" w:w="33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 + 0.50</w:t>
            </w:r>
          </w:p>
        </w:tc>
        <w:tc>
          <w:tcPr>
            <w:tcW w:type="dxa" w:w="18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0.500</w:t>
            </w:r>
          </w:p>
        </w:tc>
      </w:tr>
      <w:tr>
        <w:tc>
          <w:tcPr>
            <w:tcW w:type="dxa" w:w="7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11</w:t>
            </w:r>
          </w:p>
        </w:tc>
        <w:tc>
          <w:tcPr>
            <w:tcW w:type="dxa" w:w="12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High</w:t>
            </w:r>
          </w:p>
        </w:tc>
        <w:tc>
          <w:tcPr>
            <w:tcW w:type="dxa" w:w="7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w:t>
            </w:r>
          </w:p>
        </w:tc>
        <w:tc>
          <w:tcPr>
            <w:tcW w:type="dxa" w:w="7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w:t>
            </w:r>
          </w:p>
        </w:tc>
        <w:tc>
          <w:tcPr>
            <w:tcW w:type="dxa" w:w="33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 + 0.50</w:t>
            </w:r>
          </w:p>
        </w:tc>
        <w:tc>
          <w:tcPr>
            <w:tcW w:type="dxa" w:w="18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0.500</w:t>
            </w:r>
          </w:p>
        </w:tc>
      </w:tr>
      <w:tr>
        <w:tc>
          <w:tcPr>
            <w:tcW w:type="dxa" w:w="7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12</w:t>
            </w:r>
          </w:p>
        </w:tc>
        <w:tc>
          <w:tcPr>
            <w:tcW w:type="dxa" w:w="12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High</w:t>
            </w:r>
          </w:p>
        </w:tc>
        <w:tc>
          <w:tcPr>
            <w:tcW w:type="dxa" w:w="7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w:t>
            </w:r>
          </w:p>
        </w:tc>
        <w:tc>
          <w:tcPr>
            <w:tcW w:type="dxa" w:w="7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w:t>
            </w:r>
          </w:p>
        </w:tc>
        <w:tc>
          <w:tcPr>
            <w:tcW w:type="dxa" w:w="33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 + 0.50</w:t>
            </w:r>
          </w:p>
        </w:tc>
        <w:tc>
          <w:tcPr>
            <w:tcW w:type="dxa" w:w="18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0.500</w:t>
            </w:r>
          </w:p>
        </w:tc>
      </w:tr>
    </w:tbl>
    <w:p>
      <w:pPr>
        <w:spacing w:after="120"/>
      </w:pPr>
    </w:p>
    <w:p>
      <w:pPr>
        <w:spacing w:after="160" w:before="100"/>
        <w:jc w:val="center"/>
      </w:pPr>
      <w:r>
        <w:rPr>
          <w:rFonts w:ascii="Calibri" w:cs="Calibri" w:eastAsia="Calibri" w:hAnsi="Calibri"/>
          <w:i/>
          <w:iCs/>
          <w:color w:val="1F3864"/>
          <w:sz w:val="23"/>
          <w:szCs w:val="23"/>
        </w:rPr>
        <w:t xml:space="preserve">psi1 = (1.125+1.125+1.125-0.375+0.750+0.750+2.000-1.000+0.500+0.500+0.500+0.500) / 12 = 7.5 / 12 = 0.625</w:t>
      </w:r>
    </w:p>
    <w:p>
      <w:pPr>
        <w:spacing w:after="80" w:line="268"/>
        <w:jc w:val="both"/>
      </w:pPr>
      <w:r>
        <w:rPr>
          <w:rFonts w:ascii="Calibri" w:cs="Calibri" w:eastAsia="Calibri" w:hAnsi="Calibri"/>
          <w:sz w:val="22"/>
          <w:szCs w:val="22"/>
        </w:rPr>
        <w:t xml:space="preserve">The mirror-image calculation for the control arm (psi0, using (1-T), m0(X), and 1-e(X)) gives contributions of 0.500, 0.500, 0.500, 0.500, 2.000, -1.000, 0.250, 0.250, 1.375, -0.125, -0.125, -0.125, which sum to 4.5:</w:t>
      </w:r>
    </w:p>
    <w:p>
      <w:pPr>
        <w:spacing w:after="160" w:before="100"/>
        <w:jc w:val="center"/>
      </w:pPr>
      <w:r>
        <w:rPr>
          <w:rFonts w:ascii="Calibri" w:cs="Calibri" w:eastAsia="Calibri" w:hAnsi="Calibri"/>
          <w:i/>
          <w:iCs/>
          <w:color w:val="1F3864"/>
          <w:sz w:val="23"/>
          <w:szCs w:val="23"/>
        </w:rPr>
        <w:t xml:space="preserve">psi0 = 4.5 / 12 = 0.375</w:t>
      </w:r>
    </w:p>
    <w:p>
      <w:pPr>
        <w:spacing w:after="140" w:line="268"/>
        <w:jc w:val="both"/>
      </w:pPr>
      <w:r>
        <w:rPr>
          <w:rFonts w:ascii="Calibri" w:cs="Calibri" w:eastAsia="Calibri" w:hAnsi="Calibri"/>
          <w:b/>
          <w:bCs/>
          <w:sz w:val="22"/>
          <w:szCs w:val="22"/>
        </w:rPr>
        <w:t xml:space="preserve">AIPTW risk difference</w:t>
      </w:r>
      <w:r>
        <w:rPr>
          <w:rFonts w:ascii="Calibri" w:cs="Calibri" w:eastAsia="Calibri" w:hAnsi="Calibri"/>
          <w:sz w:val="22"/>
          <w:szCs w:val="22"/>
        </w:rPr>
        <w:t xml:space="preserve"> = psi1 - psi0 = 0.625 - 0.375 = </w:t>
      </w:r>
      <w:r>
        <w:rPr>
          <w:rFonts w:ascii="Calibri" w:cs="Calibri" w:eastAsia="Calibri" w:hAnsi="Calibri"/>
          <w:b/>
          <w:bCs/>
          <w:sz w:val="22"/>
          <w:szCs w:val="22"/>
        </w:rPr>
        <w:t xml:space="preserve">0.250</w:t>
      </w:r>
      <w:r>
        <w:rPr>
          <w:rFonts w:ascii="Calibri" w:cs="Calibri" w:eastAsia="Calibri" w:hAnsi="Calibri"/>
          <w:sz w:val="22"/>
          <w:szCs w:val="22"/>
        </w:rPr>
        <w:t xml:space="preserve">, again the same answer.</w:t>
      </w:r>
    </w:p>
    <w:p>
      <w:pPr>
        <w:keepNext/>
        <w:pBdr>
          <w:bottom w:val="single" w:color="1F3864" w:sz="6" w:space="3"/>
        </w:pBdr>
        <w:spacing w:after="130" w:before="320"/>
      </w:pPr>
      <w:r>
        <w:rPr>
          <w:rFonts w:ascii="Calibri" w:cs="Calibri" w:eastAsia="Calibri" w:hAnsi="Calibri"/>
          <w:b/>
          <w:bCs/>
          <w:color w:val="1F3864"/>
          <w:sz w:val="26"/>
          <w:szCs w:val="26"/>
        </w:rPr>
        <w:t xml:space="preserve">7. Why All Three Adjusted Estimates Agree Here, and What That Means</w:t>
      </w:r>
    </w:p>
    <w:p>
      <w:pPr>
        <w:spacing w:after="140" w:line="268"/>
        <w:jc w:val="both"/>
      </w:pPr>
      <w:r>
        <w:rPr>
          <w:rFonts w:ascii="Calibri" w:cs="Calibri" w:eastAsia="Calibri" w:hAnsi="Calibri"/>
          <w:sz w:val="22"/>
          <w:szCs w:val="22"/>
        </w:rPr>
        <w:t xml:space="preserve">In this toy example, the crude estimate (0.333) is biased, while the propensity-score-weighted (IPTW), outcome-regression, and AIPTW estimates all land on exactly 0.250, the effect actually built into the data. They agree because, with a single binary covariate and every combination of it observed, both the propensity-score model and the outcome model are </w:t>
      </w:r>
      <w:r>
        <w:rPr>
          <w:rFonts w:ascii="Calibri" w:cs="Calibri" w:eastAsia="Calibri" w:hAnsi="Calibri"/>
          <w:b/>
          <w:bCs/>
          <w:sz w:val="22"/>
          <w:szCs w:val="22"/>
        </w:rPr>
        <w:t xml:space="preserve">saturated</w:t>
      </w:r>
      <w:r>
        <w:rPr>
          <w:rFonts w:ascii="Calibri" w:cs="Calibri" w:eastAsia="Calibri" w:hAnsi="Calibri"/>
          <w:sz w:val="22"/>
          <w:szCs w:val="22"/>
        </w:rPr>
        <w:t xml:space="preserve">: there is no room for either one to be misspecified, since there are no functional-form choices left to get wrong.</w:t>
      </w:r>
    </w:p>
    <w:p>
      <w:pPr>
        <w:spacing w:after="140" w:line="268"/>
        <w:jc w:val="both"/>
      </w:pPr>
      <w:r>
        <w:rPr>
          <w:rFonts w:ascii="Calibri" w:cs="Calibri" w:eastAsia="Calibri" w:hAnsi="Calibri"/>
          <w:sz w:val="22"/>
          <w:szCs w:val="22"/>
        </w:rPr>
        <w:t xml:space="preserve">That is precisely what makes AIPTW worth the extra step in the real analysis, where neither model can be guaranteed correct. With ten covariates, some continuous, the propensity-score model is a logistic regression that could be missing an interaction or a nonlinear term, and the outcome model faces the same risk. *</w:t>
      </w:r>
      <w:r>
        <w:rPr>
          <w:rFonts w:ascii="Calibri" w:cs="Calibri" w:eastAsia="Calibri" w:hAnsi="Calibri"/>
          <w:i/>
          <w:iCs/>
          <w:sz w:val="22"/>
          <w:szCs w:val="22"/>
        </w:rPr>
        <w:t xml:space="preserve">AIPTW is called doubly robust because it stays consistent (gets the right answer as the sample grows) if </w:t>
      </w:r>
      <w:r>
        <w:rPr>
          <w:rFonts w:ascii="Calibri" w:cs="Calibri" w:eastAsia="Calibri" w:hAnsi="Calibri"/>
          <w:sz w:val="22"/>
          <w:szCs w:val="22"/>
        </w:rPr>
        <w:t xml:space="preserve">either</w:t>
      </w:r>
      <w:r>
        <w:rPr>
          <w:rFonts w:ascii="Calibri" w:cs="Calibri" w:eastAsia="Calibri" w:hAnsi="Calibri"/>
          <w:i/>
          <w:iCs/>
          <w:sz w:val="22"/>
          <w:szCs w:val="22"/>
        </w:rPr>
        <w:t xml:space="preserve"> the propensity-score model or the outcome model is correctly specified, not necessarily both.</w:t>
      </w:r>
      <w:r>
        <w:rPr>
          <w:rFonts w:ascii="Calibri" w:cs="Calibri" w:eastAsia="Calibri" w:hAnsi="Calibri"/>
          <w:i/>
          <w:iCs/>
          <w:sz w:val="22"/>
          <w:szCs w:val="22"/>
        </w:rPr>
        <w:t xml:space="preserve"> Concretely</w:t>
      </w:r>
    </w:p>
    <w:p>
      <w:pPr>
        <w:spacing w:after="140" w:line="268"/>
        <w:jc w:val="both"/>
      </w:pPr>
      <w:r>
        <w:rPr>
          <w:rFonts w:ascii="Calibri" w:cs="Calibri" w:eastAsia="Calibri" w:hAnsi="Calibri"/>
          <w:sz w:val="22"/>
          <w:szCs w:val="22"/>
        </w:rPr>
        <w:t xml:space="preserve">If the propensity-score model, e(X), is right but the outcome model, m(X), is wrong, the correction term T*(Y - m(X))/e(X) still pulls the estimate back to the truth, because e(X) is doing the actual work of removing confounding, exactly as it does in plain IPTW.</w:t>
      </w:r>
    </w:p>
    <w:p>
      <w:pPr>
        <w:spacing w:after="140" w:line="268"/>
        <w:jc w:val="both"/>
      </w:pPr>
      <w:r>
        <w:rPr>
          <w:rFonts w:ascii="Calibri" w:cs="Calibri" w:eastAsia="Calibri" w:hAnsi="Calibri"/>
          <w:sz w:val="22"/>
          <w:szCs w:val="22"/>
        </w:rPr>
        <w:t xml:space="preserve">If the outcome model, m(X), is right but the propensity-score model is wrong, the estimate still lands on m(X)'s correct prediction, because when e(X) is off, the weighted correction term has expectation zero rather than pulling the estimate away from the truth.</w:t>
      </w:r>
    </w:p>
    <w:p>
      <w:pPr>
        <w:spacing w:after="140" w:line="268"/>
        <w:jc w:val="both"/>
      </w:pPr>
      <w:r>
        <w:rPr>
          <w:rFonts w:ascii="Calibri" w:cs="Calibri" w:eastAsia="Calibri" w:hAnsi="Calibri"/>
          <w:sz w:val="22"/>
          <w:szCs w:val="22"/>
        </w:rPr>
        <w:t xml:space="preserve">Plain IPTW has only the first safety net; plain regression adjustment has only the second. AIPTW has both, which is the entire justification, beyond terminology, for using it as the primary estimator in Stage 7 of the proposal rather than relying on IPTW alone.</w:t>
      </w:r>
    </w:p>
    <w:p>
      <w:pPr>
        <w:keepNext/>
        <w:pBdr>
          <w:bottom w:val="single" w:color="1F3864" w:sz="6" w:space="3"/>
        </w:pBdr>
        <w:spacing w:after="130" w:before="320"/>
      </w:pPr>
      <w:r>
        <w:rPr>
          <w:rFonts w:ascii="Calibri" w:cs="Calibri" w:eastAsia="Calibri" w:hAnsi="Calibri"/>
          <w:b/>
          <w:bCs/>
          <w:color w:val="1F3864"/>
          <w:sz w:val="26"/>
          <w:szCs w:val="26"/>
        </w:rPr>
        <w:t xml:space="preserve">8. Results Side by Side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300"/>
        <w:gridCol w:w="1500"/>
        <w:gridCol w:w="2100"/>
      </w:tblGrid>
      <w:tr>
        <w:trPr>
          <w:tblHeader/>
        </w:trPr>
        <w:tc>
          <w:tcPr>
            <w:tcW w:type="dxa" w:w="34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Estimator</w:t>
            </w:r>
          </w:p>
        </w:tc>
        <w:tc>
          <w:tcPr>
            <w:tcW w:type="dxa" w:w="13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E[Y(1)]</w:t>
            </w:r>
          </w:p>
        </w:tc>
        <w:tc>
          <w:tcPr>
            <w:tcW w:type="dxa" w:w="13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E[Y(0)]</w:t>
            </w:r>
          </w:p>
        </w:tc>
        <w:tc>
          <w:tcPr>
            <w:tcW w:type="dxa" w:w="15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Risk difference</w:t>
            </w:r>
          </w:p>
        </w:tc>
        <w:tc>
          <w:tcPr>
            <w:tcW w:type="dxa" w:w="2100"/>
            <w:shd w:fill="1F3864" w:val="clear"/>
            <w:tcMar>
              <w:top w:type="dxa" w:w="60"/>
              <w:left w:type="dxa" w:w="80"/>
              <w:bottom w:type="dxa" w:w="60"/>
              <w:right w:type="dxa" w:w="80"/>
            </w:tcMar>
            <w:vAlign w:val="center"/>
          </w:tcPr>
          <w:p>
            <w:pPr>
              <w:jc w:val="center"/>
            </w:pPr>
            <w:r>
              <w:rPr>
                <w:rFonts w:ascii="Calibri" w:cs="Calibri" w:eastAsia="Calibri" w:hAnsi="Calibri"/>
                <w:b/>
                <w:bCs/>
                <w:color w:val="FFFFFF"/>
                <w:sz w:val="18"/>
                <w:szCs w:val="18"/>
              </w:rPr>
              <w:t xml:space="preserve">Note</w:t>
            </w:r>
          </w:p>
        </w:tc>
      </w:tr>
      <w:tr>
        <w:tc>
          <w:tcPr>
            <w:tcW w:type="dxa" w:w="34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Crude (unadjusted)</w:t>
            </w:r>
          </w:p>
        </w:tc>
        <w:tc>
          <w:tcPr>
            <w:tcW w:type="dxa" w:w="13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0.667</w:t>
            </w:r>
          </w:p>
        </w:tc>
        <w:tc>
          <w:tcPr>
            <w:tcW w:type="dxa" w:w="13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0.333</w:t>
            </w:r>
          </w:p>
        </w:tc>
        <w:tc>
          <w:tcPr>
            <w:tcW w:type="dxa" w:w="15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0.333</w:t>
            </w:r>
          </w:p>
        </w:tc>
        <w:tc>
          <w:tcPr>
            <w:tcW w:type="dxa" w:w="21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Biased: confounded by education</w:t>
            </w:r>
          </w:p>
        </w:tc>
      </w:tr>
      <w:tr>
        <w:tc>
          <w:tcPr>
            <w:tcW w:type="dxa" w:w="34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IPTW (propensity-score weighting)</w:t>
            </w:r>
          </w:p>
        </w:tc>
        <w:tc>
          <w:tcPr>
            <w:tcW w:type="dxa" w:w="13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0.625</w:t>
            </w:r>
          </w:p>
        </w:tc>
        <w:tc>
          <w:tcPr>
            <w:tcW w:type="dxa" w:w="13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0.375</w:t>
            </w:r>
          </w:p>
        </w:tc>
        <w:tc>
          <w:tcPr>
            <w:tcW w:type="dxa" w:w="15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0.250</w:t>
            </w:r>
          </w:p>
        </w:tc>
        <w:tc>
          <w:tcPr>
            <w:tcW w:type="dxa" w:w="2100"/>
            <w:shd w:fill="EEF2F7"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Correct here: e(X) correctly specified</w:t>
            </w:r>
          </w:p>
        </w:tc>
      </w:tr>
      <w:tr>
        <w:tc>
          <w:tcPr>
            <w:tcW w:type="dxa" w:w="34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Outcome regression / G-computation</w:t>
            </w:r>
          </w:p>
        </w:tc>
        <w:tc>
          <w:tcPr>
            <w:tcW w:type="dxa" w:w="13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0.625</w:t>
            </w:r>
          </w:p>
        </w:tc>
        <w:tc>
          <w:tcPr>
            <w:tcW w:type="dxa" w:w="13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0.375</w:t>
            </w:r>
          </w:p>
        </w:tc>
        <w:tc>
          <w:tcPr>
            <w:tcW w:type="dxa" w:w="15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0.250</w:t>
            </w:r>
          </w:p>
        </w:tc>
        <w:tc>
          <w:tcPr>
            <w:tcW w:type="dxa" w:w="2100"/>
            <w:shd w:fill="FFFFFF"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Correct here: m(X) correctly specified</w:t>
            </w:r>
          </w:p>
        </w:tc>
      </w:tr>
      <w:tr>
        <w:tc>
          <w:tcPr>
            <w:tcW w:type="dxa" w:w="3400"/>
            <w:shd w:fill="FBEFE3"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AIPTW (doubly robust)</w:t>
            </w:r>
          </w:p>
        </w:tc>
        <w:tc>
          <w:tcPr>
            <w:tcW w:type="dxa" w:w="1300"/>
            <w:shd w:fill="FBEFE3"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0.625</w:t>
            </w:r>
          </w:p>
        </w:tc>
        <w:tc>
          <w:tcPr>
            <w:tcW w:type="dxa" w:w="1300"/>
            <w:shd w:fill="FBEFE3"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0.375</w:t>
            </w:r>
          </w:p>
        </w:tc>
        <w:tc>
          <w:tcPr>
            <w:tcW w:type="dxa" w:w="1500"/>
            <w:shd w:fill="FBEFE3"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0.250</w:t>
            </w:r>
          </w:p>
        </w:tc>
        <w:tc>
          <w:tcPr>
            <w:tcW w:type="dxa" w:w="2100"/>
            <w:shd w:fill="FBEFE3" w:val="clear"/>
            <w:tcMar>
              <w:top w:type="dxa" w:w="50"/>
              <w:left w:type="dxa" w:w="80"/>
              <w:bottom w:type="dxa" w:w="50"/>
              <w:right w:type="dxa" w:w="80"/>
            </w:tcMar>
            <w:vAlign w:val="center"/>
          </w:tcPr>
          <w:p>
            <w:pPr>
              <w:spacing w:line="240"/>
              <w:jc w:val="center"/>
            </w:pPr>
            <w:r>
              <w:rPr>
                <w:rFonts w:ascii="Calibri" w:cs="Calibri" w:eastAsia="Calibri" w:hAnsi="Calibri"/>
                <w:sz w:val="16"/>
                <w:szCs w:val="16"/>
              </w:rPr>
              <w:t xml:space="preserve">Correct even if only one of the two models above were right</w:t>
            </w:r>
          </w:p>
        </w:tc>
      </w:tr>
    </w:tbl>
    <w:p>
      <w:pPr>
        <w:spacing w:after="160"/>
      </w:pPr>
    </w:p>
    <w:p>
      <w:pPr>
        <w:keepNext/>
        <w:pBdr>
          <w:bottom w:val="single" w:color="1F3864" w:sz="6" w:space="3"/>
        </w:pBdr>
        <w:spacing w:after="130" w:before="320"/>
      </w:pPr>
      <w:r>
        <w:rPr>
          <w:rFonts w:ascii="Calibri" w:cs="Calibri" w:eastAsia="Calibri" w:hAnsi="Calibri"/>
          <w:b/>
          <w:bCs/>
          <w:color w:val="1F3864"/>
          <w:sz w:val="26"/>
          <w:szCs w:val="26"/>
        </w:rPr>
        <w:t xml:space="preserve">9. Scaling This Up to the Real Analysis</w:t>
      </w:r>
    </w:p>
    <w:p>
      <w:pPr>
        <w:spacing w:after="140" w:line="268"/>
        <w:jc w:val="both"/>
      </w:pPr>
      <w:r>
        <w:rPr>
          <w:rFonts w:ascii="Calibri" w:cs="Calibri" w:eastAsia="Calibri" w:hAnsi="Calibri"/>
          <w:sz w:val="22"/>
          <w:szCs w:val="22"/>
        </w:rPr>
        <w:t xml:space="preserve">Every mechanic above carries over unchanged; only the inputs get larger and the arithmetic moves from a calculator to code:</w:t>
      </w:r>
    </w:p>
    <w:p>
      <w:pPr>
        <w:spacing w:after="140" w:line="268"/>
        <w:jc w:val="both"/>
      </w:pPr>
      <w:r>
        <w:rPr>
          <w:rFonts w:ascii="Calibri" w:cs="Calibri" w:eastAsia="Calibri" w:hAnsi="Calibri"/>
          <w:b/>
          <w:bCs/>
          <w:sz w:val="22"/>
          <w:szCs w:val="22"/>
        </w:rPr>
        <w:t xml:space="preserve">One binary covariate becomes ten covariates</w:t>
      </w:r>
      <w:r>
        <w:rPr>
          <w:rFonts w:ascii="Calibri" w:cs="Calibri" w:eastAsia="Calibri" w:hAnsi="Calibri"/>
          <w:sz w:val="22"/>
          <w:szCs w:val="22"/>
        </w:rPr>
        <w:t xml:space="preserve">, several continuous (maternal age, BMI) and several categorical (education, race/ethnicity). e(X) can no longer be read off as a simple proportion, so it is estimated by fitting a logistic regression, exactly the model sketched in Section 3, with ten predictors instead of one.</w:t>
      </w:r>
    </w:p>
    <w:p>
      <w:pPr>
        <w:spacing w:after="140" w:line="268"/>
        <w:jc w:val="both"/>
      </w:pPr>
      <w:r>
        <w:rPr>
          <w:rFonts w:ascii="Calibri" w:cs="Calibri" w:eastAsia="Calibri" w:hAnsi="Calibri"/>
          <w:b/>
          <w:bCs/>
          <w:sz w:val="22"/>
          <w:szCs w:val="22"/>
        </w:rPr>
        <w:t xml:space="preserve">Twelve mothers become 3,297,356 complete-case records.</w:t>
      </w:r>
      <w:r>
        <w:rPr>
          <w:rFonts w:ascii="Calibri" w:cs="Calibri" w:eastAsia="Calibri" w:hAnsi="Calibri"/>
          <w:sz w:val="22"/>
          <w:szCs w:val="22"/>
        </w:rPr>
        <w:t xml:space="preserve"> The sums in Sections 4 through 6 are the same sums, just computed by software (R and SAS) instead of by hand.</w:t>
      </w:r>
    </w:p>
    <w:p>
      <w:pPr>
        <w:spacing w:after="140" w:line="268"/>
        <w:jc w:val="both"/>
      </w:pPr>
      <w:r>
        <w:rPr>
          <w:rFonts w:ascii="Calibri" w:cs="Calibri" w:eastAsia="Calibri" w:hAnsi="Calibri"/>
          <w:b/>
          <w:bCs/>
          <w:sz w:val="22"/>
          <w:szCs w:val="22"/>
        </w:rPr>
        <w:t xml:space="preserve">A point estimate needs a confidence interval.</w:t>
      </w:r>
      <w:r>
        <w:rPr>
          <w:rFonts w:ascii="Calibri" w:cs="Calibri" w:eastAsia="Calibri" w:hAnsi="Calibri"/>
          <w:sz w:val="22"/>
          <w:szCs w:val="22"/>
        </w:rPr>
        <w:t xml:space="preserve"> The proposal reports each estimator with a robust (sandwich) variance estimator and a 95% confidence interval; that is a variance calculation layered on top of the same point estimates computed here, not a different estimator.</w:t>
      </w:r>
    </w:p>
    <w:p>
      <w:pPr>
        <w:spacing w:after="140" w:line="268"/>
        <w:jc w:val="both"/>
      </w:pPr>
      <w:r>
        <w:rPr>
          <w:rFonts w:ascii="Calibri" w:cs="Calibri" w:eastAsia="Calibri" w:hAnsi="Calibri"/>
          <w:b/>
          <w:bCs/>
          <w:sz w:val="22"/>
          <w:szCs w:val="22"/>
        </w:rPr>
        <w:t xml:space="preserve">The outcome model, m(X), also becomes a fitted regression</w:t>
      </w:r>
      <w:r>
        <w:rPr>
          <w:rFonts w:ascii="Calibri" w:cs="Calibri" w:eastAsia="Calibri" w:hAnsi="Calibri"/>
          <w:sz w:val="22"/>
          <w:szCs w:val="22"/>
        </w:rPr>
        <w:t xml:space="preserve"> (logistic regression for the binary preterm-birth outcome) instead of a stratum mean, for the same reason the propensity-score model does.</w:t>
      </w:r>
    </w:p>
    <w:p>
      <w:pPr>
        <w:spacing w:after="140" w:line="268"/>
        <w:jc w:val="both"/>
      </w:pPr>
      <w:r>
        <w:rPr>
          <w:rFonts w:ascii="Calibri" w:cs="Calibri" w:eastAsia="Calibri" w:hAnsi="Calibri"/>
          <w:sz w:val="22"/>
          <w:szCs w:val="22"/>
        </w:rPr>
        <w:t xml:space="preserve">None of that changes what AIPTW is doing: combine a treatment model and an outcome model so that one correct model is enough.</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2026-09-24T20:53:51.798Z</dcterms:created>
  <dcterms:modified xsi:type="dcterms:W3CDTF">2026-09-24T20:53:51.799Z</dcterms:modified>
</cp:coreProperties>
</file>

<file path=docProps/custom.xml><?xml version="1.0" encoding="utf-8"?>
<Properties xmlns="http://schemas.openxmlformats.org/officeDocument/2006/custom-properties" xmlns:vt="http://schemas.openxmlformats.org/officeDocument/2006/docPropsVTypes"/>
</file>