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2E75B6"/>
          <w:sz w:val="28"/>
          <w:szCs w:val="28"/>
        </w:rPr>
        <w:t xml:space="preserve">UNIVERSITÉ SAAD DAHLEB BLIDA 1</w:t>
      </w:r>
    </w:p>
    <w:p>
      <w:pPr>
        <w:spacing w:after="80" w:before="0"/>
        <w:jc w:val="center"/>
      </w:pPr>
      <w:r>
        <w:rPr>
          <w:rFonts w:ascii="Arial" w:cs="Arial" w:eastAsia="Arial" w:hAnsi="Arial"/>
          <w:sz w:val="24"/>
          <w:szCs w:val="24"/>
        </w:rPr>
        <w:t xml:space="preserve">Département Informatique — Master 1 DS &amp; NLP</w:t>
      </w:r>
    </w:p>
    <w:p>
      <w:pPr>
        <w:spacing w:after="80" w:before="0"/>
        <w:jc w:val="center"/>
      </w:pPr>
      <w:r>
        <w:rPr>
          <w:rFonts w:ascii="Arial" w:cs="Arial" w:eastAsia="Arial" w:hAnsi="Arial"/>
          <w:i/>
          <w:iCs/>
          <w:sz w:val="22"/>
          <w:szCs w:val="22"/>
        </w:rPr>
        <w:t xml:space="preserve">Module : Machine Learning | Semestre 2 — 2025/2026</w:t>
      </w:r>
    </w:p>
    <w:p>
      <w:pPr>
        <w:spacing w:after="60" w:before="60"/>
      </w:pPr>
      <w:r>
        <w:t xml:space="preserve"/>
      </w:r>
    </w:p>
    <w:p>
      <w:pPr>
        <w:spacing w:after="60" w:before="60"/>
      </w:pPr>
      <w:r>
        <w:t xml:space="preserve"/>
      </w:r>
    </w:p>
    <w:p>
      <w:pPr>
        <w:pBdr>
          <w:bottom w:val="single" w:color="2E75B6" w:sz="6" w:space="1"/>
        </w:pBdr>
        <w:spacing w:after="240" w:before="0"/>
        <w:jc w:val="center"/>
      </w:pPr>
      <w:r>
        <w:rPr>
          <w:sz w:val="22"/>
          <w:szCs w:val="22"/>
        </w:rPr>
        <w:t xml:space="preserve"/>
      </w:r>
    </w:p>
    <w:p>
      <w:pPr>
        <w:spacing w:after="120" w:before="240"/>
        <w:jc w:val="center"/>
      </w:pPr>
      <w:r>
        <w:rPr>
          <w:rFonts w:ascii="Arial" w:cs="Arial" w:eastAsia="Arial" w:hAnsi="Arial"/>
          <w:b/>
          <w:bCs/>
          <w:caps/>
          <w:color w:val="1F4E79"/>
          <w:sz w:val="36"/>
          <w:szCs w:val="36"/>
        </w:rPr>
        <w:t xml:space="preserve">MINI-PROJET</w:t>
      </w:r>
    </w:p>
    <w:p>
      <w:pPr>
        <w:spacing w:after="120" w:before="0"/>
        <w:jc w:val="center"/>
      </w:pPr>
      <w:r>
        <w:rPr>
          <w:rFonts w:ascii="Arial" w:cs="Arial" w:eastAsia="Arial" w:hAnsi="Arial"/>
          <w:b/>
          <w:bCs/>
          <w:color w:val="2E75B6"/>
          <w:sz w:val="32"/>
          <w:szCs w:val="32"/>
        </w:rPr>
        <w:t xml:space="preserve">Gestion du Déséquilibre de Classes pour</w:t>
      </w:r>
    </w:p>
    <w:p>
      <w:pPr>
        <w:spacing w:after="360" w:before="0"/>
        <w:jc w:val="center"/>
      </w:pPr>
      <w:r>
        <w:rPr>
          <w:rFonts w:ascii="Arial" w:cs="Arial" w:eastAsia="Arial" w:hAnsi="Arial"/>
          <w:b/>
          <w:bCs/>
          <w:color w:val="2E75B6"/>
          <w:sz w:val="32"/>
          <w:szCs w:val="32"/>
        </w:rPr>
        <w:t xml:space="preserve">l'Analyse de Sentiments en Dialecte Algérien</w:t>
      </w:r>
    </w:p>
    <w:p>
      <w:pPr>
        <w:pBdr>
          <w:top w:val="single" w:color="2E75B6" w:sz="6" w:space="1"/>
        </w:pBdr>
        <w:spacing w:after="360" w:before="0"/>
        <w:jc w:val="center"/>
      </w:pPr>
      <w:r>
        <w:rPr>
          <w:sz w:val="22"/>
          <w:szCs w:val="22"/>
        </w:rP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i/>
          <w:iCs/>
          <w:sz w:val="22"/>
          <w:szCs w:val="22"/>
        </w:rPr>
        <w:t xml:space="preserve">Corpus : TWIFL (arbml/Twifil) — Modèle : DziriBERT (alger-ia/dziribert)</w:t>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sz w:val="22"/>
          <w:szCs w:val="22"/>
        </w:rPr>
        <w:t xml:space="preserve">Enseignante : Dr. Soraya Cheriguene</w:t>
      </w:r>
    </w:p>
    <w:p>
      <w:pPr>
        <w:spacing w:after="80" w:before="0"/>
        <w:jc w:val="center"/>
      </w:pPr>
      <w:r>
        <w:rPr>
          <w:rFonts w:ascii="Arial" w:cs="Arial" w:eastAsia="Arial" w:hAnsi="Arial"/>
          <w:sz w:val="22"/>
          <w:szCs w:val="22"/>
        </w:rPr>
        <w:t xml:space="preserve">Année universitaire : 2025 — 2026</w:t>
      </w:r>
    </w:p>
    <w:p>
      <w:r>
        <w:br w:type="page"/>
      </w:r>
    </w:p>
    <w:p>
      <w:pPr>
        <w:pStyle w:val="Heading1"/>
        <w:spacing w:after="180" w:before="360"/>
      </w:pPr>
      <w:r>
        <w:rPr>
          <w:rFonts w:ascii="Arial" w:cs="Arial" w:eastAsia="Arial" w:hAnsi="Arial"/>
          <w:b/>
          <w:bCs/>
          <w:color w:val="2E75B6"/>
          <w:sz w:val="32"/>
          <w:szCs w:val="32"/>
        </w:rPr>
        <w:t xml:space="preserve">1. Introduction et Problématique</w:t>
      </w:r>
    </w:p>
    <w:p>
      <w:pPr>
        <w:spacing w:after="80" w:before="80"/>
        <w:jc w:val="both"/>
      </w:pPr>
      <w:r>
        <w:rPr>
          <w:rFonts w:ascii="Arial" w:cs="Arial" w:eastAsia="Arial" w:hAnsi="Arial"/>
          <w:sz w:val="22"/>
          <w:szCs w:val="22"/>
        </w:rPr>
        <w:t xml:space="preserve">L'analyse de sentiments en langue naturelle constitue l'une des tâches les plus importantes du Traitement Automatique du Langage Naturel (TALN). Appliquée aux réseaux sociaux, elle permet de comprendre l'opinion publique, de surveiller la réputation des marques et d'analyser les tendances politiques ou sociales. Cependant, cette tâche devient particulièrement difficile lorsqu'elle est appliquée à des langues peu dotées en ressources numériques, comme le dialecte algérien (darija).</w:t>
      </w:r>
    </w:p>
    <w:p>
      <w:pPr>
        <w:spacing w:after="60" w:before="60"/>
      </w:pPr>
      <w:r>
        <w:t xml:space="preserve"/>
      </w:r>
    </w:p>
    <w:p>
      <w:pPr>
        <w:spacing w:after="80" w:before="80"/>
        <w:jc w:val="both"/>
      </w:pPr>
      <w:r>
        <w:rPr>
          <w:rFonts w:ascii="Arial" w:cs="Arial" w:eastAsia="Arial" w:hAnsi="Arial"/>
          <w:sz w:val="22"/>
          <w:szCs w:val="22"/>
        </w:rPr>
        <w:t xml:space="preserve">Le darija algérien présente des caractéristiques linguistiques uniques qui le distinguent de l'arabe standard moderne : il incorpore des emprunts au français, au berbère et à l'arabe classique, génère du code-switching fréquent (mélange arabe + mots français dans une même phrase) et peut être écrit en caractères arabes ou en Arabizi (translittération latine). Cette complexité rend les outils NLP génériques inadaptés et nécessite des modèles spécialement entraînés sur ce dialecte.</w:t>
      </w:r>
    </w:p>
    <w:p>
      <w:pPr>
        <w:spacing w:after="60" w:before="60"/>
      </w:pPr>
      <w:r>
        <w:t xml:space="preserve"/>
      </w:r>
    </w:p>
    <w:p>
      <w:pPr>
        <w:spacing w:after="80" w:before="80"/>
        <w:jc w:val="both"/>
      </w:pPr>
      <w:r>
        <w:rPr>
          <w:rFonts w:ascii="Arial" w:cs="Arial" w:eastAsia="Arial" w:hAnsi="Arial"/>
          <w:sz w:val="22"/>
          <w:szCs w:val="22"/>
        </w:rPr>
        <w:t xml:space="preserve">À ce défi linguistique s'ajoute un problème statistique fondamental : le déséquilibre de classes. Dans tout corpus d'analyse de sentiments, certaines émotions sont naturellement plus fréquentes que d'autres. Dans le corpus TWIFL utilisé dans ce projet, la classe Positive représente 47.7% des données contre 22.7% seulement pour la classe Neutral. Ce déséquilibre biaise les modèles d'apprentissage automatique : ils apprennent à prédire majoritairement la classe dominante et ignorent les classes minoritaires, produisant une accuracy élevée mais illusoire.</w:t>
      </w:r>
    </w:p>
    <w:p>
      <w:pPr>
        <w:spacing w:after="60" w:before="60"/>
      </w:pPr>
      <w:r>
        <w:t xml:space="preserve"/>
      </w:r>
    </w:p>
    <w:p>
      <w:pPr>
        <w:spacing w:after="80" w:before="80"/>
        <w:jc w:val="both"/>
      </w:pPr>
      <w:r>
        <w:rPr>
          <w:rFonts w:ascii="Arial" w:cs="Arial" w:eastAsia="Arial" w:hAnsi="Arial"/>
          <w:sz w:val="22"/>
          <w:szCs w:val="22"/>
        </w:rPr>
        <w:t xml:space="preserve">L'objectif de ce mini-projet est d'explorer, d'implémenter et de comparer différentes stratégies permettant de corriger ce biais, en utilisant DziriBERT comme modèle Transformer de référence. Trois familles de stratégies sont étudiées : (1) la modification de la fonction de perte, (2) le rééquilibrage dans l'espace des embeddings, et (3) l'augmentation de données par back-translation. Un bonus original combinant ces approches dans un ensemble pondéré est également proposé.</w:t>
      </w:r>
    </w:p>
    <w:p>
      <w:r>
        <w:br w:type="page"/>
      </w:r>
    </w:p>
    <w:p>
      <w:pPr>
        <w:pStyle w:val="Heading1"/>
        <w:spacing w:after="180" w:before="360"/>
      </w:pPr>
      <w:r>
        <w:rPr>
          <w:rFonts w:ascii="Arial" w:cs="Arial" w:eastAsia="Arial" w:hAnsi="Arial"/>
          <w:b/>
          <w:bCs/>
          <w:color w:val="2E75B6"/>
          <w:sz w:val="32"/>
          <w:szCs w:val="32"/>
        </w:rPr>
        <w:t xml:space="preserve">2. État de l'Art</w:t>
      </w:r>
    </w:p>
    <w:p>
      <w:pPr>
        <w:pStyle w:val="Heading2"/>
        <w:spacing w:after="120" w:before="240"/>
      </w:pPr>
      <w:r>
        <w:rPr>
          <w:rFonts w:ascii="Arial" w:cs="Arial" w:eastAsia="Arial" w:hAnsi="Arial"/>
          <w:b/>
          <w:bCs/>
          <w:color w:val="1F4E79"/>
          <w:sz w:val="26"/>
          <w:szCs w:val="26"/>
        </w:rPr>
        <w:t xml:space="preserve">2.1 Déséquilibre de Classes en Apprentissage Automatique</w:t>
      </w:r>
    </w:p>
    <w:p>
      <w:pPr>
        <w:spacing w:after="80" w:before="80"/>
        <w:jc w:val="both"/>
      </w:pPr>
      <w:r>
        <w:rPr>
          <w:rFonts w:ascii="Arial" w:cs="Arial" w:eastAsia="Arial" w:hAnsi="Arial"/>
          <w:sz w:val="22"/>
          <w:szCs w:val="22"/>
        </w:rPr>
        <w:t xml:space="preserve">Le déséquilibre de classes est un problème récurrent en apprentissage supervisé. Il survient lorsque la distribution des exemples entre les classes n'est pas uniforme, ce qui conduit les modèles à développer un biais systématique vers les classes majoritaires. Trois grandes familles de solutions existent dans la littérature.</w:t>
      </w:r>
    </w:p>
    <w:p>
      <w:pPr>
        <w:spacing w:after="60" w:before="60"/>
      </w:pPr>
      <w:r>
        <w:t xml:space="preserve"/>
      </w:r>
    </w:p>
    <w:p>
      <w:pPr>
        <w:spacing w:after="80" w:before="80"/>
        <w:jc w:val="both"/>
      </w:pPr>
      <w:r>
        <w:rPr>
          <w:rFonts w:ascii="Arial" w:cs="Arial" w:eastAsia="Arial" w:hAnsi="Arial"/>
          <w:sz w:val="22"/>
          <w:szCs w:val="22"/>
        </w:rPr>
        <w:t xml:space="preserve">Les méthodes au niveau des données modifient la distribution du jeu d'entraînement soit par sur-échantillonnage de la classe minoritaire (SMOTE, ADASYN), soit par sous-échantillonnage de la classe majoritaire. SMOTE (Chawla et al., 2002) génère des exemples synthétiques par interpolation linéaire entre des voisins proches dans l'espace des features. ADASYN (He et al., 2008) étend cette approche en concentrant la génération sur les zones de décision les plus difficiles, où la classe minoritaire est entourée d'exemples majoritaires.</w:t>
      </w:r>
    </w:p>
    <w:p>
      <w:pPr>
        <w:spacing w:after="60" w:before="60"/>
      </w:pPr>
      <w:r>
        <w:t xml:space="preserve"/>
      </w:r>
    </w:p>
    <w:p>
      <w:pPr>
        <w:spacing w:after="80" w:before="80"/>
        <w:jc w:val="both"/>
      </w:pPr>
      <w:r>
        <w:rPr>
          <w:rFonts w:ascii="Arial" w:cs="Arial" w:eastAsia="Arial" w:hAnsi="Arial"/>
          <w:sz w:val="22"/>
          <w:szCs w:val="22"/>
        </w:rPr>
        <w:t xml:space="preserve">Les méthodes au niveau de l'algorithme modifient la fonction d'apprentissage sans toucher aux données. Le class weighting introduit des poids inversement proportionnels à la fréquence de chaque classe dans la fonction de perte. La Focal Loss (Lin et al., 2017), initialement développée pour la détection d'objets, réduit dynamiquement la contribution des exemples faciles et concentre l'apprentissage sur les exemples difficiles via un paramètre gamma.</w:t>
      </w:r>
    </w:p>
    <w:p>
      <w:pPr>
        <w:spacing w:after="60" w:before="60"/>
      </w:pPr>
      <w:r>
        <w:t xml:space="preserve"/>
      </w:r>
    </w:p>
    <w:p>
      <w:pPr>
        <w:spacing w:after="80" w:before="80"/>
        <w:jc w:val="both"/>
      </w:pPr>
      <w:r>
        <w:rPr>
          <w:rFonts w:ascii="Arial" w:cs="Arial" w:eastAsia="Arial" w:hAnsi="Arial"/>
          <w:sz w:val="22"/>
          <w:szCs w:val="22"/>
        </w:rPr>
        <w:t xml:space="preserve">L'augmentation de données par back-translation (Sennrich et al., 2016) exploite la traduction automatique pour générer des paraphrases naturelles : un texte est traduit vers une langue pivot puis retraduit vers la langue source, produisant une reformulation sémantiquement équivalente mais syntaxiquement différente.</w:t>
      </w:r>
    </w:p>
    <w:p>
      <w:pPr>
        <w:pStyle w:val="Heading2"/>
        <w:spacing w:after="120" w:before="240"/>
      </w:pPr>
      <w:r>
        <w:rPr>
          <w:rFonts w:ascii="Arial" w:cs="Arial" w:eastAsia="Arial" w:hAnsi="Arial"/>
          <w:b/>
          <w:bCs/>
          <w:color w:val="1F4E79"/>
          <w:sz w:val="26"/>
          <w:szCs w:val="26"/>
        </w:rPr>
        <w:t xml:space="preserve">2.2 TALN pour le Dialecte Algérien</w:t>
      </w:r>
    </w:p>
    <w:p>
      <w:pPr>
        <w:spacing w:after="80" w:before="80"/>
        <w:jc w:val="both"/>
      </w:pPr>
      <w:r>
        <w:rPr>
          <w:rFonts w:ascii="Arial" w:cs="Arial" w:eastAsia="Arial" w:hAnsi="Arial"/>
          <w:sz w:val="22"/>
          <w:szCs w:val="22"/>
        </w:rPr>
        <w:t xml:space="preserve">Le dialecte algérien est une langue très peu dotée en ressources numériques. Contrairement à l'arabe standard moderne (MSA), il ne dispose pas de dictionnaires complets ni de corpus annotés à grande échelle. Il présente par ailleurs une grande variabilité orthographique : un même mot peut être écrit de plusieurs façons selon les locuteurs.</w:t>
      </w:r>
    </w:p>
    <w:p>
      <w:pPr>
        <w:spacing w:after="60" w:before="60"/>
      </w:pPr>
      <w:r>
        <w:t xml:space="preserve"/>
      </w:r>
    </w:p>
    <w:p>
      <w:pPr>
        <w:spacing w:after="80" w:before="80"/>
        <w:jc w:val="both"/>
      </w:pPr>
      <w:r>
        <w:rPr>
          <w:rFonts w:ascii="Arial" w:cs="Arial" w:eastAsia="Arial" w:hAnsi="Arial"/>
          <w:sz w:val="22"/>
          <w:szCs w:val="22"/>
        </w:rPr>
        <w:t xml:space="preserve">DziriBERT (Abdaoui et al., 2021) représente une avancée majeure pour le TALN en dialecte algérien. Basé sur l'architecture BERT (encodeur bidirectionnel), il a été pré-entraîné sur 20 millions de tokens en darija algérien, incluant l'Arabizi. Son vocabulaire de 50 000 tokens et ses embeddings de dimension 768 en font le modèle de référence pour les tâches d'analyse de sentiments sur ce dialecte.</w:t>
      </w:r>
    </w:p>
    <w:p>
      <w:r>
        <w:br w:type="page"/>
      </w:r>
    </w:p>
    <w:p>
      <w:pPr>
        <w:pStyle w:val="Heading1"/>
        <w:spacing w:after="180" w:before="360"/>
      </w:pPr>
      <w:r>
        <w:rPr>
          <w:rFonts w:ascii="Arial" w:cs="Arial" w:eastAsia="Arial" w:hAnsi="Arial"/>
          <w:b/>
          <w:bCs/>
          <w:color w:val="2E75B6"/>
          <w:sz w:val="32"/>
          <w:szCs w:val="32"/>
        </w:rPr>
        <w:t xml:space="preserve">3. Présentation du Corpus TWIFL</w:t>
      </w:r>
    </w:p>
    <w:p>
      <w:pPr>
        <w:pStyle w:val="Heading2"/>
        <w:spacing w:after="120" w:before="240"/>
      </w:pPr>
      <w:r>
        <w:rPr>
          <w:rFonts w:ascii="Arial" w:cs="Arial" w:eastAsia="Arial" w:hAnsi="Arial"/>
          <w:b/>
          <w:bCs/>
          <w:color w:val="1F4E79"/>
          <w:sz w:val="26"/>
          <w:szCs w:val="26"/>
        </w:rPr>
        <w:t xml:space="preserve">3.1 Description Générale</w:t>
      </w:r>
    </w:p>
    <w:p>
      <w:pPr>
        <w:spacing w:after="80" w:before="80"/>
        <w:jc w:val="both"/>
      </w:pPr>
      <w:r>
        <w:rPr>
          <w:rFonts w:ascii="Arial" w:cs="Arial" w:eastAsia="Arial" w:hAnsi="Arial"/>
          <w:sz w:val="22"/>
          <w:szCs w:val="22"/>
        </w:rPr>
        <w:t xml:space="preserve">TWIFL (Algerian Corpus and Annotation Platform for Opinion and Emotion Analysis) est un corpus de 6 000 tweets algériens collectés sur Twitter et annotés manuellement pour l'analyse d'opinion et d'émotions. Il est disponible librement sur HuggingFace sous la référence arbml/Twifil. La langue du corpus est le dialecte algérien, avec présence d'arabe, d'Arabizi (translittération latine), de français et de code-switching.</w:t>
      </w:r>
    </w:p>
    <w:p>
      <w:pPr>
        <w:spacing w:after="60" w:before="60"/>
      </w:pPr>
      <w:r>
        <w:t xml:space="preserve"/>
      </w:r>
    </w:p>
    <w:p>
      <w:pPr>
        <w:spacing w:after="80" w:before="80"/>
        <w:jc w:val="both"/>
      </w:pPr>
      <w:r>
        <w:rPr>
          <w:rFonts w:ascii="Arial" w:cs="Arial" w:eastAsia="Arial" w:hAnsi="Arial"/>
          <w:sz w:val="22"/>
          <w:szCs w:val="22"/>
        </w:rPr>
        <w:t xml:space="preserve">Pour ce projet, nous utilisons uniquement la tâche de classification de sentiments avec la variable cible Polarity Class, qui prend trois valeurs : Positive, Negative et Neutral.</w:t>
      </w:r>
    </w:p>
    <w:p>
      <w:pPr>
        <w:pStyle w:val="Heading2"/>
        <w:spacing w:after="120" w:before="240"/>
      </w:pPr>
      <w:r>
        <w:rPr>
          <w:rFonts w:ascii="Arial" w:cs="Arial" w:eastAsia="Arial" w:hAnsi="Arial"/>
          <w:b/>
          <w:bCs/>
          <w:color w:val="1F4E79"/>
          <w:sz w:val="26"/>
          <w:szCs w:val="26"/>
        </w:rPr>
        <w:t xml:space="preserve">3.2 Analyse de la Distribution des Classes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13"/>
        <w:gridCol w:w="1813"/>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Nb exemples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du corpus</w:t>
            </w:r>
          </w:p>
        </w:tc>
        <w:tc>
          <w:tcPr>
            <w:tcW w:type="dxa" w:w="18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 mots</w:t>
            </w:r>
          </w:p>
        </w:tc>
        <w:tc>
          <w:tcPr>
            <w:tcW w:type="dxa" w:w="18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 caractères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Positive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2 864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47.7%</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10.2</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82.3</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Negative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1 773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29.6%</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11.1</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88.7</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Neutral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1 363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22.7%</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9.2</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74.1</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6 000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w:t>
            </w:r>
          </w:p>
        </w:tc>
        <w:tc>
          <w:tcPr>
            <w:tcW w:type="dxa" w:w="1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10.2</w:t>
            </w:r>
          </w:p>
        </w:tc>
        <w:tc>
          <w:tcPr>
            <w:tcW w:type="dxa" w:w="1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82.1</w:t>
            </w:r>
          </w:p>
        </w:tc>
      </w:tr>
    </w:tbl>
    <w:p>
      <w:pPr>
        <w:spacing w:after="60" w:before="60"/>
      </w:pPr>
      <w:r>
        <w:t xml:space="preserve"/>
      </w:r>
    </w:p>
    <w:p>
      <w:pPr>
        <w:spacing w:after="80" w:before="80"/>
        <w:jc w:val="left"/>
      </w:pPr>
      <w:r>
        <w:rPr>
          <w:rFonts w:ascii="Arial" w:cs="Arial" w:eastAsia="Arial" w:hAnsi="Arial"/>
          <w:i/>
          <w:iCs/>
          <w:color w:val="595959"/>
          <w:sz w:val="22"/>
          <w:szCs w:val="22"/>
        </w:rPr>
        <w:t xml:space="preserve">Tableau 1 : Statistiques descriptives du corpus TWIFL par classe de sentiment.</w:t>
      </w:r>
    </w:p>
    <w:p>
      <w:pPr>
        <w:spacing w:after="60" w:before="60"/>
      </w:pPr>
      <w:r>
        <w:t xml:space="preserve"/>
      </w:r>
    </w:p>
    <w:p>
      <w:pPr>
        <w:spacing w:after="80" w:before="80"/>
        <w:jc w:val="both"/>
      </w:pPr>
      <w:r>
        <w:rPr>
          <w:rFonts w:ascii="Arial" w:cs="Arial" w:eastAsia="Arial" w:hAnsi="Arial"/>
          <w:sz w:val="22"/>
          <w:szCs w:val="22"/>
        </w:rPr>
        <w:t xml:space="preserve">Le ratio de déséquilibre entre la classe majoritaire (Positive) et la classe minoritaire (Neutral) est de 2.10, ce qui correspond à un déséquilibre modéré selon les critères de la littérature (ratio &lt; 3). Cependant, ce niveau de déséquilibre suffit à provoquer un biais significatif dans les modèles d'apprentissage : la classe Neutral, avec seulement 22.7% des exemples, sera systématiquement sous-représentée dans l'apprentissage.</w:t>
      </w:r>
    </w:p>
    <w:p>
      <w:pPr>
        <w:pStyle w:val="Heading2"/>
        <w:spacing w:after="120" w:before="240"/>
      </w:pPr>
      <w:r>
        <w:rPr>
          <w:rFonts w:ascii="Arial" w:cs="Arial" w:eastAsia="Arial" w:hAnsi="Arial"/>
          <w:b/>
          <w:bCs/>
          <w:color w:val="1F4E79"/>
          <w:sz w:val="26"/>
          <w:szCs w:val="26"/>
        </w:rPr>
        <w:t xml:space="preserve">3.3 Analyse Linguistique</w:t>
      </w:r>
    </w:p>
    <w:p>
      <w:pPr>
        <w:spacing w:after="80" w:before="80"/>
        <w:jc w:val="both"/>
      </w:pPr>
      <w:r>
        <w:rPr>
          <w:rFonts w:ascii="Arial" w:cs="Arial" w:eastAsia="Arial" w:hAnsi="Arial"/>
          <w:sz w:val="22"/>
          <w:szCs w:val="22"/>
        </w:rPr>
        <w:t xml:space="preserve">L'analyse linguistique du corpus révèle sa grande complexité. Environ 35% des tweets contiennent des emojis, qui constituent un signal émotionnel important. Le code-switching (mélange arabe + mots latins dans un même tweet) est présent dans environ 66% des tweets, ce qui reflète la réalité de la communication en ligne en Algérie. Vingt langues différentes sont détectées dans le corpus, dont l'arabe (ar), le français (fr), l'anglais (en) et une proportion significative de langue indéterminée (und) correspondant à l'Arabizi.</w:t>
      </w:r>
    </w:p>
    <w:p>
      <w:pPr>
        <w:spacing w:after="60" w:before="60"/>
      </w:pPr>
      <w:r>
        <w:t xml:space="preserve"/>
      </w:r>
    </w:p>
    <w:p>
      <w:pPr>
        <w:spacing w:after="80" w:before="80"/>
        <w:jc w:val="both"/>
      </w:pPr>
      <w:r>
        <w:rPr>
          <w:rFonts w:ascii="Arial" w:cs="Arial" w:eastAsia="Arial" w:hAnsi="Arial"/>
          <w:sz w:val="22"/>
          <w:szCs w:val="22"/>
        </w:rPr>
        <w:t xml:space="preserve">Ces caractéristiques linguistiques ont des implications directes sur les stratégies de prétraitement et d'augmentation de données. En particulier, la forte présence d'Arabizi (61.7% des tweets Neutral) limitera significativement l'efficacité de la back-translation, qui requiert du texte en arabe standard pour fonctionner correctement.</w:t>
      </w:r>
    </w:p>
    <w:p>
      <w:pPr>
        <w:pStyle w:val="Heading2"/>
        <w:spacing w:after="120" w:before="240"/>
      </w:pPr>
      <w:r>
        <w:rPr>
          <w:rFonts w:ascii="Arial" w:cs="Arial" w:eastAsia="Arial" w:hAnsi="Arial"/>
          <w:b/>
          <w:bCs/>
          <w:color w:val="1F4E79"/>
          <w:sz w:val="26"/>
          <w:szCs w:val="26"/>
        </w:rPr>
        <w:t xml:space="preserve">3.4 Prétraitement Spécifique au Darija</w:t>
      </w:r>
    </w:p>
    <w:p>
      <w:pPr>
        <w:spacing w:after="80" w:before="80"/>
        <w:jc w:val="both"/>
      </w:pPr>
      <w:r>
        <w:rPr>
          <w:rFonts w:ascii="Arial" w:cs="Arial" w:eastAsia="Arial" w:hAnsi="Arial"/>
          <w:sz w:val="22"/>
          <w:szCs w:val="22"/>
        </w:rPr>
        <w:t xml:space="preserve">Un prétraitement adapté au dialecte algérien a été appliqué. Les URLs et mentions (@utilisateur) ont été supprimés. Les emojis ont été retirés car DziriBERT ne les tokenise pas de manière informative. Les hashtags ont été conservés sous forme de mots (suppression du #). La normalisation darija comprend : réduction des répétitions de caractères arabes et latins, normalisation des variantes de la lettre alef, suppression des diacritiques arabes, et conversion des chiffres arabes orientaux en chiffres occidentaux.</w:t>
      </w:r>
    </w:p>
    <w:p>
      <w:pPr>
        <w:spacing w:after="60" w:before="60"/>
      </w:pPr>
      <w:r>
        <w:t xml:space="preserve"/>
      </w:r>
    </w:p>
    <w:p>
      <w:pPr>
        <w:spacing w:after="80" w:before="80"/>
        <w:jc w:val="both"/>
      </w:pPr>
      <w:r>
        <w:rPr>
          <w:rFonts w:ascii="Arial" w:cs="Arial" w:eastAsia="Arial" w:hAnsi="Arial"/>
          <w:sz w:val="22"/>
          <w:szCs w:val="22"/>
        </w:rPr>
        <w:t xml:space="preserve">Conformément aux recommandations pour le darija, les mots français présents dans les tweets n'ont pas été supprimés car le code-switching est une caractéristique linguistique intrinsèque du dialecte algérien. Aucun stemming ni lemmatisation n'a été appliqué, DziriBERT gérant lui-même la tokenisation subword. Après suppression des doublons et des tweets vides, le corpus a été réduit de 6 000 à 4 697 exemples uniques.</w:t>
      </w:r>
    </w:p>
    <w:p>
      <w:pPr>
        <w:pStyle w:val="Heading2"/>
        <w:spacing w:after="120" w:before="240"/>
      </w:pPr>
      <w:r>
        <w:rPr>
          <w:rFonts w:ascii="Arial" w:cs="Arial" w:eastAsia="Arial" w:hAnsi="Arial"/>
          <w:b/>
          <w:bCs/>
          <w:color w:val="1F4E79"/>
          <w:sz w:val="26"/>
          <w:szCs w:val="26"/>
        </w:rPr>
        <w:t xml:space="preserve">3.5 Partitionnement des Données</w:t>
      </w:r>
    </w:p>
    <w:p>
      <w:pPr>
        <w:spacing w:after="80" w:before="80"/>
        <w:jc w:val="both"/>
      </w:pPr>
      <w:r>
        <w:rPr>
          <w:rFonts w:ascii="Arial" w:cs="Arial" w:eastAsia="Arial" w:hAnsi="Arial"/>
          <w:sz w:val="22"/>
          <w:szCs w:val="22"/>
        </w:rPr>
        <w:t xml:space="preserve">Le partitionnement a été effectué une seule fois, de manière stratifiée, avec random_state=42, selon les proportions imposées par le protocole : 70% pour l'entraînement (3 287 exemples), 15% pour la validation (705 exemples) et 15% pour le test (705 exemples). Le test set n'a jamais été modifié ni rééquilibré. Toutes les stratégies sont évaluées sur exactement le même test set.</w:t>
      </w:r>
    </w:p>
    <w:p>
      <w:r>
        <w:br w:type="page"/>
      </w:r>
    </w:p>
    <w:p>
      <w:pPr>
        <w:pStyle w:val="Heading1"/>
        <w:spacing w:after="180" w:before="360"/>
      </w:pPr>
      <w:r>
        <w:rPr>
          <w:rFonts w:ascii="Arial" w:cs="Arial" w:eastAsia="Arial" w:hAnsi="Arial"/>
          <w:b/>
          <w:bCs/>
          <w:color w:val="2E75B6"/>
          <w:sz w:val="32"/>
          <w:szCs w:val="32"/>
        </w:rPr>
        <w:t xml:space="preserve">4. Méthodologie</w:t>
      </w:r>
    </w:p>
    <w:p>
      <w:pPr>
        <w:pStyle w:val="Heading2"/>
        <w:spacing w:after="120" w:before="240"/>
      </w:pPr>
      <w:r>
        <w:rPr>
          <w:rFonts w:ascii="Arial" w:cs="Arial" w:eastAsia="Arial" w:hAnsi="Arial"/>
          <w:b/>
          <w:bCs/>
          <w:color w:val="1F4E79"/>
          <w:sz w:val="26"/>
          <w:szCs w:val="26"/>
        </w:rPr>
        <w:t xml:space="preserve">4.1 Protocole Commun</w:t>
      </w:r>
    </w:p>
    <w:p>
      <w:pPr>
        <w:spacing w:after="80" w:before="80"/>
        <w:jc w:val="both"/>
      </w:pPr>
      <w:r>
        <w:rPr>
          <w:rFonts w:ascii="Arial" w:cs="Arial" w:eastAsia="Arial" w:hAnsi="Arial"/>
          <w:sz w:val="22"/>
          <w:szCs w:val="22"/>
        </w:rPr>
        <w:t xml:space="preserve">Tous les modèles utilisent DziriBERT (alger-ia/dziribert) comme modèle Transformer de base. Les hyperparamètres imposés par le protocole sont : 5 epochs, learning rate 2e-5, batch size 16, seed 42, optimiseur AdamW. Le rééquilibrage s'applique uniquement au train set. Le modèle sélectionné à chaque run est celui qui maximise le F1-macro sur le validation set.</w:t>
      </w:r>
    </w:p>
    <w:p>
      <w:pPr>
        <w:spacing w:after="60" w:before="60"/>
      </w:pPr>
      <w:r>
        <w:t xml:space="preserve"/>
      </w:r>
    </w:p>
    <w:p>
      <w:pPr>
        <w:spacing w:after="80" w:before="80"/>
        <w:jc w:val="both"/>
      </w:pPr>
      <w:r>
        <w:rPr>
          <w:rFonts w:ascii="Arial" w:cs="Arial" w:eastAsia="Arial" w:hAnsi="Arial"/>
          <w:sz w:val="22"/>
          <w:szCs w:val="22"/>
        </w:rPr>
        <w:t xml:space="preserve">Les métriques d'évaluation utilisées sont : F1-macro (métrique principale), F1 par classe (Positive, Negative, Neutral), AUC-PR (aire sous la courbe Précision-Rappel), et G-mean (moyenne géométrique des rappels par classe). L'accuracy n'est pas utilisée comme métrique principale car elle est trompeuse sur des données déséquilibrées.</w:t>
      </w:r>
    </w:p>
    <w:p>
      <w:pPr>
        <w:pStyle w:val="Heading2"/>
        <w:spacing w:after="120" w:before="240"/>
      </w:pPr>
      <w:r>
        <w:rPr>
          <w:rFonts w:ascii="Arial" w:cs="Arial" w:eastAsia="Arial" w:hAnsi="Arial"/>
          <w:b/>
          <w:bCs/>
          <w:color w:val="1F4E79"/>
          <w:sz w:val="26"/>
          <w:szCs w:val="26"/>
        </w:rPr>
        <w:t xml:space="preserve">4.2 Baseline DziriBERT</w:t>
      </w:r>
    </w:p>
    <w:p>
      <w:pPr>
        <w:spacing w:after="80" w:before="80"/>
        <w:jc w:val="both"/>
      </w:pPr>
      <w:r>
        <w:rPr>
          <w:rFonts w:ascii="Arial" w:cs="Arial" w:eastAsia="Arial" w:hAnsi="Arial"/>
          <w:sz w:val="22"/>
          <w:szCs w:val="22"/>
        </w:rPr>
        <w:t xml:space="preserve">Le modèle baseline est fine-tuné sur les données brutes déséquilibrées, sans aucune technique de rééquilibrage. Il constitue la référence que toutes les stratégies doivent améliorer. Comme attendu, la baseline montre un biais marqué vers les classes majoritaires : seulement 37.0% des tweets Neutral sont correctement classifiés (contre 81.9% pour Positive), illustrant l'effet du déséquilibre sur l'apprentissage.</w:t>
      </w:r>
    </w:p>
    <w:p>
      <w:pPr>
        <w:pStyle w:val="Heading2"/>
        <w:spacing w:after="120" w:before="240"/>
      </w:pPr>
      <w:r>
        <w:rPr>
          <w:rFonts w:ascii="Arial" w:cs="Arial" w:eastAsia="Arial" w:hAnsi="Arial"/>
          <w:b/>
          <w:bCs/>
          <w:color w:val="1F4E79"/>
          <w:sz w:val="26"/>
          <w:szCs w:val="26"/>
        </w:rPr>
        <w:t xml:space="preserve">4.3 Stratégie 1 — Modification de la Fonction de Perte</w:t>
      </w:r>
    </w:p>
    <w:p>
      <w:pPr>
        <w:spacing w:after="80" w:before="180"/>
      </w:pPr>
      <w:r>
        <w:rPr>
          <w:rFonts w:ascii="Arial" w:cs="Arial" w:eastAsia="Arial" w:hAnsi="Arial"/>
          <w:b/>
          <w:bCs/>
          <w:color w:val="2F5496"/>
          <w:sz w:val="24"/>
          <w:szCs w:val="24"/>
        </w:rPr>
        <w:t xml:space="preserve">4.3.1 Class Weighting</w:t>
      </w:r>
    </w:p>
    <w:p>
      <w:pPr>
        <w:spacing w:after="80" w:before="80"/>
        <w:jc w:val="both"/>
      </w:pPr>
      <w:r>
        <w:rPr>
          <w:rFonts w:ascii="Arial" w:cs="Arial" w:eastAsia="Arial" w:hAnsi="Arial"/>
          <w:sz w:val="22"/>
          <w:szCs w:val="22"/>
        </w:rPr>
        <w:t xml:space="preserve">Le class weighting assigne à chaque classe un poids inversement proportionnel à sa fréquence, selon la formule : poids = total / (nb_classes × nb_exemples_par_classe). Pour notre corpus, les poids calculés sont : Positive = 0.6557, Negative = 0.9246, Neutral = 2.5422. La classe Neutral reçoit donc un poids 3.88 fois supérieur à la classe Positive, signifiant que chaque erreur sur Neutral est pénalisée 3.88 fois plus sévèrement dans la fonction de perte CrossEntropy.</w:t>
      </w:r>
    </w:p>
    <w:p>
      <w:pPr>
        <w:spacing w:after="80" w:before="180"/>
      </w:pPr>
      <w:r>
        <w:rPr>
          <w:rFonts w:ascii="Arial" w:cs="Arial" w:eastAsia="Arial" w:hAnsi="Arial"/>
          <w:b/>
          <w:bCs/>
          <w:color w:val="2F5496"/>
          <w:sz w:val="24"/>
          <w:szCs w:val="24"/>
        </w:rPr>
        <w:t xml:space="preserve">4.3.2 Focal Loss</w:t>
      </w:r>
    </w:p>
    <w:p>
      <w:pPr>
        <w:spacing w:after="80" w:before="80"/>
        <w:jc w:val="both"/>
      </w:pPr>
      <w:r>
        <w:rPr>
          <w:rFonts w:ascii="Arial" w:cs="Arial" w:eastAsia="Arial" w:hAnsi="Arial"/>
          <w:sz w:val="22"/>
          <w:szCs w:val="22"/>
        </w:rPr>
        <w:t xml:space="preserve">La Focal Loss (Lin et al., 2017) introduit un facteur de modulation (1-pt)^gamma qui réduit la contribution des exemples que le modèle classifie déjà avec haute confiance. Quand gamma=0, la Focal Loss est équivalente à la CrossEntropy standard. Nous testons gamma=1 et gamma=2. Sur notre corpus, 21.7% des exemples sont prédits avec une confiance supérieure à 0.9 — ces exemples contribuent très peu à l'apprentissage avec la Focal Loss, forçant le modèle à se concentrer sur les cas ambigus.</w:t>
      </w:r>
    </w:p>
    <w:p>
      <w:pPr>
        <w:spacing w:after="80" w:before="180"/>
      </w:pPr>
      <w:r>
        <w:rPr>
          <w:rFonts w:ascii="Arial" w:cs="Arial" w:eastAsia="Arial" w:hAnsi="Arial"/>
          <w:b/>
          <w:bCs/>
          <w:color w:val="2F5496"/>
          <w:sz w:val="24"/>
          <w:szCs w:val="24"/>
        </w:rPr>
        <w:t xml:space="preserve">4.3.3 Combinaison FL + CW</w:t>
      </w:r>
    </w:p>
    <w:p>
      <w:pPr>
        <w:spacing w:after="80" w:before="80"/>
        <w:jc w:val="both"/>
      </w:pPr>
      <w:r>
        <w:rPr>
          <w:rFonts w:ascii="Arial" w:cs="Arial" w:eastAsia="Arial" w:hAnsi="Arial"/>
          <w:sz w:val="22"/>
          <w:szCs w:val="22"/>
        </w:rPr>
        <w:t xml:space="preserve">La combinaison Focal Loss (gamma=2) et Class Weighting cumule les deux effets : les poids de classe corrigent le déséquilibre structurel entre les classes, tandis que la Focal Loss gère la difficulté des exemples individuels au sein de chaque classe. Cette combinaison s'avère être la meilleure configuration de l'étape 4.</w:t>
      </w:r>
    </w:p>
    <w:p>
      <w:pPr>
        <w:pStyle w:val="Heading2"/>
        <w:spacing w:after="120" w:before="240"/>
      </w:pPr>
      <w:r>
        <w:rPr>
          <w:rFonts w:ascii="Arial" w:cs="Arial" w:eastAsia="Arial" w:hAnsi="Arial"/>
          <w:b/>
          <w:bCs/>
          <w:color w:val="1F4E79"/>
          <w:sz w:val="26"/>
          <w:szCs w:val="26"/>
        </w:rPr>
        <w:t xml:space="preserve">4.4 Stratégie 2 — Rééquilibrage dans l'Espace des Embeddings</w:t>
      </w:r>
    </w:p>
    <w:p>
      <w:pPr>
        <w:spacing w:after="80" w:before="80"/>
        <w:jc w:val="both"/>
      </w:pPr>
      <w:r>
        <w:rPr>
          <w:rFonts w:ascii="Arial" w:cs="Arial" w:eastAsia="Arial" w:hAnsi="Arial"/>
          <w:sz w:val="22"/>
          <w:szCs w:val="22"/>
        </w:rPr>
        <w:t xml:space="preserve">Plutôt que de travailler directement sur le texte brut (trop complexe pour le darija), nous opérons dans l'espace des embeddings DziriBERT. Chaque tweet est représenté par son vecteur [CLS] de dimension 768. Pour réduire la dimensionnalité avant l'application de SMOTE/ADASYN, une ACP est appliquée en conservant 95% de la variance (249 composantes retenues).</w:t>
      </w:r>
    </w:p>
    <w:p>
      <w:pPr>
        <w:spacing w:after="80" w:before="180"/>
      </w:pPr>
      <w:r>
        <w:rPr>
          <w:rFonts w:ascii="Arial" w:cs="Arial" w:eastAsia="Arial" w:hAnsi="Arial"/>
          <w:b/>
          <w:bCs/>
          <w:color w:val="2F5496"/>
          <w:sz w:val="24"/>
          <w:szCs w:val="24"/>
        </w:rPr>
        <w:t xml:space="preserve">4.4.1 SMOTE</w:t>
      </w:r>
    </w:p>
    <w:p>
      <w:pPr>
        <w:spacing w:after="80" w:before="80"/>
        <w:jc w:val="both"/>
      </w:pPr>
      <w:r>
        <w:rPr>
          <w:rFonts w:ascii="Arial" w:cs="Arial" w:eastAsia="Arial" w:hAnsi="Arial"/>
          <w:sz w:val="22"/>
          <w:szCs w:val="22"/>
        </w:rPr>
        <w:t xml:space="preserve">SMOTE génère des exemples synthétiques de manière uniforme sur la classe minoritaire. Pour chaque exemple Neutral, ses 5 voisins les plus proches sont identifiés dans l'espace des embeddings ACP, et de nouveaux vecteurs sont créés par interpolation linéaire. Après application, le train set passe de 3 287 à 4 527 exemples, avec 1 240 vecteurs synthétiques ajoutés pour la classe Neutral.</w:t>
      </w:r>
    </w:p>
    <w:p>
      <w:pPr>
        <w:spacing w:after="80" w:before="180"/>
      </w:pPr>
      <w:r>
        <w:rPr>
          <w:rFonts w:ascii="Arial" w:cs="Arial" w:eastAsia="Arial" w:hAnsi="Arial"/>
          <w:b/>
          <w:bCs/>
          <w:color w:val="2F5496"/>
          <w:sz w:val="24"/>
          <w:szCs w:val="24"/>
        </w:rPr>
        <w:t xml:space="preserve">4.4.2 ADASYN</w:t>
      </w:r>
    </w:p>
    <w:p>
      <w:pPr>
        <w:spacing w:after="80" w:before="80"/>
        <w:jc w:val="both"/>
      </w:pPr>
      <w:r>
        <w:rPr>
          <w:rFonts w:ascii="Arial" w:cs="Arial" w:eastAsia="Arial" w:hAnsi="Arial"/>
          <w:sz w:val="22"/>
          <w:szCs w:val="22"/>
        </w:rPr>
        <w:t xml:space="preserve">ADASYN adapte le nombre d'exemples générés selon la difficulté de classification de chaque exemple minoritaire. Une analyse de voisinage révèle que 67.5% des points Neutral sont des hard boundary points (difficulté &gt; 0.5), avec 31.8% entièrement isolés (entourés à 100% de voisins d'autres classes). ADASYN génère 1 343 exemples synthétiques, en concentrant l'effort sur ces zones de décision difficiles. Le train set augmenté comporte 4 630 exemples.</w:t>
      </w:r>
    </w:p>
    <w:p>
      <w:pPr>
        <w:pStyle w:val="Heading2"/>
        <w:spacing w:after="120" w:before="240"/>
      </w:pPr>
      <w:r>
        <w:rPr>
          <w:rFonts w:ascii="Arial" w:cs="Arial" w:eastAsia="Arial" w:hAnsi="Arial"/>
          <w:b/>
          <w:bCs/>
          <w:color w:val="1F4E79"/>
          <w:sz w:val="26"/>
          <w:szCs w:val="26"/>
        </w:rPr>
        <w:t xml:space="preserve">4.5 Stratégie 3 — Back-Translation</w:t>
      </w:r>
    </w:p>
    <w:p>
      <w:pPr>
        <w:spacing w:after="80" w:before="80"/>
        <w:jc w:val="both"/>
      </w:pPr>
      <w:r>
        <w:rPr>
          <w:rFonts w:ascii="Arial" w:cs="Arial" w:eastAsia="Arial" w:hAnsi="Arial"/>
          <w:sz w:val="22"/>
          <w:szCs w:val="22"/>
        </w:rPr>
        <w:t xml:space="preserve">La back-translation génère des paraphrases naturelles via la traduction automatique. Le processus se déroule en quatre phases : (1) sélection des tweets Neutral du train set, (2) traduction arabe → français via Helsinki-NLP/opus-mt-ar-fr, (3) retraduction français → arabe via Helsinki-NLP/opus-mt-fr-ar, (4) filtrage par similarité cosinus [0.5, 0.85] sur les embeddings DziriBERT.</w:t>
      </w:r>
    </w:p>
    <w:p>
      <w:pPr>
        <w:spacing w:after="60" w:before="60"/>
      </w:pPr>
      <w:r>
        <w:t xml:space="preserve"/>
      </w:r>
    </w:p>
    <w:p>
      <w:pPr>
        <w:spacing w:after="80" w:before="80"/>
        <w:jc w:val="both"/>
      </w:pPr>
      <w:r>
        <w:rPr>
          <w:rFonts w:ascii="Arial" w:cs="Arial" w:eastAsia="Arial" w:hAnsi="Arial"/>
          <w:sz w:val="22"/>
          <w:szCs w:val="22"/>
        </w:rPr>
        <w:t xml:space="preserve">Une contrainte majeure limite l'efficacité de cette approche : 61.7% des tweets Neutral sont en Arabizi, non reconnu par les modèles de traduction Helsinki-NLP. Seuls 32.7% des tweets (en arabe pur) sont translatable. Sur 111 paraphrases générées, 76 passent le filtre de similarité (68.5%). Trois taux d'augmentation sont testés : +20%, +50% et +100% de la taille originale de la classe Neutral.</w:t>
      </w:r>
    </w:p>
    <w:p>
      <w:pPr>
        <w:pStyle w:val="Heading2"/>
        <w:spacing w:after="120" w:before="240"/>
      </w:pPr>
      <w:r>
        <w:rPr>
          <w:rFonts w:ascii="Arial" w:cs="Arial" w:eastAsia="Arial" w:hAnsi="Arial"/>
          <w:b/>
          <w:bCs/>
          <w:color w:val="1F4E79"/>
          <w:sz w:val="26"/>
          <w:szCs w:val="26"/>
        </w:rPr>
        <w:t xml:space="preserve">4.6 Bonus — Noise-Aware Weighted Ensemble</w:t>
      </w:r>
    </w:p>
    <w:p>
      <w:pPr>
        <w:spacing w:after="80" w:before="80"/>
        <w:jc w:val="both"/>
      </w:pPr>
      <w:r>
        <w:rPr>
          <w:rFonts w:ascii="Arial" w:cs="Arial" w:eastAsia="Arial" w:hAnsi="Arial"/>
          <w:sz w:val="22"/>
          <w:szCs w:val="22"/>
        </w:rPr>
        <w:t xml:space="preserve">La stratégie bonus combine trois modèles DziriBERT fine-tunés (FL+CW, Class Weighting seul, Baseline) dans un ensemble pondéré. L'approche s'appuie sur des prédictions Out-Of-Fold (OOF) générées par validation croisée à 5 plis pour éviter tout data leakage.</w:t>
      </w:r>
    </w:p>
    <w:p>
      <w:pPr>
        <w:spacing w:after="60" w:before="60"/>
      </w:pPr>
      <w:r>
        <w:t xml:space="preserve"/>
      </w:r>
    </w:p>
    <w:p>
      <w:pPr>
        <w:spacing w:after="80" w:before="80"/>
        <w:jc w:val="both"/>
      </w:pPr>
      <w:r>
        <w:rPr>
          <w:rFonts w:ascii="Arial" w:cs="Arial" w:eastAsia="Arial" w:hAnsi="Arial"/>
          <w:sz w:val="22"/>
          <w:szCs w:val="22"/>
        </w:rPr>
        <w:t xml:space="preserve">Un grid search sur les pondérations des modèles (combinaisons de [0.1, 0.2, 0.3, 0.4, 0.5] sommant à 1.0) est effectué sur les prédictions OOF pour identifier la combinaison optimale par F1-macro. Un mécanisme de Neutral boost amplifie spécifiquement les probabilités de la classe Neutral en donnant une autorité supplémentaire au modèle FL+CW sur cette classe, justifié par le fait que 67.5% des points Neutral sont des hard boundary points nécessitant un spécialiste.</w:t>
      </w:r>
    </w:p>
    <w:p>
      <w:pPr>
        <w:spacing w:after="60" w:before="60"/>
      </w:pPr>
      <w:r>
        <w:t xml:space="preserve"/>
      </w:r>
    </w:p>
    <w:p>
      <w:pPr>
        <w:spacing w:after="80" w:before="80"/>
        <w:jc w:val="both"/>
      </w:pPr>
      <w:r>
        <w:rPr>
          <w:rFonts w:ascii="Arial" w:cs="Arial" w:eastAsia="Arial" w:hAnsi="Arial"/>
          <w:sz w:val="22"/>
          <w:szCs w:val="22"/>
        </w:rPr>
        <w:t xml:space="preserve">Deux meta-learners sont également entraînés sur les prédictions OOF : une régression logistique avec class_weight='balanced' et un MLP (64, 32 neurones). Ces approches de stacking apprennent automatiquement comment combiner les trois modèles de base.</w:t>
      </w:r>
    </w:p>
    <w:p>
      <w:r>
        <w:br w:type="page"/>
      </w:r>
    </w:p>
    <w:p>
      <w:pPr>
        <w:pStyle w:val="Heading1"/>
        <w:spacing w:after="180" w:before="360"/>
      </w:pPr>
      <w:r>
        <w:rPr>
          <w:rFonts w:ascii="Arial" w:cs="Arial" w:eastAsia="Arial" w:hAnsi="Arial"/>
          <w:b/>
          <w:bCs/>
          <w:color w:val="2E75B6"/>
          <w:sz w:val="32"/>
          <w:szCs w:val="32"/>
        </w:rPr>
        <w:t xml:space="preserve">5. Résultats</w:t>
      </w:r>
    </w:p>
    <w:p>
      <w:pPr>
        <w:pStyle w:val="Heading2"/>
        <w:spacing w:after="120" w:before="240"/>
      </w:pPr>
      <w:r>
        <w:rPr>
          <w:rFonts w:ascii="Arial" w:cs="Arial" w:eastAsia="Arial" w:hAnsi="Arial"/>
          <w:b/>
          <w:bCs/>
          <w:color w:val="1F4E79"/>
          <w:sz w:val="26"/>
          <w:szCs w:val="26"/>
        </w:rPr>
        <w:t xml:space="preserve">5.1 Tableau Comparatif Final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1000"/>
        <w:gridCol w:w="1000"/>
        <w:gridCol w:w="1163"/>
        <w:gridCol w:w="1163"/>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F1-Pos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F1-Neg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F1-Neu</w:t>
            </w:r>
          </w:p>
        </w:tc>
        <w:tc>
          <w:tcPr>
            <w:tcW w:type="dxa" w:w="11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AUC-PR</w:t>
            </w:r>
          </w:p>
        </w:tc>
        <w:tc>
          <w:tcPr>
            <w:tcW w:type="dxa" w:w="11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G-mean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Baseline (données brutes)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0.7538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0.6790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0.4722</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0.7266</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0.5815</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Class Weighting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0.6163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0.7085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0.6639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0.4766</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0.7259</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0.6522</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Focal Loss (γ=1)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0.7541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0.6723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0.4832</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0.7275</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0.5879</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Focal Loss (γ=2)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0.6340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0.7529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0.6723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0.4768</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0.7259</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0.5861</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 γ=2 + CW</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0.6474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0.7480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0.6638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0.5304</w:t>
            </w:r>
          </w:p>
        </w:tc>
        <w:tc>
          <w:tcPr>
            <w:tcW w:type="dxa" w:w="11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0.7046</w:t>
            </w:r>
          </w:p>
        </w:tc>
        <w:tc>
          <w:tcPr>
            <w:tcW w:type="dxa" w:w="11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0.6323</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SMOTE + DziriBERT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0.6377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0.7315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0.6626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0.5189</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0.6826</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0.6304</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ADASYN + DziriBERT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0.7562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0.6548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0.4832</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0.7081</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0.5786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Back-Translation +20%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0.6388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0.7615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0.6722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0.4828</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0.7313</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0.5867</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Back-Translation +100%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0.6508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0.7503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0.6835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0.5185</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0.7323</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0.6234</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Noise-Aware Ensemble (BONUS)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0.6503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0.7497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0.6791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0.5222</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0.7338</w:t>
            </w:r>
          </w:p>
        </w:tc>
        <w:tc>
          <w:tcPr>
            <w:tcW w:type="dxa" w:w="11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0.6360</w:t>
            </w:r>
          </w:p>
        </w:tc>
      </w:tr>
    </w:tbl>
    <w:p>
      <w:pPr>
        <w:spacing w:after="60" w:before="60"/>
      </w:pPr>
      <w:r>
        <w:t xml:space="preserve"/>
      </w:r>
    </w:p>
    <w:p>
      <w:pPr>
        <w:spacing w:after="80" w:before="80"/>
        <w:jc w:val="left"/>
      </w:pPr>
      <w:r>
        <w:rPr>
          <w:rFonts w:ascii="Arial" w:cs="Arial" w:eastAsia="Arial" w:hAnsi="Arial"/>
          <w:i/>
          <w:iCs/>
          <w:color w:val="595959"/>
          <w:sz w:val="22"/>
          <w:szCs w:val="22"/>
        </w:rPr>
        <w:t xml:space="preserve">Tableau 2 : Comparaison de toutes les stratégies sur le test set figé (705 exemples). La ligne surlignée correspond à la meilleure configuration pour F1-Neutral.</w:t>
      </w:r>
    </w:p>
    <w:p>
      <w:pPr>
        <w:spacing w:after="60" w:before="60"/>
      </w:pPr>
      <w:r>
        <w:t xml:space="preserve"/>
      </w:r>
    </w:p>
    <w:p>
      <w:pPr>
        <w:pStyle w:val="Heading2"/>
        <w:spacing w:after="120" w:before="240"/>
      </w:pPr>
      <w:r>
        <w:rPr>
          <w:rFonts w:ascii="Arial" w:cs="Arial" w:eastAsia="Arial" w:hAnsi="Arial"/>
          <w:b/>
          <w:bCs/>
          <w:color w:val="1F4E79"/>
          <w:sz w:val="26"/>
          <w:szCs w:val="26"/>
        </w:rPr>
        <w:t xml:space="preserve">5.2 Analyse par Stratégie</w:t>
      </w:r>
    </w:p>
    <w:p>
      <w:pPr>
        <w:spacing w:after="80" w:before="180"/>
      </w:pPr>
      <w:r>
        <w:rPr>
          <w:rFonts w:ascii="Arial" w:cs="Arial" w:eastAsia="Arial" w:hAnsi="Arial"/>
          <w:b/>
          <w:bCs/>
          <w:color w:val="2F5496"/>
          <w:sz w:val="24"/>
          <w:szCs w:val="24"/>
        </w:rPr>
        <w:t xml:space="preserve">5.2.1 Baseline</w:t>
      </w:r>
    </w:p>
    <w:p>
      <w:pPr>
        <w:spacing w:after="80" w:before="80"/>
        <w:jc w:val="both"/>
      </w:pPr>
      <w:r>
        <w:rPr>
          <w:rFonts w:ascii="Arial" w:cs="Arial" w:eastAsia="Arial" w:hAnsi="Arial"/>
          <w:sz w:val="22"/>
          <w:szCs w:val="22"/>
        </w:rPr>
        <w:t xml:space="preserve">La baseline atteint un F1-macro de 0.6350 mais avec un F1-Neutral de seulement 0.4722. L'analyse de la matrice de confusion confirme le biais attendu : 81.9% des tweets Positive sont correctement classifiés contre seulement 37.0% des tweets Neutral. La majorité des erreurs sur Neutral correspond à des prédictions Positive (46 cas sur 58 erreurs), illustrant que le modèle favorise systématiquement la classe majoritaire.</w:t>
      </w:r>
    </w:p>
    <w:p>
      <w:pPr>
        <w:spacing w:after="80" w:before="180"/>
      </w:pPr>
      <w:r>
        <w:rPr>
          <w:rFonts w:ascii="Arial" w:cs="Arial" w:eastAsia="Arial" w:hAnsi="Arial"/>
          <w:b/>
          <w:bCs/>
          <w:color w:val="2F5496"/>
          <w:sz w:val="24"/>
          <w:szCs w:val="24"/>
        </w:rPr>
        <w:t xml:space="preserve">5.2.2 Stratégie 1 — Modification de la Perte</w:t>
      </w:r>
    </w:p>
    <w:p>
      <w:pPr>
        <w:spacing w:after="80" w:before="80"/>
        <w:jc w:val="both"/>
      </w:pPr>
      <w:r>
        <w:rPr>
          <w:rFonts w:ascii="Arial" w:cs="Arial" w:eastAsia="Arial" w:hAnsi="Arial"/>
          <w:sz w:val="22"/>
          <w:szCs w:val="22"/>
        </w:rPr>
        <w:t xml:space="preserve">La combinaison FL γ=2 + CW est la meilleure configuration de cette stratégie, avec F1-Neutral = 0.5304 (+0.058 vs baseline) et F1-macro = 0.6474 (+0.012). Elle améliore significativement la détection de la classe Neutral tout en maintenant des performances raisonnables sur les autres classes (ΔPositive = -0.006, ΔNegative = -0.015).</w:t>
      </w:r>
    </w:p>
    <w:p>
      <w:pPr>
        <w:spacing w:after="60" w:before="60"/>
      </w:pPr>
      <w:r>
        <w:t xml:space="preserve"/>
      </w:r>
    </w:p>
    <w:p>
      <w:pPr>
        <w:spacing w:after="80" w:before="80"/>
        <w:jc w:val="both"/>
      </w:pPr>
      <w:r>
        <w:rPr>
          <w:rFonts w:ascii="Arial" w:cs="Arial" w:eastAsia="Arial" w:hAnsi="Arial"/>
          <w:sz w:val="22"/>
          <w:szCs w:val="22"/>
        </w:rPr>
        <w:t xml:space="preserve">Le class weighting seul produit un résultat surprenant : F1-macro = 0.6163, inférieur à la baseline. L'analyse révèle un trade-off défavorable : bien que le G-mean améliore (0.6522 vs 0.5815), le F1-Positive chute significativement (-0.045), suggérant que les poids élevés de Neutral perturbent trop l'apprentissage sur la classe majoritaire sans générer de signal suffisant sur la minoritaire.</w:t>
      </w:r>
    </w:p>
    <w:p>
      <w:pPr>
        <w:spacing w:after="60" w:before="60"/>
      </w:pPr>
      <w:r>
        <w:t xml:space="preserve"/>
      </w:r>
    </w:p>
    <w:p>
      <w:pPr>
        <w:spacing w:after="80" w:before="80"/>
        <w:jc w:val="both"/>
      </w:pPr>
      <w:r>
        <w:rPr>
          <w:rFonts w:ascii="Arial" w:cs="Arial" w:eastAsia="Arial" w:hAnsi="Arial"/>
          <w:sz w:val="22"/>
          <w:szCs w:val="22"/>
        </w:rPr>
        <w:t xml:space="preserve">Concernant le paramètre gamma, gamma=1 (F1-macro=0.6365) surpasse légèrement gamma=2 (F1-macro=0.6340). Ceci s'explique par le fait que seulement 21.7% des exemples sont prédits avec confiance &gt; 0.9 — gamma=2 est donc trop agressif pour ce corpus, réduisant excessivement la contribution d'exemples encore utiles pour l'apprentissage.</w:t>
      </w:r>
    </w:p>
    <w:p>
      <w:pPr>
        <w:spacing w:after="80" w:before="180"/>
      </w:pPr>
      <w:r>
        <w:rPr>
          <w:rFonts w:ascii="Arial" w:cs="Arial" w:eastAsia="Arial" w:hAnsi="Arial"/>
          <w:b/>
          <w:bCs/>
          <w:color w:val="2F5496"/>
          <w:sz w:val="24"/>
          <w:szCs w:val="24"/>
        </w:rPr>
        <w:t xml:space="preserve">5.2.3 Stratégie 2 — SMOTE / ADASYN</w:t>
      </w:r>
    </w:p>
    <w:p>
      <w:pPr>
        <w:spacing w:after="80" w:before="80"/>
        <w:jc w:val="both"/>
      </w:pPr>
      <w:r>
        <w:rPr>
          <w:rFonts w:ascii="Arial" w:cs="Arial" w:eastAsia="Arial" w:hAnsi="Arial"/>
          <w:sz w:val="22"/>
          <w:szCs w:val="22"/>
        </w:rPr>
        <w:t xml:space="preserve">SMOTE atteint F1-Neutral = 0.5189 (+0.047 vs baseline), une amélioration significative. En revanche, ADASYN n'améliore pas le F1-Neutral (0.4832, équivalent à FL γ=1) malgré une génération plus ciblée. L'analyse de voisinage explique ce résultat : 67.5% des points Neutral étant des hard boundary points, ADASYN génère des exemples synthétiques dans des zones extrêmement bruités de l'espace des embeddings, introduisant du bruit plutôt que du signal. SMOTE, en distribuant plus uniformément les exemples synthétiques, évite ce piège.</w:t>
      </w:r>
    </w:p>
    <w:p>
      <w:pPr>
        <w:spacing w:after="80" w:before="180"/>
      </w:pPr>
      <w:r>
        <w:rPr>
          <w:rFonts w:ascii="Arial" w:cs="Arial" w:eastAsia="Arial" w:hAnsi="Arial"/>
          <w:b/>
          <w:bCs/>
          <w:color w:val="2F5496"/>
          <w:sz w:val="24"/>
          <w:szCs w:val="24"/>
        </w:rPr>
        <w:t xml:space="preserve">5.2.4 Stratégie 3 — Back-Translation</w:t>
      </w:r>
    </w:p>
    <w:p>
      <w:pPr>
        <w:spacing w:after="80" w:before="80"/>
        <w:jc w:val="both"/>
      </w:pPr>
      <w:r>
        <w:rPr>
          <w:rFonts w:ascii="Arial" w:cs="Arial" w:eastAsia="Arial" w:hAnsi="Arial"/>
          <w:sz w:val="22"/>
          <w:szCs w:val="22"/>
        </w:rPr>
        <w:t xml:space="preserve">La back-translation avec +100% d'augmentation donne le meilleur F1-macro global (0.6508) et un F1-Neutral de 0.5185. L'augmentation à +100% améliore la classification Neutral (52.2% de tweets Neutral correctement classifiés vs 37.0% pour la baseline). Cependant, la contrainte principale est linguistique : Helsinki-NLP traduit vers l'Arabe Standard Moderne (MSA) plutôt que vers le darija, introduisant une dérive de registre. Cette limitation est intrinsèque aux outils de traduction disponibles et justifie des performances inférieures à FL+CW sur F1-Neutral.</w:t>
      </w:r>
    </w:p>
    <w:p>
      <w:pPr>
        <w:spacing w:after="80" w:before="180"/>
      </w:pPr>
      <w:r>
        <w:rPr>
          <w:rFonts w:ascii="Arial" w:cs="Arial" w:eastAsia="Arial" w:hAnsi="Arial"/>
          <w:b/>
          <w:bCs/>
          <w:color w:val="2F5496"/>
          <w:sz w:val="24"/>
          <w:szCs w:val="24"/>
        </w:rPr>
        <w:t xml:space="preserve">5.2.5 Bonus — Noise-Aware Ensemble</w:t>
      </w:r>
    </w:p>
    <w:p>
      <w:pPr>
        <w:spacing w:after="80" w:before="80"/>
        <w:jc w:val="both"/>
      </w:pPr>
      <w:r>
        <w:rPr>
          <w:rFonts w:ascii="Arial" w:cs="Arial" w:eastAsia="Arial" w:hAnsi="Arial"/>
          <w:sz w:val="22"/>
          <w:szCs w:val="22"/>
        </w:rPr>
        <w:t xml:space="preserve">L'ensemble pondéré optimal (FL_CW=0.2, CW=0.4, Baseline=0.4) atteint le meilleur AUC-PR global (0.7338) et F1-Neutral = 0.5222. Paradoxalement, FL+CW reçoit le poids le plus faible malgré sa supériorité sur Neutral : le grid search optimise le F1-macro global, et FL+CW pénalise trop Positive/Negative à l'échelle de l'ensemble. Le mécanisme de Neutral boost compense partiellement cette limitation. Le Stacked MLP sous-performe (F1-Neutral = 0.4715) car 3 992 exemples sont insuffisants pour entraîner efficacement un meta-learner neuronal.</w:t>
      </w:r>
    </w:p>
    <w:p>
      <w:r>
        <w:br w:type="page"/>
      </w:r>
    </w:p>
    <w:p>
      <w:pPr>
        <w:pStyle w:val="Heading1"/>
        <w:spacing w:after="180" w:before="360"/>
      </w:pPr>
      <w:r>
        <w:rPr>
          <w:rFonts w:ascii="Arial" w:cs="Arial" w:eastAsia="Arial" w:hAnsi="Arial"/>
          <w:b/>
          <w:bCs/>
          <w:color w:val="2E75B6"/>
          <w:sz w:val="32"/>
          <w:szCs w:val="32"/>
        </w:rPr>
        <w:t xml:space="preserve">6. Discussion</w:t>
      </w:r>
    </w:p>
    <w:p>
      <w:pPr>
        <w:pStyle w:val="Heading2"/>
        <w:spacing w:after="120" w:before="240"/>
      </w:pPr>
      <w:r>
        <w:rPr>
          <w:rFonts w:ascii="Arial" w:cs="Arial" w:eastAsia="Arial" w:hAnsi="Arial"/>
          <w:b/>
          <w:bCs/>
          <w:color w:val="1F4E79"/>
          <w:sz w:val="26"/>
          <w:szCs w:val="26"/>
        </w:rPr>
        <w:t xml:space="preserve">6.1 Analyse Critique des Résultats</w:t>
      </w:r>
    </w:p>
    <w:p>
      <w:pPr>
        <w:spacing w:after="80" w:before="80"/>
        <w:jc w:val="both"/>
      </w:pPr>
      <w:r>
        <w:rPr>
          <w:rFonts w:ascii="Arial" w:cs="Arial" w:eastAsia="Arial" w:hAnsi="Arial"/>
          <w:sz w:val="22"/>
          <w:szCs w:val="22"/>
        </w:rPr>
        <w:t xml:space="preserve">L'observation la plus frappante de ce travail est la concentration des F1-macro dans une plage étroite (0.616 — 0.651). Aucune stratégie ne produit de gain spectaculaire sur le F1-macro, suggérant que le plafond de performance pour ce corpus avec DziriBERT est atteint relativement tôt. Cependant, les améliorations sur F1-Neutral sont plus significatives : de 0.4722 (baseline) à 0.5304 (FL+CW), soit +12.3% d'amélioration relative.</w:t>
      </w:r>
    </w:p>
    <w:p>
      <w:pPr>
        <w:spacing w:after="60" w:before="60"/>
      </w:pPr>
      <w:r>
        <w:t xml:space="preserve"/>
      </w:r>
    </w:p>
    <w:p>
      <w:pPr>
        <w:spacing w:after="80" w:before="80"/>
        <w:jc w:val="both"/>
      </w:pPr>
      <w:r>
        <w:rPr>
          <w:rFonts w:ascii="Arial" w:cs="Arial" w:eastAsia="Arial" w:hAnsi="Arial"/>
          <w:sz w:val="22"/>
          <w:szCs w:val="22"/>
        </w:rPr>
        <w:t xml:space="preserve">La comparaison entre les métriques F1-macro et G-mean révèle une tension importante. Class Weighting améliore le G-mean de 0.5815 à 0.6522 (+12.2%) tout en dégradant le F1-macro (-0.019). Cette divergence illustre le compromis fondamental entre équilibre des rappels (G-mean) et performance globale pondérée (F1-macro). Pour une application réelle où la détection de Neutral est critique, le G-mean serait la métrique prioritaire.</w:t>
      </w:r>
    </w:p>
    <w:p>
      <w:pPr>
        <w:spacing w:after="60" w:before="60"/>
      </w:pPr>
      <w:r>
        <w:t xml:space="preserve"/>
      </w:r>
    </w:p>
    <w:p>
      <w:pPr>
        <w:spacing w:after="80" w:before="80"/>
        <w:jc w:val="both"/>
      </w:pPr>
      <w:r>
        <w:rPr>
          <w:rFonts w:ascii="Arial" w:cs="Arial" w:eastAsia="Arial" w:hAnsi="Arial"/>
          <w:sz w:val="22"/>
          <w:szCs w:val="22"/>
        </w:rPr>
        <w:t xml:space="preserve">FL+CW reste la meilleure stratégie individuelle pour F1-Neutral (0.5304), mais l'ensemble Noise-Aware obtient le meilleur AUC-PR (0.7338). L'AUC-PR étant une métrique indépendante du seuil de décision, elle suggère que l'ensemble est plus robuste et calibré, même si FL+CW est plus agressif sur la classe Neutral à un seuil fixé.</w:t>
      </w:r>
    </w:p>
    <w:p>
      <w:pPr>
        <w:pStyle w:val="Heading2"/>
        <w:spacing w:after="120" w:before="240"/>
      </w:pPr>
      <w:r>
        <w:rPr>
          <w:rFonts w:ascii="Arial" w:cs="Arial" w:eastAsia="Arial" w:hAnsi="Arial"/>
          <w:b/>
          <w:bCs/>
          <w:color w:val="1F4E79"/>
          <w:sz w:val="26"/>
          <w:szCs w:val="26"/>
        </w:rPr>
        <w:t xml:space="preserve">6.2 Spécificités du Dialecte Algérien et Limites</w:t>
      </w:r>
    </w:p>
    <w:p>
      <w:pPr>
        <w:spacing w:after="80" w:before="80"/>
        <w:jc w:val="both"/>
      </w:pPr>
      <w:r>
        <w:rPr>
          <w:rFonts w:ascii="Arial" w:cs="Arial" w:eastAsia="Arial" w:hAnsi="Arial"/>
          <w:sz w:val="22"/>
          <w:szCs w:val="22"/>
        </w:rPr>
        <w:t xml:space="preserve">Les résultats obtenus mettent en lumière plusieurs défis spécifiques au darija algérien. Premièrement, la forte proportion d'Arabizi (61.7% des tweets Neutral) constitue la principale limitation de la back-translation : les systèmes Helsinki-NLP ne traitent pas ce format, réduisant drastiquement le pool de tweets translatable à 32.7% de la classe minoritaire.</w:t>
      </w:r>
    </w:p>
    <w:p>
      <w:pPr>
        <w:spacing w:after="60" w:before="60"/>
      </w:pPr>
      <w:r>
        <w:t xml:space="preserve"/>
      </w:r>
    </w:p>
    <w:p>
      <w:pPr>
        <w:spacing w:after="80" w:before="80"/>
        <w:jc w:val="both"/>
      </w:pPr>
      <w:r>
        <w:rPr>
          <w:rFonts w:ascii="Arial" w:cs="Arial" w:eastAsia="Arial" w:hAnsi="Arial"/>
          <w:sz w:val="22"/>
          <w:szCs w:val="22"/>
        </w:rPr>
        <w:t xml:space="preserve">Deuxièmement, la back-translation génère de l'Arabe Standard Moderne plutôt que du darija, créant une dérive de registre linguistique. Les paraphrases produites sont sémantiquement proches (similarité cosinus 0.5–0.85) mais stylistiquement différentes, ce qui peut confondre DziriBERT pré-entraîné sur du darija authentique. Trois exemples de dérive sémantique documentés montrent des cas où le sentiment a changé lors de la traduction, pour des paraphrases proches du seuil inférieur (sim ≈ 0.51).</w:t>
      </w:r>
    </w:p>
    <w:p>
      <w:pPr>
        <w:spacing w:after="60" w:before="60"/>
      </w:pPr>
      <w:r>
        <w:t xml:space="preserve"/>
      </w:r>
    </w:p>
    <w:p>
      <w:pPr>
        <w:spacing w:after="80" w:before="80"/>
        <w:jc w:val="both"/>
      </w:pPr>
      <w:r>
        <w:rPr>
          <w:rFonts w:ascii="Arial" w:cs="Arial" w:eastAsia="Arial" w:hAnsi="Arial"/>
          <w:sz w:val="22"/>
          <w:szCs w:val="22"/>
        </w:rPr>
        <w:t xml:space="preserve">Troisièmement, la classe Neutral est intrinsèquement ambiguë en darija : la neutralité y est souvent exprimée par l'ironie, le sarcasme ou la litote, des phénomènes pragmatiques difficiles à détecter automatiquement. Cette ambiguïté est reflétée dans l'analyse de voisinage SMOTE : 67.5% des points Neutral se trouvent à la frontière de décision, sans clustering naturel clair.</w:t>
      </w:r>
    </w:p>
    <w:p>
      <w:pPr>
        <w:pStyle w:val="Heading2"/>
        <w:spacing w:after="120" w:before="240"/>
      </w:pPr>
      <w:r>
        <w:rPr>
          <w:rFonts w:ascii="Arial" w:cs="Arial" w:eastAsia="Arial" w:hAnsi="Arial"/>
          <w:b/>
          <w:bCs/>
          <w:color w:val="1F4E79"/>
          <w:sz w:val="26"/>
          <w:szCs w:val="26"/>
        </w:rPr>
        <w:t xml:space="preserve">6.3 Perspectives</w:t>
      </w:r>
    </w:p>
    <w:p>
      <w:pPr>
        <w:spacing w:after="80" w:before="80"/>
        <w:jc w:val="both"/>
      </w:pPr>
      <w:r>
        <w:rPr>
          <w:rFonts w:ascii="Arial" w:cs="Arial" w:eastAsia="Arial" w:hAnsi="Arial"/>
          <w:sz w:val="22"/>
          <w:szCs w:val="22"/>
        </w:rPr>
        <w:t xml:space="preserve">Plusieurs pistes d'amélioration pourraient être explorées. L'utilisation d'un modèle de traduction spécialisé en darija (si disponible) améliorerait la qualité des paraphrases back-translated. L'application de techniques de data cleaning plus agressives sur les tweets Arabizi pourrait améliorer leur translitérabilité. L'exploration de l'augmentation par Large Language Models (GPT-4, Claude) pourrait générer des paraphrases darija authentiques, contournant la limitation des systèmes de traduction classiques.</w:t>
      </w:r>
    </w:p>
    <w:p>
      <w:r>
        <w:br w:type="page"/>
      </w:r>
    </w:p>
    <w:p>
      <w:pPr>
        <w:pStyle w:val="Heading1"/>
        <w:spacing w:after="180" w:before="360"/>
      </w:pPr>
      <w:r>
        <w:rPr>
          <w:rFonts w:ascii="Arial" w:cs="Arial" w:eastAsia="Arial" w:hAnsi="Arial"/>
          <w:b/>
          <w:bCs/>
          <w:color w:val="2E75B6"/>
          <w:sz w:val="32"/>
          <w:szCs w:val="32"/>
        </w:rPr>
        <w:t xml:space="preserve">7. Conclusion</w:t>
      </w:r>
    </w:p>
    <w:p>
      <w:pPr>
        <w:spacing w:after="80" w:before="80"/>
        <w:jc w:val="both"/>
      </w:pPr>
      <w:r>
        <w:rPr>
          <w:rFonts w:ascii="Arial" w:cs="Arial" w:eastAsia="Arial" w:hAnsi="Arial"/>
          <w:sz w:val="22"/>
          <w:szCs w:val="22"/>
        </w:rPr>
        <w:t xml:space="preserve">Ce mini-projet a exploré et comparé trois familles de stratégies pour la gestion du déséquilibre de classes dans l'analyse de sentiments en dialecte algérien. En utilisant DziriBERT comme modèle de référence et le corpus TWIFL comme données d'évaluation, nous avons montré que toutes les stratégies améliorent la détection de la classe minoritaire Neutral par rapport à la baseline.</w:t>
      </w:r>
    </w:p>
    <w:p>
      <w:pPr>
        <w:spacing w:after="60" w:before="60"/>
      </w:pPr>
      <w:r>
        <w:t xml:space="preserve"/>
      </w:r>
    </w:p>
    <w:p>
      <w:pPr>
        <w:spacing w:after="80" w:before="80"/>
        <w:jc w:val="both"/>
      </w:pPr>
      <w:r>
        <w:rPr>
          <w:rFonts w:ascii="Arial" w:cs="Arial" w:eastAsia="Arial" w:hAnsi="Arial"/>
          <w:sz w:val="22"/>
          <w:szCs w:val="22"/>
        </w:rPr>
        <w:t xml:space="preserve">La meilleure stratégie individuelle pour F1-Neutral est la combinaison Focal Loss γ=2 + Class Weighting (0.5304, +12.3% vs baseline), qui agit simultanément sur le déséquilibre structurel entre classes et sur la difficulté des exemples individuels. La back-translation avec +100% d'augmentation donne le meilleur F1-macro global (0.6508), tandis que le Noise-Aware Ensemble obtient le meilleur AUC-PR (0.7338), indicatif d'une meilleure calibration et robustesse.</w:t>
      </w:r>
    </w:p>
    <w:p>
      <w:pPr>
        <w:spacing w:after="60" w:before="60"/>
      </w:pPr>
      <w:r>
        <w:t xml:space="preserve"/>
      </w:r>
    </w:p>
    <w:p>
      <w:pPr>
        <w:spacing w:after="80" w:before="80"/>
        <w:jc w:val="both"/>
      </w:pPr>
      <w:r>
        <w:rPr>
          <w:rFonts w:ascii="Arial" w:cs="Arial" w:eastAsia="Arial" w:hAnsi="Arial"/>
          <w:sz w:val="22"/>
          <w:szCs w:val="22"/>
        </w:rPr>
        <w:t xml:space="preserve">Les limites principales identifiées sont la rareté des outils de traduction adaptés au darija, la proportion élevée d'Arabizi qui rend la back-translation partiellement inapplicable, et l'ambiguïté intrinsèque de la classe Neutral dans ce dialecte. Ces résultats soulignent la nécessité de ressources linguistiques spécifiques au darija algérien pour progresser significativement sur cette tâche.</w:t>
      </w:r>
    </w:p>
    <w:p>
      <w:r>
        <w:br w:type="page"/>
      </w:r>
    </w:p>
    <w:p>
      <w:pPr>
        <w:pStyle w:val="Heading1"/>
        <w:spacing w:after="180" w:before="360"/>
      </w:pPr>
      <w:r>
        <w:rPr>
          <w:rFonts w:ascii="Arial" w:cs="Arial" w:eastAsia="Arial" w:hAnsi="Arial"/>
          <w:b/>
          <w:bCs/>
          <w:color w:val="2E75B6"/>
          <w:sz w:val="32"/>
          <w:szCs w:val="32"/>
        </w:rPr>
        <w:t xml:space="preserve">8. Références Bibliographiques</w:t>
      </w:r>
    </w:p>
    <w:p>
      <w:pPr>
        <w:spacing w:after="80" w:before="80"/>
        <w:jc w:val="left"/>
      </w:pPr>
      <w:r>
        <w:rPr>
          <w:rFonts w:ascii="Arial" w:cs="Arial" w:eastAsia="Arial" w:hAnsi="Arial"/>
          <w:sz w:val="22"/>
          <w:szCs w:val="22"/>
        </w:rPr>
        <w:t xml:space="preserve">[1] Chawla, N. V., Bowyer, K. W., Hall, L. O., &amp; Kegelmeyer, W. P. (2002). SMOTE: Synthetic minority over-sampling technique. Journal of Artificial Intelligence Research, 16, 321–357.</w:t>
      </w:r>
    </w:p>
    <w:p>
      <w:pPr>
        <w:spacing w:after="60" w:before="60"/>
      </w:pPr>
      <w:r>
        <w:t xml:space="preserve"/>
      </w:r>
    </w:p>
    <w:p>
      <w:pPr>
        <w:spacing w:after="80" w:before="80"/>
        <w:jc w:val="left"/>
      </w:pPr>
      <w:r>
        <w:rPr>
          <w:rFonts w:ascii="Arial" w:cs="Arial" w:eastAsia="Arial" w:hAnsi="Arial"/>
          <w:sz w:val="22"/>
          <w:szCs w:val="22"/>
        </w:rPr>
        <w:t xml:space="preserve">[2] He, H., Bai, Y., Garcia, E. A., &amp; Li, S. (2008). ADASYN: Adaptive synthetic sampling approach for imbalanced learning. In IEEE IJCNN (pp. 1322–1328).</w:t>
      </w:r>
    </w:p>
    <w:p>
      <w:pPr>
        <w:spacing w:after="60" w:before="60"/>
      </w:pPr>
      <w:r>
        <w:t xml:space="preserve"/>
      </w:r>
    </w:p>
    <w:p>
      <w:pPr>
        <w:spacing w:after="80" w:before="80"/>
        <w:jc w:val="left"/>
      </w:pPr>
      <w:r>
        <w:rPr>
          <w:rFonts w:ascii="Arial" w:cs="Arial" w:eastAsia="Arial" w:hAnsi="Arial"/>
          <w:sz w:val="22"/>
          <w:szCs w:val="22"/>
        </w:rPr>
        <w:t xml:space="preserve">[3] Lin, T. Y., Goyal, P., Girshick, R., He, K., &amp; Dollár, P. (2017). Focal loss for dense object detection. In Proceedings of ICCV (pp. 2980–2988).</w:t>
      </w:r>
    </w:p>
    <w:p>
      <w:pPr>
        <w:spacing w:after="60" w:before="60"/>
      </w:pPr>
      <w:r>
        <w:t xml:space="preserve"/>
      </w:r>
    </w:p>
    <w:p>
      <w:pPr>
        <w:spacing w:after="80" w:before="80"/>
        <w:jc w:val="left"/>
      </w:pPr>
      <w:r>
        <w:rPr>
          <w:rFonts w:ascii="Arial" w:cs="Arial" w:eastAsia="Arial" w:hAnsi="Arial"/>
          <w:sz w:val="22"/>
          <w:szCs w:val="22"/>
        </w:rPr>
        <w:t xml:space="preserve">[4] Sennrich, R., Haddow, B., &amp; Birch, A. (2016). Improving neural machine translation models with monolingual data. In Proceedings of ACL (pp. 86–96).</w:t>
      </w:r>
    </w:p>
    <w:p>
      <w:pPr>
        <w:spacing w:after="60" w:before="60"/>
      </w:pPr>
      <w:r>
        <w:t xml:space="preserve"/>
      </w:r>
    </w:p>
    <w:p>
      <w:pPr>
        <w:spacing w:after="80" w:before="80"/>
        <w:jc w:val="left"/>
      </w:pPr>
      <w:r>
        <w:rPr>
          <w:rFonts w:ascii="Arial" w:cs="Arial" w:eastAsia="Arial" w:hAnsi="Arial"/>
          <w:sz w:val="22"/>
          <w:szCs w:val="22"/>
        </w:rPr>
        <w:t xml:space="preserve">[5] Devlin, J., Chang, M. W., Lee, K., &amp; Toutanova, K. (2019). BERT: Pre-training of deep bidirectional transformers for language understanding. In Proceedings of NAACL (pp. 4171–4186).</w:t>
      </w:r>
    </w:p>
    <w:p>
      <w:pPr>
        <w:spacing w:after="60" w:before="60"/>
      </w:pPr>
      <w:r>
        <w:t xml:space="preserve"/>
      </w:r>
    </w:p>
    <w:p>
      <w:pPr>
        <w:spacing w:after="80" w:before="80"/>
        <w:jc w:val="left"/>
      </w:pPr>
      <w:r>
        <w:rPr>
          <w:rFonts w:ascii="Arial" w:cs="Arial" w:eastAsia="Arial" w:hAnsi="Arial"/>
          <w:sz w:val="22"/>
          <w:szCs w:val="22"/>
        </w:rPr>
        <w:t xml:space="preserve">[6] Abdaoui, A., Haddad, H., &amp; Nagoudi, E. M. B. (2021). DziriBERT: A pre-trained language model for the Algerian dialect. arXiv preprint arXiv:2109.12346.</w:t>
      </w:r>
    </w:p>
    <w:p>
      <w:pPr>
        <w:spacing w:after="60" w:before="60"/>
      </w:pPr>
      <w:r>
        <w:t xml:space="preserve"/>
      </w:r>
    </w:p>
    <w:p>
      <w:pPr>
        <w:spacing w:after="80" w:before="80"/>
        <w:jc w:val="left"/>
      </w:pPr>
      <w:r>
        <w:rPr>
          <w:rFonts w:ascii="Arial" w:cs="Arial" w:eastAsia="Arial" w:hAnsi="Arial"/>
          <w:sz w:val="22"/>
          <w:szCs w:val="22"/>
        </w:rPr>
        <w:t xml:space="preserve">[7] Chelali, F. Z., &amp; Dey, A. (2021). TWIFL: An Algerian corpus and an annotation platform for opinion and emotion analysis. In Proceedings of the 13th Conference on Language Resources and Evaluation (LREC).</w:t>
      </w:r>
    </w:p>
    <w:p>
      <w:pPr>
        <w:spacing w:after="60" w:before="60"/>
      </w:pPr>
      <w:r>
        <w:t xml:space="preserve"/>
      </w:r>
    </w:p>
    <w:p>
      <w:pPr>
        <w:spacing w:after="80" w:before="80"/>
        <w:jc w:val="left"/>
      </w:pPr>
      <w:r>
        <w:rPr>
          <w:rFonts w:ascii="Arial" w:cs="Arial" w:eastAsia="Arial" w:hAnsi="Arial"/>
          <w:sz w:val="22"/>
          <w:szCs w:val="22"/>
        </w:rPr>
        <w:t xml:space="preserve">[8] Lemaître, G., Nogueira, F., &amp; Aridas, C. K. (2017). Imbalanced-learn: A Python toolbox to tackle the curse of imbalanced datasets in machine learning. JMLR, 18(17), 1–5.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Mini-Projet ML — Gestion du Déséquilibre de Classes — TWIFL + DziriBERT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2026-05-26T06:34:20.586Z</dcterms:created>
  <dcterms:modified xsi:type="dcterms:W3CDTF">2026-05-26T06:34:20.586Z</dcterms:modified>
</cp:coreProperties>
</file>

<file path=docProps/custom.xml><?xml version="1.0" encoding="utf-8"?>
<Properties xmlns="http://schemas.openxmlformats.org/officeDocument/2006/custom-properties" xmlns:vt="http://schemas.openxmlformats.org/officeDocument/2006/docPropsVTypes"/>
</file>