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INSTRUMENTO PARTICULAR DE LICENÇA DE USO DO SOFTWARE FOOTLINK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CONTRATANTE: GOIÁS ESPORTE CLUBE, </w:t>
      </w:r>
      <w:r>
        <w:rPr>
          <w:sz w:val="22"/>
          <w:szCs w:val="22"/>
        </w:rPr>
        <w:t xml:space="preserve">pessoa jurídica de direito privado, inscrita no CNPJ sob nº 01.665.256/0001-80, com endereço fiscal à Avenida Edmundo Pinheiro de Abreu, 721, Setor Bela Vista, Goiânia, GO, 74.823-342, e endereço alternativo à Avenida Edmundo Pinheiro de Abreu, 721, Setor Pedro Ludovico, Goiânia, GO, 74823030, neste ato representado na forma prevista em seu Estatuto Social, adiante denominado </w:t>
      </w:r>
      <w:r>
        <w:rPr>
          <w:b/>
          <w:bCs/>
          <w:sz w:val="22"/>
          <w:szCs w:val="22"/>
        </w:rPr>
        <w:t xml:space="preserve">“CONTRATANTE”;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CONTRATADA: FOOTURE PRODUTORA DE CONTEUDO, SOFTWARE E SERVICOS LTDA, </w:t>
      </w:r>
      <w:r>
        <w:rPr>
          <w:sz w:val="22"/>
          <w:szCs w:val="22"/>
        </w:rPr>
        <w:t xml:space="preserve">pessoa jurídica de direito privado, inscrita no CNPJ/MF sob nº 32.527.841/0001-48, com sede na cidade de Porto Alegre – RS, na Rua Dr. Barbosa Gonçalves 69, bairro Chácara das Pedras, neste ato representada na forma prevista em seu Estatuto Social, adiante denominada como </w:t>
      </w:r>
      <w:r>
        <w:rPr>
          <w:b/>
          <w:bCs/>
          <w:sz w:val="22"/>
          <w:szCs w:val="22"/>
        </w:rPr>
        <w:t xml:space="preserve">“CONTRATADA”;</w:t>
      </w:r>
    </w:p>
    <w:p>
      <w:pPr>
        <w:spacing w:after="120"/>
        <w:jc w:val="both"/>
      </w:pPr>
      <w:r>
        <w:rPr>
          <w:sz w:val="22"/>
          <w:szCs w:val="22"/>
        </w:rPr>
        <w:t xml:space="preserve">Ajustam as partes, de mútuo e comum acordo, o presente Contrato de Licenciamento de Software, o qual será regido nos seguintes termos e condições abaixo descritas: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DO OBJETO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PRIMEIRA: </w:t>
      </w:r>
      <w:r>
        <w:rPr>
          <w:sz w:val="22"/>
          <w:szCs w:val="22"/>
        </w:rPr>
        <w:t xml:space="preserve">Faz parte do objeto do presente contrato a (i) comercialização da Licença de Uso temporária e não exclusiva do software de gerenciamento e gestão de atletas de futebol, doravante denominado “FOOTLINK”.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A CONTRATADA garante que as funcionalidades descritas na Cláusula Sexta serão mantidas durante todo o período de vigência do contrato, não podendo ser suprimidas ou reduzidas. Qualquer alteração significativa deverá ser previamente comunicada e dependerá da anuência expressa do CONTRATANTE. Fica ressalvada a possibilidade de suspensão temporária nas hipóteses da Cláusula Nona.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DA PROPRIEDADE INTELECTUAL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SEGUNDA: </w:t>
      </w:r>
      <w:r>
        <w:rPr>
          <w:sz w:val="22"/>
          <w:szCs w:val="22"/>
        </w:rPr>
        <w:t xml:space="preserve">O CONTRATANTE reconhece como da CONTRATADA todos os direitos concernentes ao software FOOTLINK. Aplicam-se, adicionalmente, as regras estabelecidas na Lei 9.609/98 para regular as demais normas a respeito da titularidade da propriedade intelectual decorrente do software FOOTLINK de titularidade da CONTRATADA.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Todos os direitos autorais e de propriedade intelectual do software FOOTLINK e de obras derivadas são e permanecerão sendo de propriedade única e exclusiva da CONTRATADA, sendo concedida ao CONTRATANTE apenas a licença temporária de uso, onerosa e não exclusiva, nos termos deste Contrato.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2º: </w:t>
      </w:r>
      <w:r>
        <w:rPr>
          <w:sz w:val="22"/>
          <w:szCs w:val="22"/>
        </w:rPr>
        <w:t xml:space="preserve">Todas as modificações, melhorias, correções e novas versões do software FOOTLINK ficarão incorporadas ao software e sujeitas a este Contrato, podendo ser comercializadas pela CONTRATADA a terceiros.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3º: </w:t>
      </w:r>
      <w:r>
        <w:rPr>
          <w:sz w:val="22"/>
          <w:szCs w:val="22"/>
        </w:rPr>
        <w:t xml:space="preserve">É vedado ao CONTRATANTE copiar, alterar, desmontar, descompilar, efetuar engenharia reversa ou obter os códigos-fonte do software FOOTLINK, sob pena de responder pelas perdas e danos que der causa.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DO SUPORTE TÉCNICO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TERCEIRA: </w:t>
      </w:r>
      <w:r>
        <w:rPr>
          <w:sz w:val="22"/>
          <w:szCs w:val="22"/>
        </w:rPr>
        <w:t xml:space="preserve">A CONTRATADA se obriga, durante a vigência, a conceder pleno suporte ao CONTRATANTE para utilização do FOOTLINK.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2º: </w:t>
      </w:r>
      <w:r>
        <w:rPr>
          <w:sz w:val="22"/>
          <w:szCs w:val="22"/>
        </w:rPr>
        <w:t xml:space="preserve">Não existindo garantia integral de disponibilidade de 100% do tempo, a CONTRATADA compromete-se a manter um SLA de disponibilidade mínima de 98% (noventa e oito por cento) ao ano, ressalvadas manutenções, intervenções de segurança e suspensões por determinação de autoridades ou descumprimento contratual.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QUARTA: </w:t>
      </w:r>
      <w:r>
        <w:rPr>
          <w:sz w:val="22"/>
          <w:szCs w:val="22"/>
        </w:rPr>
        <w:t xml:space="preserve">O suporte será prestado por meio das linhas de comunicação e atendimento online, através do WhatsApp nº (51) 9782-3228 e do e-mail support@footlink.app.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QUINTA: </w:t>
      </w:r>
      <w:r>
        <w:rPr>
          <w:sz w:val="22"/>
          <w:szCs w:val="22"/>
        </w:rPr>
        <w:t xml:space="preserve">O suporte será prestado pela CONTRATADA através de seus sócios, empregados, estagiários e, eventualmente, profissionais especialmente contratados.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DO PREÇO E DAS LICENÇAS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SEXTA: </w:t>
      </w:r>
      <w:r>
        <w:rPr>
          <w:sz w:val="22"/>
          <w:szCs w:val="22"/>
        </w:rPr>
        <w:t xml:space="preserve">A configuração dos serviços do software FOOTLINK, ora contratado, é a detalhada abaixo: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  <w:gridCol w:w="2000"/>
      </w:tblGrid>
      <w:tr>
        <w:trPr>
          <w:tblHeader/>
        </w:trPr>
        <w:tc>
          <w:tcPr>
            <w:tcW w:type="dxa" w:w="7200"/>
            <w:shd w:fill="D9D9F3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PLANO FOOTLINK ESSENTIAL - FEATURES</w:t>
            </w:r>
          </w:p>
        </w:tc>
        <w:tc>
          <w:tcPr>
            <w:tcW w:type="dxa" w:w="2000"/>
            <w:shd w:fill="D9D9F3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PLANO ANUAL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Licenças Contempladas no Plano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03 (três)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Meu Clube (com gestão de elenco, perfil com minutagem por idade, gestão de contratos, gestão de mercado)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Meu Feed (com alertas de registro no BID e FootNews)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Footlink Originals (conteúdo em vídeo com análise de mercados internacionais)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Busca de Atletas (acesso a base de dados com aproximadamente 600 mil atletas, masculino e feminino, desde os 7 anos de idade)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Perfil de Atletas (visualização de dados de contrato, carreira, desempenho, jogos com recursos para geração de relatórios, registro de avaliações e anotações sobre o atleta. Para atletas do clube, pode publicar vídeos e relatórios para qualificar apresentação do atleta)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Competições (visualizações de dados de competições, com o maior acervo de dados de competições de base organizadas por federações e CBF)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Projetos (organização do workflow de análise de mercado com geração de relatórios em formato de time sombra)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até 10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Monitoramento (registro dos atletas monitorados para recebimento de atualizações, organizar em listas e registrar informações)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até 1.000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Avaliações (registro de avaliações de atletas na plataforma, com relatórios em lista e gráficos)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até 2.000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Mercado de Transferências (anunciar atletas sem contrato e visualizar necessidades dos clubes, podendo oferecer atletas e gerenciar negociações)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até 20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Chat Integrado (ferramenta de comunicação com clubes e agentes)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Recebe e envia mensagens para clubes clientes Footlink</w:t>
            </w:r>
          </w:p>
        </w:tc>
      </w:tr>
      <w:tr>
        <w:tc>
          <w:tcPr>
            <w:tcW w:type="dxa" w:w="7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Agências Listagem de agentes clientes do Footlink com seus atletas agenciados</w:t>
            </w:r>
          </w:p>
        </w:tc>
        <w:tc>
          <w:tcPr>
            <w:tcW w:type="dxa" w:w="2000"/>
            <w:shd w:fill="E2EFDA" w:val="clear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Sim</w:t>
            </w:r>
          </w:p>
        </w:tc>
      </w:tr>
    </w:tbl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As licenças serão distribuídas em 2 níveis de acesso, “gerencial” e “analista”, conforme lista enviada pelo clube após a assinatura.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2º: </w:t>
      </w:r>
      <w:r>
        <w:rPr>
          <w:sz w:val="22"/>
          <w:szCs w:val="22"/>
        </w:rPr>
        <w:t xml:space="preserve">Não excedendo o número de licenças contratadas, a alteração de níveis, inclusão e troca de logins poderão ser feitas pelo CONTRATANTE a qualquer momento, sem custo.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3º: </w:t>
      </w:r>
      <w:r>
        <w:rPr>
          <w:sz w:val="22"/>
          <w:szCs w:val="22"/>
        </w:rPr>
        <w:t xml:space="preserve">Caso o CONTRATANTE queira contratar mais licenças, será acrescido ao pagamento mensal o valor de R$ 660,00/mês por licença, cobrado na próxima fatura em aberto.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SÉTIMA: </w:t>
      </w:r>
      <w:r>
        <w:rPr>
          <w:sz w:val="22"/>
          <w:szCs w:val="22"/>
        </w:rPr>
        <w:t xml:space="preserve">Pela configuração e serviços descritos acima, contratado na modalidade anual, o CONTRATANTE pagará à CONTRATADA o valor total de R$ 24.000,00 (vinte e quatro mil reais), parcelados em 12 pagamentos fixos de R$ 2.000,00 (dois mil reais) ao mês a título de Licença de Uso do software FOOTLINK.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Para fins deste contrato, a obrigação financeira é assumida de forma integral pelo período de 12 (doze) meses, não se confundindo com a forma de pagamento em parcelamento, mera facilidade concedida ao CONTRATANTE.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OITAVA: </w:t>
      </w:r>
      <w:r>
        <w:rPr>
          <w:sz w:val="22"/>
          <w:szCs w:val="22"/>
        </w:rPr>
        <w:t xml:space="preserve">Os pagamentos se darão através de boleto bancário, com vencimento até o dia 10 (dez) de cada mês, sendo o primeiro vencimento em 10/05/2026.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3400"/>
        <w:gridCol w:w="2200"/>
      </w:tblGrid>
      <w:tr>
        <w:trPr>
          <w:tblHeader/>
        </w:trPr>
        <w:tc>
          <w:tcPr>
            <w:tcW w:type="dxa" w:w="1400"/>
            <w:shd w:fill="F2F2F2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Parcela</w:t>
            </w:r>
          </w:p>
        </w:tc>
        <w:tc>
          <w:tcPr>
            <w:tcW w:type="dxa" w:w="2200"/>
            <w:shd w:fill="F2F2F2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Mês de Vigência</w:t>
            </w:r>
          </w:p>
        </w:tc>
        <w:tc>
          <w:tcPr>
            <w:tcW w:type="dxa" w:w="3400"/>
            <w:shd w:fill="F2F2F2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Período</w:t>
            </w:r>
          </w:p>
        </w:tc>
        <w:tc>
          <w:tcPr>
            <w:tcW w:type="dxa" w:w="2200"/>
            <w:shd w:fill="F2F2F2" w:val="clear"/>
          </w:tcPr>
          <w:p>
            <w:pPr>
              <w:spacing w:after="120"/>
              <w:jc w:val="both"/>
            </w:pPr>
            <w:r>
              <w:rPr>
                <w:b/>
                <w:bCs/>
                <w:sz w:val="22"/>
                <w:szCs w:val="22"/>
              </w:rPr>
              <w:t xml:space="preserve">Vencimento da Parcela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Maio/2026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01/05/2026 a 31/05/2026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10/05/2026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2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Junho/2026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01/06/2026 a 30/06/2026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10/06/2026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3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Julho/2026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01/07/2026 a 31/07/2026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10/07/2026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4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Agosto/2026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01/08/2026 a 31/08/2026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10/08/2026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5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Setembro/2026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01/09/2026 a 30/09/2026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10/09/2026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6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Outubro/2026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01/10/2026 a 31/10/2026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10/10/2026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Novembro/2026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01/11/2026 a 30/11/2026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10/11/2026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8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Dezembro/2026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01/12/2026 a 31/12/2026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10/12/2026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9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Janeiro/2027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01/01/2027 a 31/01/2027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10/01/2027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Fevereiro/2027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01/02/2027 a 28/02/2027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10/02/2027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11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Março/2027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01/03/2027 a 31/03/2027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10/03/2027</w:t>
            </w:r>
          </w:p>
        </w:tc>
      </w:tr>
      <w:tr>
        <w:tc>
          <w:tcPr>
            <w:tcW w:type="dxa" w:w="1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12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Abril/2027</w:t>
            </w:r>
          </w:p>
        </w:tc>
        <w:tc>
          <w:tcPr>
            <w:tcW w:type="dxa" w:w="34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01/04/2027 a 30/04/2027</w:t>
            </w:r>
          </w:p>
        </w:tc>
        <w:tc>
          <w:tcPr>
            <w:tcW w:type="dxa" w:w="2200"/>
          </w:tcPr>
          <w:p>
            <w:pPr>
              <w:spacing w:after="120"/>
              <w:jc w:val="both"/>
            </w:pPr>
            <w:r>
              <w:rPr>
                <w:sz w:val="22"/>
                <w:szCs w:val="22"/>
              </w:rPr>
              <w:t xml:space="preserve">10/04/2027</w:t>
            </w:r>
          </w:p>
        </w:tc>
      </w:tr>
    </w:tbl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NONA: </w:t>
      </w:r>
      <w:r>
        <w:rPr>
          <w:sz w:val="22"/>
          <w:szCs w:val="22"/>
        </w:rPr>
        <w:t xml:space="preserve">O não pagamento no prazo implicará juros de mora de 1% ao mês e multa de 2%, incidentes sobre o valor em atraso, com correção pelo IGPM-FGV. O inadimplemento superior a 30 dias autorizará o cancelamento da licença e a suspensão das senhas, a critério da CONTRATADA, sem prejuízo da rescisão prevista na Cláusula Décima Segunda.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DA VIGÊNCIA E DA RESCISÃO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PRIMEIRA: </w:t>
      </w:r>
      <w:r>
        <w:rPr>
          <w:sz w:val="22"/>
          <w:szCs w:val="22"/>
        </w:rPr>
        <w:t xml:space="preserve">O presente contrato é celebrado por prazo determinado de 12 (doze) meses, iniciando-se em 01/05/2026 e encerrando-se em 30/04/2027, devendo as partes celebrar novo instrumento havendo interesse na continuidade.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SEGUNDA: </w:t>
      </w:r>
      <w:r>
        <w:rPr>
          <w:sz w:val="22"/>
          <w:szCs w:val="22"/>
        </w:rPr>
        <w:t xml:space="preserve">O cancelamento antecipado pelo CONTRATANTE, ainda que com aviso prévio de 30 dias, implicará a retenção dos valores já recebidos, acrescido de multa contratual referente à soma dos valores de 03 (três) mensalidades vigentes no momento da rescisão. O cancelamento pela CONTRATADA ensejará restituição proporcional dos meses não usufruídos.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O CONTRATANTE que pretender rescindir deverá formalizar por escrito ao e-mail cancelamentos@footure.com.br, com 30 dias de antecedência.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DA CONFIDENCIALIDADE E EXCLUSIVIDADE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TERCEIRA: </w:t>
      </w:r>
      <w:r>
        <w:rPr>
          <w:sz w:val="22"/>
          <w:szCs w:val="22"/>
        </w:rPr>
        <w:t xml:space="preserve">A CONTRATADA obriga-se expressamente a manter em estrito sigilo as informações confidenciais recebidas, bem como a não utilizá-las para outros fins. Da mesma forma, o CONTRATANTE obriga-se a não utilizar isoladamente, divulgar ou repassar para terceiros as metodologias e tecnologias utilizadas pela CONTRATADA, bem como a manter em estrito sigilo as informações confidenciais dela recebidas.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1º: </w:t>
      </w:r>
      <w:r>
        <w:rPr>
          <w:sz w:val="22"/>
          <w:szCs w:val="22"/>
        </w:rPr>
        <w:t xml:space="preserve">As Partes concordam em tratar como sigilosas e confidenciais todas as eventuais informações confidenciais, escritas, orais ou de qualquer outra forma, a que tiverem acesso em decorrência deste Contrato, em especial aquelas que contenham dados pessoais, informações técnicas, estratégicas, econômicas ou de mercado das Partes, salvo mediante autorização escrita em contrário.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2º: </w:t>
      </w:r>
      <w:r>
        <w:rPr>
          <w:sz w:val="22"/>
          <w:szCs w:val="22"/>
        </w:rPr>
        <w:t xml:space="preserve">Eventual obrigação de sigilo e confidencialidade relativa às informações incluídas e/ou extraídas do Software FOOTLINK será de responsabilidade da CONTRATANTE quanto ao uso interno e acesso indevido por seus usuários, e da CONTRATADA quanto à guarda, armazenamento e segurança tecnológica das informações, respondendo cada parte dentro de sua esfera de atuação.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3º: </w:t>
      </w:r>
      <w:r>
        <w:rPr>
          <w:sz w:val="22"/>
          <w:szCs w:val="22"/>
        </w:rPr>
        <w:t xml:space="preserve">Não há restrição de divulgação de informações quando: a) a informação se torna pública ou disponível ao público de outra maneira do que através da Parte Receptora; b) quando a informação é obtida através de terceiros com autorização para revelar tal informação; e c) quando puder ser demonstrado para a Parte Reveladora que a informação já era do conhecimento prévio da Parte Receptora no momento de seu recebimento.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4º: </w:t>
      </w:r>
      <w:r>
        <w:rPr>
          <w:sz w:val="22"/>
          <w:szCs w:val="22"/>
        </w:rPr>
        <w:t xml:space="preserve">É vedada a divulgação pelas partes, a qualquer tempo e sob qualquer forma, de dados, criações e informações confidenciais obtidos em virtude deste ajuste ("Informações Confidenciais"), salvo com o expresso consentimento da outra parte. Não são consideradas Informações Confidenciais as informações que: (i) sejam de domínio público; ou (ii) já estejam em poder da outra parte e tenham sido obtidas de forma lícita. É permitido o fornecimento de Informações Confidenciais em razão de ordem administrativa ou judicial emitida por autoridade competente, não excedido o limite de tal ordem, desde que a parte que a recebeu notifique a outra previamente ao fornecimento, por escrito. A presente disposição perdurará durante a vigência deste ajuste e pelo prazo de 05 (cinco) anos a contar do seu término.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5º: </w:t>
      </w:r>
      <w:r>
        <w:rPr>
          <w:sz w:val="22"/>
          <w:szCs w:val="22"/>
        </w:rPr>
        <w:t xml:space="preserve">Em conformidade com o objeto do Contrato, a CONTRATADA poderá ter acesso a dados que identifiquem ou permitam a identificação de pessoas naturais (“Dados Pessoais”) e que sejam enviados pela CONTRATANTE, coletados ou de qualquer outra forma tratados por conta e ordem desta última. A CONTRATANTE e a CONTRATADA reconhecem reciprocamente que atuam respectivamente como CONTROLADORA e OPERADORA no tratamento de Dados Pessoais que possa estar relacionado ao objeto do Contrato: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a) </w:t>
      </w:r>
      <w:r>
        <w:rPr>
          <w:sz w:val="22"/>
          <w:szCs w:val="22"/>
        </w:rPr>
        <w:t xml:space="preserve">A CONTRATADA declara conhecer e se compromete a cumprir todos os princípios e regras da Lei 13.709 de 2018 (“LGPD”), suas alterações e regulamentos subsequentes que disponham sobre privacidade e proteção de dados pessoais no Brasil que venham a ser editados pela Autoridade Nacional de Proteção de Dados Pessoais (“ANPD”).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b) </w:t>
      </w:r>
      <w:r>
        <w:rPr>
          <w:sz w:val="22"/>
          <w:szCs w:val="22"/>
        </w:rPr>
        <w:t xml:space="preserve">Obriga-se a CONTRATADA a manter os dados pessoais confidenciais, assegurando que o acesso seja estritamente limitado àqueles indivíduos que precisam acessá-lo.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c) </w:t>
      </w:r>
      <w:r>
        <w:rPr>
          <w:sz w:val="22"/>
          <w:szCs w:val="22"/>
        </w:rPr>
        <w:t xml:space="preserve">A CONTRATADA deve manter o registro de todas as operações de tratamento de Dados Pessoais, atendendo o exigido pela legislação e pela regulamentação vigente.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d) </w:t>
      </w:r>
      <w:r>
        <w:rPr>
          <w:sz w:val="22"/>
          <w:szCs w:val="22"/>
        </w:rPr>
        <w:t xml:space="preserve">A CONTRATADA obriga-se a utilizar os dados pessoais exclusivamente para as finalidades previstas no objeto do Contrato, nos termos das instruções emitidas pela CONTRATANTE, sendo vedado o compartilhamento com terceiros, mesmo que de forma anonimizada, salvo mediante autorização prévia, expressa e por escrito da CONTRATANTE, controladora dos dados pessoais.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e) </w:t>
      </w:r>
      <w:r>
        <w:rPr>
          <w:sz w:val="22"/>
          <w:szCs w:val="22"/>
        </w:rPr>
        <w:t xml:space="preserve">Caso a CONTRATADA seja obrigada a transferir ou divulgar qualquer Dado Pessoal tratado em nome da CONTRATANTE em razão de ordem administrativa ou judicial, deverá informar a CONTRATANTE em até 24 (vinte e quatro) horas, comprometendo-se as Partes a cooperar para limitar a extensão de tal transferência ou divulgação.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f) </w:t>
      </w:r>
      <w:r>
        <w:rPr>
          <w:sz w:val="22"/>
          <w:szCs w:val="22"/>
        </w:rPr>
        <w:t xml:space="preserve">A CONTRATADA apenas poderá realizar a transferência internacional dos Dados Pessoais quando o compartilhamento for necessário para atender as finalidades legítimas que justificaram o compartilhamento e desde que em acordo com as exigências legais sobre proteção de dados pessoais.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g) </w:t>
      </w:r>
      <w:r>
        <w:rPr>
          <w:sz w:val="22"/>
          <w:szCs w:val="22"/>
        </w:rPr>
        <w:t xml:space="preserve">A CONTRATADA garante à CONTRATANTE que, após atingida a finalidade que fundamentou o tratamento dos Dados Pessoais, estes serão descartados, exceto quando a retenção for necessária para o cumprimento de obrigação legal ou regulatória.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h) </w:t>
      </w:r>
      <w:r>
        <w:rPr>
          <w:sz w:val="22"/>
          <w:szCs w:val="22"/>
        </w:rPr>
        <w:t xml:space="preserve">A CONTRATADA reconhece que deve cooperar com a CONTRATANTE sempre que necessário para viabilizar o exercício dos direitos de titulares previstos na legislação sobre proteção de dados pessoais.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i) </w:t>
      </w:r>
      <w:r>
        <w:rPr>
          <w:sz w:val="22"/>
          <w:szCs w:val="22"/>
        </w:rPr>
        <w:t xml:space="preserve">A CONTRATADA obriga-se a implementar medidas técnicas e de segurança para resguardar o acesso aos Dados Pessoais, responsabilizando-se por todos os danos eventualmente causados em virtude do tratamento, ressarcindo integralmente a CONTRATANTE por quaisquer prejuízos e/ou penalidades resultantes. Obriga-se ainda a demonstrar conformidade à legislação, autorizando a CONTRATANTE a realizar auditorias mediante prévia e expressa autorização.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j) </w:t>
      </w:r>
      <w:r>
        <w:rPr>
          <w:sz w:val="22"/>
          <w:szCs w:val="22"/>
        </w:rPr>
        <w:t xml:space="preserve">Na hipótese de questionamento à CONTRATANTE por autoridades públicas ou ação judicial relacionada à proteção de dados por violação causada culposa ou dolosamente pela CONTRATADA, esta assumirá por sua conta a defesa, mantendo a CONTRATANTE indene quanto a custas, sanções e honorários advocatícios.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k) </w:t>
      </w:r>
      <w:r>
        <w:rPr>
          <w:sz w:val="22"/>
          <w:szCs w:val="22"/>
        </w:rPr>
        <w:t xml:space="preserve">A CONTRATADA obriga-se a comunicar à CONTRATANTE quaisquer Incidentes de segurança de Dados Pessoais, potenciais ou efetivos, em até 48 (quarenta e oito) horas após a ocorrência, colaborando com informações e medidas para mitigar os prejuízos.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l) </w:t>
      </w:r>
      <w:r>
        <w:rPr>
          <w:sz w:val="22"/>
          <w:szCs w:val="22"/>
        </w:rPr>
        <w:t xml:space="preserve">A CONTRATADA entende e concorda que os serviços objeto do Contrato envolvem o tratamento de dados considerados Dados Pessoais sensíveis, devendo tratá-los conforme as instruções da CONTRATANTE e em estrita conformidade às exigências legais, garantindo a segurança adequada.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m) </w:t>
      </w:r>
      <w:r>
        <w:rPr>
          <w:sz w:val="22"/>
          <w:szCs w:val="22"/>
        </w:rPr>
        <w:t xml:space="preserve">A CONTRATADA entende e concorda que os serviços podem envolver o tratamento de Dados Pessoais de crianças e adolescentes, devendo tratá-los em estrita conformidade às exigências legais e garantindo a observância do melhor interesse da criança e do adolescente.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n) </w:t>
      </w:r>
      <w:r>
        <w:rPr>
          <w:sz w:val="22"/>
          <w:szCs w:val="22"/>
        </w:rPr>
        <w:t xml:space="preserve">A CONTRATADA garante que apenas realizará a coleta de Dados Pessoais de crianças e adolescentes em razão da execução deste instrumento, mediante o consentimento prévio, expresso e específico dos pais e/ou responsável legal, nos termos da LGPD, se a extração de dados for de fonte privada.</w:t>
      </w:r>
    </w:p>
    <w:p>
      <w:pPr>
        <w:spacing w:after="100"/>
        <w:ind w:left="360"/>
        <w:jc w:val="both"/>
      </w:pPr>
      <w:r>
        <w:rPr>
          <w:b/>
          <w:bCs/>
          <w:sz w:val="22"/>
          <w:szCs w:val="22"/>
        </w:rPr>
        <w:t xml:space="preserve">o) </w:t>
      </w:r>
      <w:r>
        <w:rPr>
          <w:sz w:val="22"/>
          <w:szCs w:val="22"/>
        </w:rPr>
        <w:t xml:space="preserve">Considerando que o objeto do Contrato inclui a provisão de sistemas e/ou infraestrutura de tecnologia da informação (a “Plataforma”), que pode operacionalizar o tratamento de Dados Pessoais, a CONTRATADA garante que: (i) as Plataformas estão adequadas à regulamentação, melhores práticas e leis de proteção de dados, em especial a LGPD; (ii) estão em conformidade com as normas e políticas da CONTRATANTE em matéria de proteção de dados e segurança da informação; (iii) têm o dever de garantir a segurança e a adequada gestão dos Dados Pessoais; e (iv) devem possibilitar à CONTRATANTE o exercício dos direitos dos titulares previstos na legislação.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Parágrafo 6º: </w:t>
      </w:r>
      <w:r>
        <w:rPr>
          <w:sz w:val="22"/>
          <w:szCs w:val="22"/>
        </w:rPr>
        <w:t xml:space="preserve">Serão, ainda, consideradas informações confidenciais todas aquelas não listadas acima, mas que assim forem identificadas pelas partes, através de legendas ou quaisquer outras marcações, ou que, devido às circunstâncias da revelação ou à própria natureza da informação, devam ser consideradas como confidenciais.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QUARTA: </w:t>
      </w:r>
      <w:r>
        <w:rPr>
          <w:sz w:val="22"/>
          <w:szCs w:val="22"/>
        </w:rPr>
        <w:t xml:space="preserve">O presente contrato não implica qualquer exclusividade entre as partes, podendo cada qual contratar serviços semelhantes junto a terceiros.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DAS DISPOSIÇÕES GERAIS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QUINTA: </w:t>
      </w:r>
      <w:r>
        <w:rPr>
          <w:sz w:val="22"/>
          <w:szCs w:val="22"/>
        </w:rPr>
        <w:t xml:space="preserve">Havendo contradição entre este instrumento e a Proposta Comercial, prevalece este contrato.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SEXTA: </w:t>
      </w:r>
      <w:r>
        <w:rPr>
          <w:sz w:val="22"/>
          <w:szCs w:val="22"/>
        </w:rPr>
        <w:t xml:space="preserve">As informações do FOOTLINK são obtidas de fontes oficiais e não oficiais públicas lícitas; eventual incorreção não é responsabilidade da CONTRATADA nem justifica rescisão.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SÉTIMA: </w:t>
      </w:r>
      <w:r>
        <w:rPr>
          <w:sz w:val="22"/>
          <w:szCs w:val="22"/>
        </w:rPr>
        <w:t xml:space="preserve">Encerrada a vigência sem prorrogação, os dados inseridos serão entregues em arquivo “csv” e, após, excluídos com as senhas e logins.</w:t>
      </w:r>
    </w:p>
    <w:p>
      <w:pPr>
        <w:pBdr>
          <w:top w:val="single" w:sz="6"/>
          <w:bottom w:val="single" w:sz="6"/>
          <w:left w:val="single" w:sz="6"/>
          <w:right w:val="single" w:sz="6"/>
        </w:pBdr>
        <w:spacing w:after="120" w:before="200"/>
        <w:jc w:val="center"/>
      </w:pPr>
      <w:r>
        <w:rPr>
          <w:b/>
          <w:bCs/>
          <w:sz w:val="22"/>
          <w:szCs w:val="22"/>
        </w:rPr>
        <w:t xml:space="preserve">DO FORO</w:t>
      </w:r>
    </w:p>
    <w:p>
      <w:pPr>
        <w:spacing w:after="120"/>
        <w:jc w:val="both"/>
      </w:pPr>
      <w:r>
        <w:rPr>
          <w:b/>
          <w:bCs/>
          <w:sz w:val="22"/>
          <w:szCs w:val="22"/>
        </w:rPr>
        <w:t xml:space="preserve">CLÁUSULA DÉCIMA NONA: </w:t>
      </w:r>
      <w:r>
        <w:rPr>
          <w:sz w:val="22"/>
          <w:szCs w:val="22"/>
        </w:rPr>
        <w:t xml:space="preserve">Elegem as partes o Foro Central da Comarca de Porto Alegre - RS, para dirimir quaisquer questões oriundas do presente contrato.</w:t>
      </w:r>
    </w:p>
    <w:p>
      <w:r>
        <w:br w:type="page"/>
      </w:r>
    </w:p>
    <w:p>
      <w:pPr>
        <w:spacing w:after="360"/>
        <w:jc w:val="both"/>
      </w:pPr>
      <w:r>
        <w:rPr>
          <w:sz w:val="22"/>
          <w:szCs w:val="22"/>
        </w:rPr>
        <w:t xml:space="preserve">E, por assim se acharem justas e contratadas, as partes assinam o presente Contrato, na presença de duas testemunhas, reconhecendo a validade das assinaturas digital e eletrônica, inclusive aquelas que não utilizem certificados ou utilizem certificados não emitidos pela ICP – Brasil, de modo que o presente documento poderá ser assinado por quaisquer destes meios, sendo considerados, desde já, verdadeiros, válidos e eficazes para todos os efeitos, na forma preconizada pela Medida Provisória n.º 2.200-2/2001, em vigor no Brasil.</w:t>
      </w:r>
    </w:p>
    <w:p>
      <w:pPr>
        <w:spacing w:after="120" w:before="120"/>
        <w:jc w:val="right"/>
      </w:pPr>
      <w:r>
        <w:rPr>
          <w:sz w:val="22"/>
          <w:szCs w:val="22"/>
        </w:rPr>
        <w:t xml:space="preserve">Porto Alegre, 06 de abril de 2026.</w:t>
      </w:r>
    </w:p>
    <w:p>
      <w:pPr>
        <w:keepNext/>
        <w:keepLines/>
        <w:spacing w:before="480"/>
        <w:jc w:val="center"/>
      </w:pPr>
      <w:r>
        <w:rPr>
          <w:sz w:val="22"/>
          <w:szCs w:val="22"/>
        </w:rPr>
        <w:t xml:space="preserve">______________________________________</w:t>
      </w:r>
    </w:p>
    <w:p>
      <w:pPr>
        <w:keepNext/>
        <w:keepLines/>
        <w:spacing w:after="0"/>
        <w:jc w:val="center"/>
      </w:pPr>
      <w:r>
        <w:rPr>
          <w:b/>
          <w:bCs/>
          <w:sz w:val="22"/>
          <w:szCs w:val="22"/>
        </w:rPr>
        <w:t xml:space="preserve">GOIÁS ESPORTE CLUBE</w:t>
      </w:r>
    </w:p>
    <w:p>
      <w:pPr>
        <w:keepLines/>
        <w:spacing w:after="0"/>
        <w:jc w:val="center"/>
      </w:pPr>
      <w:r>
        <w:rPr>
          <w:sz w:val="22"/>
          <w:szCs w:val="22"/>
        </w:rPr>
        <w:t xml:space="preserve">CONTRATANTE</w:t>
      </w:r>
    </w:p>
    <w:p>
      <w:pPr>
        <w:keepNext/>
        <w:keepLines/>
        <w:spacing w:before="720"/>
        <w:jc w:val="center"/>
      </w:pPr>
      <w:r>
        <w:rPr>
          <w:sz w:val="22"/>
          <w:szCs w:val="22"/>
        </w:rPr>
        <w:t xml:space="preserve">______________________________________</w:t>
      </w:r>
    </w:p>
    <w:p>
      <w:pPr>
        <w:keepNext/>
        <w:keepLines/>
        <w:spacing w:after="0"/>
        <w:jc w:val="center"/>
      </w:pPr>
      <w:r>
        <w:rPr>
          <w:b/>
          <w:bCs/>
          <w:sz w:val="22"/>
          <w:szCs w:val="22"/>
        </w:rPr>
        <w:t xml:space="preserve">FOOTURE PRODUTORA DE CONTEÚDO, SOFTWARE E SERVIÇOS LTDA</w:t>
      </w:r>
    </w:p>
    <w:p>
      <w:pPr>
        <w:keepLines/>
        <w:spacing w:after="0"/>
        <w:jc w:val="center"/>
      </w:pPr>
      <w:r>
        <w:rPr>
          <w:sz w:val="22"/>
          <w:szCs w:val="22"/>
        </w:rPr>
        <w:t xml:space="preserve">CONTRATADA</w:t>
      </w:r>
    </w:p>
    <w:p>
      <w:pPr>
        <w:keepNext/>
        <w:spacing w:after="160" w:before="720"/>
      </w:pPr>
      <w:r>
        <w:rPr>
          <w:b/>
          <w:bCs/>
          <w:sz w:val="22"/>
          <w:szCs w:val="22"/>
        </w:rPr>
        <w:t xml:space="preserve">Testemunhas:</w:t>
      </w:r>
    </w:p>
    <w:tbl>
      <w:tblPr>
        <w:tblW w:type="dxa" w:w="920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4600"/>
        <w:gridCol w:w="4600"/>
      </w:tblGrid>
      <w:tr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right w:type="dxa" w:w="400"/>
            </w:tcMar>
          </w:tcPr>
          <w:p>
            <w:pPr>
              <w:spacing w:after="0" w:before="240"/>
            </w:pPr>
            <w:r>
              <w:rPr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Nome: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CPF:</w:t>
            </w:r>
          </w:p>
        </w:tc>
        <w:tc>
          <w:tcPr>
            <w:tcW w:type="dxa" w:w="4600"/>
            <w:tcBorders>
              <w:top w:val="none"/>
              <w:left w:val="none"/>
              <w:bottom w:val="none"/>
              <w:right w:val="none"/>
            </w:tcBorders>
            <w:tcMar>
              <w:right w:type="dxa" w:w="400"/>
            </w:tcMar>
          </w:tcPr>
          <w:p>
            <w:pPr>
              <w:spacing w:after="0" w:before="240"/>
            </w:pPr>
            <w:r>
              <w:rPr>
                <w:sz w:val="22"/>
                <w:szCs w:val="22"/>
              </w:rPr>
              <w:t xml:space="preserve">________________________________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Nome:</w:t>
            </w:r>
          </w:p>
          <w:p>
            <w:pPr>
              <w:spacing w:after="0"/>
            </w:pPr>
            <w:r>
              <w:rPr>
                <w:sz w:val="22"/>
                <w:szCs w:val="22"/>
              </w:rPr>
              <w:t xml:space="preserve">CPF: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5B4FC4" w:sz="6"/>
      </w:pBdr>
      <w:spacing w:before="120"/>
      <w:jc w:val="center"/>
    </w:pPr>
    <w:r>
      <w:rPr>
        <w:color w:val="666666"/>
        <w:sz w:val="14"/>
        <w:szCs w:val="14"/>
      </w:rPr>
      <w:t xml:space="preserve">Instrumento Particular de Licença de Uso do Software Footlink  ·  GOIÁS ESPORTE CLUBE  ·  Início da vigência: 01/05/2026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5B4FC4" w:sz="6"/>
      </w:pBdr>
      <w:spacing w:after="120"/>
      <w:jc w:val="left"/>
    </w:pPr>
    <w:r>
      <w:drawing>
        <wp:inline distT="0" distB="0" distL="0" distR="0">
          <wp:extent cx="1257300" cy="4762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573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4e2b4820dd6059838ad21d564989ea16a548694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2026-08-24T18:28:43.923Z</dcterms:created>
  <dcterms:modified xsi:type="dcterms:W3CDTF">2026-08-24T18:28:43.937Z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